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B603" w14:textId="0598FDC1" w:rsidR="0079012F" w:rsidRPr="00BB0FCF" w:rsidRDefault="006024EE" w:rsidP="00246FD5">
      <w:pPr>
        <w:spacing w:line="276" w:lineRule="auto"/>
        <w:rPr>
          <w:rFonts w:ascii="Segoe UI" w:eastAsia="Times New Roman" w:hAnsi="Segoe UI" w:cs="Segoe UI"/>
          <w:color w:val="000000" w:themeColor="text1"/>
          <w:lang w:eastAsia="ar-SA"/>
        </w:rPr>
      </w:pPr>
      <w:r w:rsidRPr="00BB0FCF">
        <w:rPr>
          <w:rFonts w:ascii="Segoe UI" w:eastAsia="Times New Roman" w:hAnsi="Segoe UI" w:cs="Segoe UI"/>
          <w:color w:val="000000" w:themeColor="text1"/>
          <w:lang w:eastAsia="ar-SA"/>
        </w:rPr>
        <w:t xml:space="preserve">Situation being analysed: </w:t>
      </w:r>
      <w:r w:rsidR="002D6E7E" w:rsidRPr="00BB0FCF">
        <w:rPr>
          <w:rFonts w:ascii="Segoe UI" w:eastAsia="Times New Roman" w:hAnsi="Segoe UI" w:cs="Segoe UI"/>
          <w:color w:val="000000" w:themeColor="text1"/>
          <w:lang w:eastAsia="ar-SA"/>
        </w:rPr>
        <w:fldChar w:fldCharType="begin">
          <w:ffData>
            <w:name w:val="Text1"/>
            <w:enabled/>
            <w:calcOnExit w:val="0"/>
            <w:textInput>
              <w:default w:val="[Situation]"/>
            </w:textInput>
          </w:ffData>
        </w:fldChar>
      </w:r>
      <w:bookmarkStart w:id="0" w:name="Text1"/>
      <w:r w:rsidR="002D6E7E" w:rsidRPr="00BB0FCF">
        <w:rPr>
          <w:rFonts w:ascii="Segoe UI" w:eastAsia="Times New Roman" w:hAnsi="Segoe UI" w:cs="Segoe UI"/>
          <w:color w:val="000000" w:themeColor="text1"/>
          <w:lang w:eastAsia="ar-SA"/>
        </w:rPr>
        <w:instrText xml:space="preserve"> FORMTEXT </w:instrText>
      </w:r>
      <w:r w:rsidR="002D6E7E" w:rsidRPr="00BB0FCF">
        <w:rPr>
          <w:rFonts w:ascii="Segoe UI" w:eastAsia="Times New Roman" w:hAnsi="Segoe UI" w:cs="Segoe UI"/>
          <w:color w:val="000000" w:themeColor="text1"/>
          <w:lang w:eastAsia="ar-SA"/>
        </w:rPr>
      </w:r>
      <w:r w:rsidR="002D6E7E" w:rsidRPr="00BB0FCF">
        <w:rPr>
          <w:rFonts w:ascii="Segoe UI" w:eastAsia="Times New Roman" w:hAnsi="Segoe UI" w:cs="Segoe UI"/>
          <w:color w:val="000000" w:themeColor="text1"/>
          <w:lang w:eastAsia="ar-SA"/>
        </w:rPr>
        <w:fldChar w:fldCharType="separate"/>
      </w:r>
      <w:r w:rsidR="002D6E7E" w:rsidRPr="00BB0FCF">
        <w:rPr>
          <w:rFonts w:ascii="Segoe UI" w:eastAsia="Times New Roman" w:hAnsi="Segoe UI" w:cs="Segoe UI"/>
          <w:noProof/>
          <w:color w:val="000000" w:themeColor="text1"/>
          <w:lang w:eastAsia="ar-SA"/>
        </w:rPr>
        <w:t>[Situation]</w:t>
      </w:r>
      <w:r w:rsidR="002D6E7E" w:rsidRPr="00BB0FCF">
        <w:rPr>
          <w:rFonts w:ascii="Segoe UI" w:eastAsia="Times New Roman" w:hAnsi="Segoe UI" w:cs="Segoe UI"/>
          <w:color w:val="000000" w:themeColor="text1"/>
          <w:lang w:eastAsia="ar-SA"/>
        </w:rPr>
        <w:fldChar w:fldCharType="end"/>
      </w:r>
      <w:bookmarkEnd w:id="0"/>
    </w:p>
    <w:p w14:paraId="19DF6A09" w14:textId="32B34F33" w:rsidR="0079012F" w:rsidRPr="002B1E2F" w:rsidRDefault="006024EE" w:rsidP="0062316A">
      <w:pPr>
        <w:pStyle w:val="SmallStyle"/>
        <w:spacing w:after="240" w:line="276" w:lineRule="auto"/>
        <w:rPr>
          <w:rFonts w:ascii="Segoe UI" w:hAnsi="Segoe UI" w:cs="Segoe UI"/>
          <w:b/>
          <w:bCs/>
          <w:color w:val="090580"/>
          <w:sz w:val="24"/>
        </w:rPr>
      </w:pPr>
      <w:r w:rsidRPr="002B1E2F">
        <w:rPr>
          <w:rFonts w:ascii="Segoe UI" w:hAnsi="Segoe UI" w:cs="Segoe UI"/>
          <w:color w:val="000000" w:themeColor="text1"/>
          <w:sz w:val="20"/>
          <w:szCs w:val="20"/>
          <w:lang w:val="en-US" w:eastAsia="en-US" w:bidi="en-US"/>
        </w:rPr>
        <w:t>PEST analysis</w:t>
      </w:r>
      <w:r w:rsidRPr="002B1E2F">
        <w:rPr>
          <w:rFonts w:ascii="Segoe UI" w:hAnsi="Segoe UI" w:cs="Segoe UI"/>
          <w:color w:val="000000" w:themeColor="text1"/>
          <w:szCs w:val="16"/>
          <w:lang w:val="en-US" w:eastAsia="en-US" w:bidi="en-US"/>
        </w:rPr>
        <w:t xml:space="preserve"> (political, </w:t>
      </w:r>
      <w:r w:rsidR="004875EA" w:rsidRPr="002B1E2F">
        <w:rPr>
          <w:rFonts w:ascii="Segoe UI" w:hAnsi="Segoe UI" w:cs="Segoe UI"/>
          <w:color w:val="000000" w:themeColor="text1"/>
          <w:szCs w:val="16"/>
          <w:lang w:val="en-US" w:eastAsia="en-US" w:bidi="en-US"/>
        </w:rPr>
        <w:t>economic</w:t>
      </w:r>
      <w:r w:rsidRPr="002B1E2F">
        <w:rPr>
          <w:rFonts w:ascii="Segoe UI" w:hAnsi="Segoe UI" w:cs="Segoe UI"/>
          <w:color w:val="000000" w:themeColor="text1"/>
          <w:szCs w:val="16"/>
          <w:lang w:val="en-US" w:eastAsia="en-US" w:bidi="en-US"/>
        </w:rPr>
        <w:t xml:space="preserve">, social, technological) </w:t>
      </w:r>
      <w:r w:rsidRPr="002B1E2F">
        <w:rPr>
          <w:rFonts w:ascii="Segoe UI" w:hAnsi="Segoe UI" w:cs="Segoe UI"/>
          <w:color w:val="000000" w:themeColor="text1"/>
          <w:sz w:val="20"/>
          <w:szCs w:val="20"/>
          <w:lang w:val="en-US" w:eastAsia="en-US" w:bidi="en-US"/>
        </w:rPr>
        <w:t>assesses a market, including competitors, from the standpoint of a particular proposition or a business.</w:t>
      </w:r>
      <w:r w:rsidRPr="002B1E2F">
        <w:rPr>
          <w:rFonts w:ascii="Segoe UI" w:hAnsi="Segoe UI" w:cs="Segoe UI"/>
          <w:b/>
          <w:bCs/>
          <w:color w:val="090580"/>
          <w:sz w:val="24"/>
        </w:rPr>
        <w:t xml:space="preserve"> </w:t>
      </w:r>
    </w:p>
    <w:tbl>
      <w:tblPr>
        <w:tblW w:w="5000" w:type="pct"/>
        <w:tblBorders>
          <w:bottom w:val="single" w:sz="8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2"/>
        <w:gridCol w:w="1958"/>
        <w:gridCol w:w="1958"/>
        <w:gridCol w:w="3012"/>
      </w:tblGrid>
      <w:tr w:rsidR="002D6E7E" w:rsidRPr="00BB0FCF" w14:paraId="3E69BCA3" w14:textId="77777777" w:rsidTr="00413250">
        <w:trPr>
          <w:trHeight w:val="432"/>
        </w:trPr>
        <w:tc>
          <w:tcPr>
            <w:tcW w:w="1563" w:type="pct"/>
            <w:tcBorders>
              <w:top w:val="single" w:sz="18" w:space="0" w:color="090580"/>
              <w:bottom w:val="single" w:sz="18" w:space="0" w:color="090580"/>
              <w:right w:val="nil"/>
            </w:tcBorders>
            <w:shd w:val="clear" w:color="auto" w:fill="F4D3D3"/>
            <w:vAlign w:val="center"/>
          </w:tcPr>
          <w:p w14:paraId="54E5A29F" w14:textId="161F9D4F" w:rsidR="0079012F" w:rsidRPr="00BB0FCF" w:rsidRDefault="00EE6125" w:rsidP="003C2BFF">
            <w:pPr>
              <w:snapToGri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90580"/>
                <w:lang w:eastAsia="ar-SA"/>
              </w:rPr>
            </w:pPr>
            <w:r w:rsidRPr="00BB0FCF">
              <w:rPr>
                <w:rFonts w:ascii="Segoe UI" w:eastAsia="Times New Roman" w:hAnsi="Segoe UI" w:cs="Segoe UI"/>
                <w:b/>
                <w:bCs/>
                <w:color w:val="090580"/>
                <w:lang w:eastAsia="ar-SA"/>
              </w:rPr>
              <w:t>Criteria Examples</w:t>
            </w:r>
          </w:p>
        </w:tc>
        <w:tc>
          <w:tcPr>
            <w:tcW w:w="971" w:type="pct"/>
            <w:tcBorders>
              <w:top w:val="single" w:sz="18" w:space="0" w:color="090580"/>
              <w:left w:val="nil"/>
              <w:bottom w:val="single" w:sz="18" w:space="0" w:color="090580"/>
              <w:right w:val="nil"/>
            </w:tcBorders>
            <w:shd w:val="clear" w:color="auto" w:fill="F4D3D3"/>
            <w:vAlign w:val="center"/>
          </w:tcPr>
          <w:p w14:paraId="089C8E20" w14:textId="2EE85FA9" w:rsidR="0079012F" w:rsidRPr="00BB0FCF" w:rsidRDefault="00EE6125" w:rsidP="003C2BFF">
            <w:pPr>
              <w:pStyle w:val="TableContents"/>
              <w:snapToGri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90580"/>
              </w:rPr>
            </w:pPr>
            <w:r w:rsidRPr="00BB0FCF">
              <w:rPr>
                <w:rFonts w:ascii="Segoe UI" w:eastAsia="Times New Roman" w:hAnsi="Segoe UI" w:cs="Segoe UI"/>
                <w:b/>
                <w:bCs/>
                <w:color w:val="090580"/>
              </w:rPr>
              <w:t>Political</w:t>
            </w:r>
          </w:p>
        </w:tc>
        <w:tc>
          <w:tcPr>
            <w:tcW w:w="971" w:type="pct"/>
            <w:tcBorders>
              <w:top w:val="single" w:sz="18" w:space="0" w:color="090580"/>
              <w:left w:val="nil"/>
              <w:bottom w:val="single" w:sz="18" w:space="0" w:color="090580"/>
              <w:right w:val="nil"/>
            </w:tcBorders>
            <w:shd w:val="clear" w:color="auto" w:fill="F4D3D3"/>
            <w:vAlign w:val="center"/>
          </w:tcPr>
          <w:p w14:paraId="7905055D" w14:textId="63C51BA9" w:rsidR="0079012F" w:rsidRPr="00BB0FCF" w:rsidRDefault="00EE6125" w:rsidP="003C2BFF">
            <w:pPr>
              <w:pStyle w:val="TableContents"/>
              <w:snapToGri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90580"/>
              </w:rPr>
            </w:pPr>
            <w:r w:rsidRPr="00BB0FCF">
              <w:rPr>
                <w:rFonts w:ascii="Segoe UI" w:eastAsia="Times New Roman" w:hAnsi="Segoe UI" w:cs="Segoe UI"/>
                <w:b/>
                <w:bCs/>
                <w:color w:val="090580"/>
              </w:rPr>
              <w:t>Economical</w:t>
            </w:r>
          </w:p>
        </w:tc>
        <w:tc>
          <w:tcPr>
            <w:tcW w:w="1494" w:type="pct"/>
            <w:tcBorders>
              <w:top w:val="single" w:sz="18" w:space="0" w:color="090580"/>
              <w:left w:val="nil"/>
              <w:bottom w:val="single" w:sz="18" w:space="0" w:color="090580"/>
            </w:tcBorders>
            <w:shd w:val="clear" w:color="auto" w:fill="F4D3D3"/>
            <w:vAlign w:val="center"/>
          </w:tcPr>
          <w:p w14:paraId="75AE651B" w14:textId="24A94092" w:rsidR="0079012F" w:rsidRPr="00BB0FCF" w:rsidRDefault="00EE6125" w:rsidP="003C2BFF">
            <w:pPr>
              <w:pStyle w:val="Heading2"/>
              <w:tabs>
                <w:tab w:val="left" w:pos="0"/>
              </w:tabs>
              <w:snapToGrid w:val="0"/>
              <w:spacing w:before="0" w:after="0" w:line="276" w:lineRule="auto"/>
              <w:jc w:val="center"/>
              <w:rPr>
                <w:rFonts w:ascii="Segoe UI" w:eastAsia="Times New Roman" w:hAnsi="Segoe UI" w:cs="Segoe UI"/>
                <w:color w:val="090580"/>
                <w:sz w:val="24"/>
                <w:szCs w:val="24"/>
                <w:lang w:eastAsia="ar-SA"/>
              </w:rPr>
            </w:pPr>
            <w:r w:rsidRPr="00BB0FCF">
              <w:rPr>
                <w:rFonts w:ascii="Segoe UI" w:eastAsia="Times New Roman" w:hAnsi="Segoe UI" w:cs="Segoe UI"/>
                <w:color w:val="090580"/>
                <w:sz w:val="24"/>
                <w:szCs w:val="24"/>
                <w:lang w:eastAsia="ar-SA"/>
              </w:rPr>
              <w:t>Criteria Examples</w:t>
            </w:r>
          </w:p>
        </w:tc>
      </w:tr>
      <w:tr w:rsidR="002D6E7E" w:rsidRPr="00BB0FCF" w14:paraId="69B85CBF" w14:textId="77777777" w:rsidTr="00BB0FCF">
        <w:trPr>
          <w:trHeight w:val="3589"/>
        </w:trPr>
        <w:tc>
          <w:tcPr>
            <w:tcW w:w="1563" w:type="pct"/>
            <w:tcBorders>
              <w:top w:val="single" w:sz="18" w:space="0" w:color="090580"/>
              <w:bottom w:val="single" w:sz="12" w:space="0" w:color="090580"/>
              <w:right w:val="single" w:sz="2" w:space="0" w:color="090580"/>
            </w:tcBorders>
          </w:tcPr>
          <w:p w14:paraId="3E7EB1EC" w14:textId="52994F33" w:rsidR="006C6755" w:rsidRPr="002B1E2F" w:rsidRDefault="006C6755" w:rsidP="00BB0FCF">
            <w:pPr>
              <w:pStyle w:val="SmallStyle"/>
              <w:numPr>
                <w:ilvl w:val="0"/>
                <w:numId w:val="2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ecological/environmental current legislation  </w:t>
            </w:r>
          </w:p>
          <w:p w14:paraId="1D7C70CB" w14:textId="77777777" w:rsidR="006C6755" w:rsidRPr="002B1E2F" w:rsidRDefault="006C6755" w:rsidP="00BB0FCF">
            <w:pPr>
              <w:pStyle w:val="SmallStyle"/>
              <w:numPr>
                <w:ilvl w:val="0"/>
                <w:numId w:val="2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future legislation </w:t>
            </w:r>
          </w:p>
          <w:p w14:paraId="49FFEF37" w14:textId="77777777" w:rsidR="006C6755" w:rsidRPr="002B1E2F" w:rsidRDefault="006C6755" w:rsidP="00BB0FCF">
            <w:pPr>
              <w:pStyle w:val="SmallStyle"/>
              <w:numPr>
                <w:ilvl w:val="0"/>
                <w:numId w:val="2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international legislation </w:t>
            </w:r>
          </w:p>
          <w:p w14:paraId="7A88F827" w14:textId="77777777" w:rsidR="006C6755" w:rsidRPr="002B1E2F" w:rsidRDefault="006C6755" w:rsidP="00BB0FCF">
            <w:pPr>
              <w:pStyle w:val="SmallStyle"/>
              <w:numPr>
                <w:ilvl w:val="0"/>
                <w:numId w:val="2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regulatory bodies and processes </w:t>
            </w:r>
          </w:p>
          <w:p w14:paraId="73A4F4F0" w14:textId="77777777" w:rsidR="006C6755" w:rsidRPr="002B1E2F" w:rsidRDefault="006C6755" w:rsidP="00BB0FCF">
            <w:pPr>
              <w:pStyle w:val="SmallStyle"/>
              <w:numPr>
                <w:ilvl w:val="0"/>
                <w:numId w:val="2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government policies </w:t>
            </w:r>
          </w:p>
          <w:p w14:paraId="1A55964C" w14:textId="77777777" w:rsidR="006C6755" w:rsidRPr="002B1E2F" w:rsidRDefault="006C6755" w:rsidP="00BB0FCF">
            <w:pPr>
              <w:pStyle w:val="SmallStyle"/>
              <w:numPr>
                <w:ilvl w:val="0"/>
                <w:numId w:val="2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government term and change </w:t>
            </w:r>
          </w:p>
          <w:p w14:paraId="6073A5DE" w14:textId="77777777" w:rsidR="006C6755" w:rsidRPr="002B1E2F" w:rsidRDefault="006C6755" w:rsidP="00BB0FCF">
            <w:pPr>
              <w:pStyle w:val="SmallStyle"/>
              <w:numPr>
                <w:ilvl w:val="0"/>
                <w:numId w:val="2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trading policies </w:t>
            </w:r>
          </w:p>
          <w:p w14:paraId="4FAF21B2" w14:textId="77777777" w:rsidR="006C6755" w:rsidRPr="002B1E2F" w:rsidRDefault="006C6755" w:rsidP="00BB0FCF">
            <w:pPr>
              <w:pStyle w:val="SmallStyle"/>
              <w:numPr>
                <w:ilvl w:val="0"/>
                <w:numId w:val="2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funding, grants and initiatives </w:t>
            </w:r>
          </w:p>
          <w:p w14:paraId="0CAC80A9" w14:textId="77777777" w:rsidR="006C6755" w:rsidRPr="002B1E2F" w:rsidRDefault="006C6755" w:rsidP="00BB0FCF">
            <w:pPr>
              <w:pStyle w:val="SmallStyle"/>
              <w:numPr>
                <w:ilvl w:val="0"/>
                <w:numId w:val="2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home market pressure- groups </w:t>
            </w:r>
          </w:p>
          <w:p w14:paraId="2B7EF931" w14:textId="2427739A" w:rsidR="006C6755" w:rsidRPr="00BB0FCF" w:rsidRDefault="006C6755" w:rsidP="00BB0FCF">
            <w:pPr>
              <w:pStyle w:val="SmallStyle"/>
              <w:numPr>
                <w:ilvl w:val="0"/>
                <w:numId w:val="2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20"/>
                <w:szCs w:val="20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international pressure- groups </w:t>
            </w:r>
          </w:p>
        </w:tc>
        <w:tc>
          <w:tcPr>
            <w:tcW w:w="971" w:type="pct"/>
            <w:tcBorders>
              <w:top w:val="single" w:sz="18" w:space="0" w:color="090580"/>
              <w:left w:val="single" w:sz="2" w:space="0" w:color="090580"/>
              <w:bottom w:val="single" w:sz="12" w:space="0" w:color="090580"/>
              <w:right w:val="single" w:sz="2" w:space="0" w:color="090580"/>
            </w:tcBorders>
          </w:tcPr>
          <w:p w14:paraId="412A94E2" w14:textId="77777777" w:rsidR="006C6755" w:rsidRPr="00BB0FCF" w:rsidRDefault="006C6755" w:rsidP="00212612">
            <w:pPr>
              <w:pStyle w:val="TableContents"/>
              <w:snapToGrid w:val="0"/>
              <w:spacing w:line="276" w:lineRule="auto"/>
              <w:ind w:left="219"/>
              <w:rPr>
                <w:rFonts w:ascii="Segoe UI" w:eastAsia="Times New Roman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971" w:type="pct"/>
            <w:tcBorders>
              <w:top w:val="single" w:sz="18" w:space="0" w:color="090580"/>
              <w:left w:val="single" w:sz="2" w:space="0" w:color="090580"/>
              <w:bottom w:val="single" w:sz="12" w:space="0" w:color="090580"/>
              <w:right w:val="single" w:sz="2" w:space="0" w:color="090580"/>
            </w:tcBorders>
          </w:tcPr>
          <w:p w14:paraId="199E71E7" w14:textId="77777777" w:rsidR="006C6755" w:rsidRPr="00BB0FCF" w:rsidRDefault="006C6755" w:rsidP="00212612">
            <w:pPr>
              <w:pStyle w:val="TableContents"/>
              <w:snapToGrid w:val="0"/>
              <w:spacing w:line="276" w:lineRule="auto"/>
              <w:ind w:left="219"/>
              <w:rPr>
                <w:rFonts w:ascii="Segoe UI" w:eastAsia="Times New Roman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494" w:type="pct"/>
            <w:tcBorders>
              <w:top w:val="single" w:sz="18" w:space="0" w:color="090580"/>
              <w:left w:val="single" w:sz="2" w:space="0" w:color="090580"/>
              <w:bottom w:val="single" w:sz="12" w:space="0" w:color="090580"/>
            </w:tcBorders>
          </w:tcPr>
          <w:p w14:paraId="6255A829" w14:textId="7AC408D9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home economy </w:t>
            </w:r>
          </w:p>
          <w:p w14:paraId="0B210AC9" w14:textId="77777777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economy trends</w:t>
            </w:r>
          </w:p>
          <w:p w14:paraId="0DA764FD" w14:textId="77777777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overseas economies </w:t>
            </w:r>
          </w:p>
          <w:p w14:paraId="69D9F894" w14:textId="77777777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general taxation </w:t>
            </w:r>
          </w:p>
          <w:p w14:paraId="6A222838" w14:textId="77777777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taxation specific to product/services</w:t>
            </w:r>
          </w:p>
          <w:p w14:paraId="3B6DE01C" w14:textId="77777777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seasonality issues</w:t>
            </w:r>
          </w:p>
          <w:p w14:paraId="013B5E01" w14:textId="77777777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market/trade cycles</w:t>
            </w:r>
          </w:p>
          <w:p w14:paraId="5D91F8F2" w14:textId="77777777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specific industry factors</w:t>
            </w:r>
          </w:p>
          <w:p w14:paraId="440838AD" w14:textId="77777777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market routes trends</w:t>
            </w:r>
          </w:p>
          <w:p w14:paraId="0A732536" w14:textId="77777777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distribution trends</w:t>
            </w:r>
          </w:p>
          <w:p w14:paraId="7E672C5B" w14:textId="77777777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customer/end-user drivers</w:t>
            </w:r>
          </w:p>
          <w:p w14:paraId="571D918C" w14:textId="77777777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interest/ exchange rates</w:t>
            </w:r>
          </w:p>
          <w:p w14:paraId="6E846F8D" w14:textId="4F142773" w:rsidR="006C6755" w:rsidRPr="002B1E2F" w:rsidRDefault="006C6755" w:rsidP="005424B9">
            <w:pPr>
              <w:pStyle w:val="SmallStyle"/>
              <w:numPr>
                <w:ilvl w:val="0"/>
                <w:numId w:val="2"/>
              </w:numPr>
              <w:spacing w:line="276" w:lineRule="auto"/>
              <w:ind w:left="441" w:right="-59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international trade and monetary issues</w:t>
            </w:r>
          </w:p>
        </w:tc>
      </w:tr>
    </w:tbl>
    <w:p w14:paraId="6ED93A09" w14:textId="77777777" w:rsidR="00821B22" w:rsidRPr="00BB0FCF" w:rsidRDefault="00821B22">
      <w:pPr>
        <w:rPr>
          <w:rFonts w:ascii="Segoe UI" w:hAnsi="Segoe UI" w:cs="Segoe UI"/>
          <w:sz w:val="8"/>
          <w:szCs w:val="8"/>
        </w:rPr>
      </w:pPr>
    </w:p>
    <w:tbl>
      <w:tblPr>
        <w:tblW w:w="5000" w:type="pct"/>
        <w:tblBorders>
          <w:bottom w:val="single" w:sz="8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2"/>
        <w:gridCol w:w="1958"/>
        <w:gridCol w:w="1958"/>
        <w:gridCol w:w="3012"/>
      </w:tblGrid>
      <w:tr w:rsidR="002D6E7E" w:rsidRPr="00BB0FCF" w14:paraId="4217B5BF" w14:textId="77777777" w:rsidTr="00413250">
        <w:trPr>
          <w:trHeight w:val="432"/>
        </w:trPr>
        <w:tc>
          <w:tcPr>
            <w:tcW w:w="1563" w:type="pct"/>
            <w:tcBorders>
              <w:top w:val="single" w:sz="18" w:space="0" w:color="090580"/>
              <w:bottom w:val="single" w:sz="18" w:space="0" w:color="090580"/>
              <w:right w:val="nil"/>
            </w:tcBorders>
            <w:shd w:val="clear" w:color="auto" w:fill="F4D3D3"/>
            <w:vAlign w:val="center"/>
          </w:tcPr>
          <w:p w14:paraId="2A1C0ADA" w14:textId="147617B2" w:rsidR="006C6755" w:rsidRPr="00BB0FCF" w:rsidRDefault="00630394" w:rsidP="003C2BFF">
            <w:pPr>
              <w:pStyle w:val="Heading2"/>
              <w:tabs>
                <w:tab w:val="left" w:pos="0"/>
              </w:tabs>
              <w:snapToGrid w:val="0"/>
              <w:spacing w:before="0" w:after="0" w:line="276" w:lineRule="auto"/>
              <w:jc w:val="center"/>
              <w:rPr>
                <w:rFonts w:ascii="Segoe UI" w:eastAsia="Times New Roman" w:hAnsi="Segoe UI" w:cs="Segoe UI"/>
                <w:color w:val="090580"/>
                <w:sz w:val="24"/>
                <w:szCs w:val="24"/>
                <w:lang w:eastAsia="ar-SA"/>
              </w:rPr>
            </w:pPr>
            <w:r w:rsidRPr="00BB0FCF">
              <w:rPr>
                <w:rFonts w:ascii="Segoe UI" w:eastAsia="Times New Roman" w:hAnsi="Segoe UI" w:cs="Segoe UI"/>
                <w:color w:val="090580"/>
                <w:sz w:val="24"/>
                <w:szCs w:val="24"/>
                <w:lang w:eastAsia="ar-SA"/>
              </w:rPr>
              <w:t>Criteria Examples</w:t>
            </w:r>
          </w:p>
        </w:tc>
        <w:tc>
          <w:tcPr>
            <w:tcW w:w="971" w:type="pct"/>
            <w:tcBorders>
              <w:top w:val="single" w:sz="18" w:space="0" w:color="090580"/>
              <w:left w:val="nil"/>
              <w:bottom w:val="single" w:sz="18" w:space="0" w:color="090580"/>
              <w:right w:val="nil"/>
            </w:tcBorders>
            <w:shd w:val="clear" w:color="auto" w:fill="F4D3D3"/>
            <w:vAlign w:val="center"/>
          </w:tcPr>
          <w:p w14:paraId="10D90911" w14:textId="3B8F2C04" w:rsidR="006C6755" w:rsidRPr="00BB0FCF" w:rsidRDefault="00630394" w:rsidP="003C2BFF">
            <w:pPr>
              <w:pStyle w:val="TableContents"/>
              <w:snapToGri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90580"/>
              </w:rPr>
            </w:pPr>
            <w:r w:rsidRPr="00BB0FCF">
              <w:rPr>
                <w:rFonts w:ascii="Segoe UI" w:eastAsia="Times New Roman" w:hAnsi="Segoe UI" w:cs="Segoe UI"/>
                <w:b/>
                <w:bCs/>
                <w:color w:val="090580"/>
              </w:rPr>
              <w:t>Social</w:t>
            </w:r>
          </w:p>
        </w:tc>
        <w:tc>
          <w:tcPr>
            <w:tcW w:w="971" w:type="pct"/>
            <w:tcBorders>
              <w:top w:val="single" w:sz="18" w:space="0" w:color="090580"/>
              <w:left w:val="nil"/>
              <w:bottom w:val="single" w:sz="18" w:space="0" w:color="090580"/>
              <w:right w:val="nil"/>
            </w:tcBorders>
            <w:shd w:val="clear" w:color="auto" w:fill="F4D3D3"/>
            <w:vAlign w:val="center"/>
          </w:tcPr>
          <w:p w14:paraId="713D89AB" w14:textId="36B65BA8" w:rsidR="006C6755" w:rsidRPr="00BB0FCF" w:rsidRDefault="00630394" w:rsidP="003C2BFF">
            <w:pPr>
              <w:pStyle w:val="TableContents"/>
              <w:snapToGrid w:val="0"/>
              <w:spacing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90580"/>
              </w:rPr>
            </w:pPr>
            <w:r w:rsidRPr="00BB0FCF">
              <w:rPr>
                <w:rFonts w:ascii="Segoe UI" w:eastAsia="Times New Roman" w:hAnsi="Segoe UI" w:cs="Segoe UI"/>
                <w:b/>
                <w:bCs/>
                <w:color w:val="090580"/>
              </w:rPr>
              <w:t>Technological</w:t>
            </w:r>
          </w:p>
        </w:tc>
        <w:tc>
          <w:tcPr>
            <w:tcW w:w="1494" w:type="pct"/>
            <w:tcBorders>
              <w:top w:val="single" w:sz="18" w:space="0" w:color="090580"/>
              <w:left w:val="nil"/>
              <w:bottom w:val="single" w:sz="18" w:space="0" w:color="090580"/>
            </w:tcBorders>
            <w:shd w:val="clear" w:color="auto" w:fill="F4D3D3"/>
            <w:vAlign w:val="center"/>
          </w:tcPr>
          <w:p w14:paraId="60D763AC" w14:textId="149B8797" w:rsidR="006C6755" w:rsidRPr="00BB0FCF" w:rsidRDefault="00630394" w:rsidP="003C2BFF">
            <w:pPr>
              <w:pStyle w:val="Heading2"/>
              <w:tabs>
                <w:tab w:val="left" w:pos="0"/>
              </w:tabs>
              <w:snapToGrid w:val="0"/>
              <w:spacing w:before="0" w:after="0" w:line="276" w:lineRule="auto"/>
              <w:jc w:val="center"/>
              <w:rPr>
                <w:rFonts w:ascii="Segoe UI" w:eastAsia="Times New Roman" w:hAnsi="Segoe UI" w:cs="Segoe UI"/>
                <w:color w:val="090580"/>
                <w:sz w:val="24"/>
                <w:szCs w:val="24"/>
                <w:lang w:eastAsia="ar-SA"/>
              </w:rPr>
            </w:pPr>
            <w:r w:rsidRPr="00BB0FCF">
              <w:rPr>
                <w:rFonts w:ascii="Segoe UI" w:eastAsia="Times New Roman" w:hAnsi="Segoe UI" w:cs="Segoe UI"/>
                <w:color w:val="090580"/>
                <w:sz w:val="24"/>
                <w:szCs w:val="24"/>
                <w:lang w:eastAsia="ar-SA"/>
              </w:rPr>
              <w:t>Criteria Examples</w:t>
            </w:r>
          </w:p>
        </w:tc>
      </w:tr>
      <w:tr w:rsidR="003C2BFF" w:rsidRPr="00BB0FCF" w14:paraId="1225FC2F" w14:textId="77777777" w:rsidTr="00BE3FDC">
        <w:tc>
          <w:tcPr>
            <w:tcW w:w="1563" w:type="pct"/>
            <w:tcBorders>
              <w:top w:val="single" w:sz="18" w:space="0" w:color="090580"/>
              <w:bottom w:val="single" w:sz="18" w:space="0" w:color="090580"/>
              <w:right w:val="single" w:sz="2" w:space="0" w:color="090580"/>
            </w:tcBorders>
          </w:tcPr>
          <w:p w14:paraId="63708793" w14:textId="77777777" w:rsidR="0079012F" w:rsidRPr="002B1E2F" w:rsidRDefault="006024EE" w:rsidP="006024EE">
            <w:pPr>
              <w:pStyle w:val="Heading2"/>
              <w:numPr>
                <w:ilvl w:val="0"/>
                <w:numId w:val="4"/>
              </w:numPr>
              <w:tabs>
                <w:tab w:val="left" w:pos="0"/>
              </w:tabs>
              <w:spacing w:before="0" w:after="0" w:line="276" w:lineRule="auto"/>
              <w:ind w:left="219" w:hanging="219"/>
              <w:rPr>
                <w:rFonts w:ascii="Segoe UI" w:eastAsia="Times New Roman" w:hAnsi="Segoe UI" w:cs="Segoe UI"/>
                <w:b w:val="0"/>
                <w:bCs w:val="0"/>
                <w:color w:val="000000" w:themeColor="text1"/>
                <w:sz w:val="18"/>
                <w:szCs w:val="18"/>
                <w:lang w:eastAsia="ar-SA"/>
              </w:rPr>
            </w:pPr>
            <w:r w:rsidRPr="002B1E2F">
              <w:rPr>
                <w:rFonts w:ascii="Segoe UI" w:hAnsi="Segoe UI" w:cs="Segoe UI"/>
                <w:b w:val="0"/>
                <w:bCs w:val="0"/>
                <w:color w:val="000000" w:themeColor="text1"/>
                <w:sz w:val="18"/>
                <w:szCs w:val="18"/>
                <w:lang w:val="en-US" w:bidi="en-US"/>
              </w:rPr>
              <w:t>lifestyle trends</w:t>
            </w:r>
          </w:p>
          <w:p w14:paraId="6F0DFE72" w14:textId="77777777" w:rsidR="0079012F" w:rsidRPr="002B1E2F" w:rsidRDefault="006024EE" w:rsidP="006024EE">
            <w:pPr>
              <w:pStyle w:val="SmallStyle"/>
              <w:numPr>
                <w:ilvl w:val="0"/>
                <w:numId w:val="3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demographics</w:t>
            </w:r>
          </w:p>
          <w:p w14:paraId="06E758C6" w14:textId="77777777" w:rsidR="0079012F" w:rsidRPr="002B1E2F" w:rsidRDefault="006024EE" w:rsidP="006024EE">
            <w:pPr>
              <w:pStyle w:val="SmallStyle"/>
              <w:numPr>
                <w:ilvl w:val="0"/>
                <w:numId w:val="3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consumer attitudes and opinions</w:t>
            </w:r>
          </w:p>
          <w:p w14:paraId="7445530F" w14:textId="77777777" w:rsidR="0079012F" w:rsidRPr="002B1E2F" w:rsidRDefault="006024EE" w:rsidP="006024EE">
            <w:pPr>
              <w:pStyle w:val="SmallStyle"/>
              <w:numPr>
                <w:ilvl w:val="0"/>
                <w:numId w:val="3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media views</w:t>
            </w:r>
          </w:p>
          <w:p w14:paraId="229049F5" w14:textId="77777777" w:rsidR="0079012F" w:rsidRPr="002B1E2F" w:rsidRDefault="006024EE" w:rsidP="006024EE">
            <w:pPr>
              <w:pStyle w:val="SmallStyle"/>
              <w:numPr>
                <w:ilvl w:val="0"/>
                <w:numId w:val="3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law changes affecting social factors</w:t>
            </w:r>
          </w:p>
          <w:p w14:paraId="1471F7E0" w14:textId="77777777" w:rsidR="0079012F" w:rsidRPr="002B1E2F" w:rsidRDefault="006024EE" w:rsidP="006024EE">
            <w:pPr>
              <w:pStyle w:val="SmallStyle"/>
              <w:numPr>
                <w:ilvl w:val="0"/>
                <w:numId w:val="3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brand, company, technology image</w:t>
            </w:r>
          </w:p>
          <w:p w14:paraId="733F04DE" w14:textId="77777777" w:rsidR="0079012F" w:rsidRPr="002B1E2F" w:rsidRDefault="006024EE" w:rsidP="006024EE">
            <w:pPr>
              <w:pStyle w:val="SmallStyle"/>
              <w:numPr>
                <w:ilvl w:val="0"/>
                <w:numId w:val="3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consumer buying patterns</w:t>
            </w:r>
          </w:p>
          <w:p w14:paraId="53AAB734" w14:textId="77777777" w:rsidR="0079012F" w:rsidRPr="002B1E2F" w:rsidRDefault="006024EE" w:rsidP="006024EE">
            <w:pPr>
              <w:pStyle w:val="SmallStyle"/>
              <w:numPr>
                <w:ilvl w:val="0"/>
                <w:numId w:val="3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fashion and role models</w:t>
            </w:r>
          </w:p>
          <w:p w14:paraId="574317C9" w14:textId="77777777" w:rsidR="0079012F" w:rsidRPr="002B1E2F" w:rsidRDefault="006024EE" w:rsidP="006024EE">
            <w:pPr>
              <w:pStyle w:val="SmallStyle"/>
              <w:numPr>
                <w:ilvl w:val="0"/>
                <w:numId w:val="3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major events and influences</w:t>
            </w:r>
          </w:p>
          <w:p w14:paraId="43F46850" w14:textId="77777777" w:rsidR="0079012F" w:rsidRPr="002B1E2F" w:rsidRDefault="006024EE" w:rsidP="006024EE">
            <w:pPr>
              <w:pStyle w:val="SmallStyle"/>
              <w:numPr>
                <w:ilvl w:val="0"/>
                <w:numId w:val="3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buying access and trends</w:t>
            </w:r>
          </w:p>
          <w:p w14:paraId="1252AD4A" w14:textId="77777777" w:rsidR="0079012F" w:rsidRPr="002B1E2F" w:rsidRDefault="006024EE" w:rsidP="006024EE">
            <w:pPr>
              <w:pStyle w:val="SmallStyle"/>
              <w:numPr>
                <w:ilvl w:val="0"/>
                <w:numId w:val="3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ethnic/religious factors</w:t>
            </w:r>
          </w:p>
          <w:p w14:paraId="08CEBCC3" w14:textId="77777777" w:rsidR="0079012F" w:rsidRPr="002B1E2F" w:rsidRDefault="006024EE" w:rsidP="006024EE">
            <w:pPr>
              <w:pStyle w:val="SmallStyle"/>
              <w:numPr>
                <w:ilvl w:val="0"/>
                <w:numId w:val="3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advertising and publicity</w:t>
            </w:r>
          </w:p>
          <w:p w14:paraId="721BD8A3" w14:textId="533A57C5" w:rsidR="0079012F" w:rsidRPr="002B1E2F" w:rsidRDefault="006024EE" w:rsidP="006024EE">
            <w:pPr>
              <w:pStyle w:val="SmallStyle"/>
              <w:numPr>
                <w:ilvl w:val="0"/>
                <w:numId w:val="3"/>
              </w:numPr>
              <w:spacing w:line="276" w:lineRule="auto"/>
              <w:ind w:left="219" w:hanging="219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ethical issues</w:t>
            </w:r>
          </w:p>
        </w:tc>
        <w:tc>
          <w:tcPr>
            <w:tcW w:w="971" w:type="pct"/>
            <w:tcBorders>
              <w:top w:val="single" w:sz="18" w:space="0" w:color="090580"/>
              <w:left w:val="single" w:sz="2" w:space="0" w:color="090580"/>
              <w:bottom w:val="single" w:sz="18" w:space="0" w:color="090580"/>
              <w:right w:val="single" w:sz="2" w:space="0" w:color="090580"/>
            </w:tcBorders>
          </w:tcPr>
          <w:p w14:paraId="3152CDF7" w14:textId="5D797428" w:rsidR="0079012F" w:rsidRPr="00BB0FCF" w:rsidRDefault="0079012F" w:rsidP="006024EE">
            <w:pPr>
              <w:pStyle w:val="TableContents"/>
              <w:snapToGrid w:val="0"/>
              <w:spacing w:line="276" w:lineRule="auto"/>
              <w:ind w:left="219"/>
              <w:rPr>
                <w:rFonts w:ascii="Segoe UI" w:eastAsia="Times New Roman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971" w:type="pct"/>
            <w:tcBorders>
              <w:top w:val="single" w:sz="18" w:space="0" w:color="090580"/>
              <w:left w:val="single" w:sz="2" w:space="0" w:color="090580"/>
              <w:bottom w:val="single" w:sz="18" w:space="0" w:color="090580"/>
              <w:right w:val="single" w:sz="2" w:space="0" w:color="090580"/>
            </w:tcBorders>
          </w:tcPr>
          <w:p w14:paraId="50B4542C" w14:textId="54052FBC" w:rsidR="0079012F" w:rsidRPr="00BB0FCF" w:rsidRDefault="0079012F" w:rsidP="006024EE">
            <w:pPr>
              <w:pStyle w:val="TableContents"/>
              <w:snapToGrid w:val="0"/>
              <w:spacing w:line="276" w:lineRule="auto"/>
              <w:ind w:left="219"/>
              <w:rPr>
                <w:rFonts w:ascii="Segoe UI" w:eastAsia="Times New Roman" w:hAnsi="Segoe UI" w:cs="Segoe UI"/>
                <w:color w:val="000000" w:themeColor="text1"/>
              </w:rPr>
            </w:pPr>
          </w:p>
        </w:tc>
        <w:tc>
          <w:tcPr>
            <w:tcW w:w="1494" w:type="pct"/>
            <w:tcBorders>
              <w:top w:val="single" w:sz="18" w:space="0" w:color="090580"/>
              <w:left w:val="single" w:sz="2" w:space="0" w:color="090580"/>
              <w:bottom w:val="single" w:sz="18" w:space="0" w:color="090580"/>
            </w:tcBorders>
          </w:tcPr>
          <w:p w14:paraId="1620F5F7" w14:textId="77777777" w:rsidR="0079012F" w:rsidRPr="002B1E2F" w:rsidRDefault="006024EE" w:rsidP="00412836">
            <w:pPr>
              <w:pStyle w:val="Heading2"/>
              <w:numPr>
                <w:ilvl w:val="0"/>
                <w:numId w:val="3"/>
              </w:numPr>
              <w:tabs>
                <w:tab w:val="left" w:pos="0"/>
              </w:tabs>
              <w:spacing w:before="0" w:after="0" w:line="276" w:lineRule="auto"/>
              <w:ind w:left="441" w:hanging="270"/>
              <w:rPr>
                <w:rFonts w:ascii="Segoe UI" w:eastAsia="Times New Roman" w:hAnsi="Segoe UI" w:cs="Segoe UI"/>
                <w:b w:val="0"/>
                <w:bCs w:val="0"/>
                <w:color w:val="000000" w:themeColor="text1"/>
                <w:sz w:val="18"/>
                <w:szCs w:val="18"/>
                <w:lang w:eastAsia="ar-SA"/>
              </w:rPr>
            </w:pPr>
            <w:r w:rsidRPr="002B1E2F">
              <w:rPr>
                <w:rFonts w:ascii="Segoe UI" w:hAnsi="Segoe UI" w:cs="Segoe UI"/>
                <w:b w:val="0"/>
                <w:bCs w:val="0"/>
                <w:color w:val="000000" w:themeColor="text1"/>
                <w:sz w:val="18"/>
                <w:szCs w:val="18"/>
                <w:lang w:val="en-US" w:bidi="en-US"/>
              </w:rPr>
              <w:t>competing technology development</w:t>
            </w:r>
          </w:p>
          <w:p w14:paraId="0988CE17" w14:textId="77777777" w:rsidR="0079012F" w:rsidRPr="002B1E2F" w:rsidRDefault="006024EE" w:rsidP="00412836">
            <w:pPr>
              <w:pStyle w:val="SmallStyle"/>
              <w:numPr>
                <w:ilvl w:val="0"/>
                <w:numId w:val="3"/>
              </w:numPr>
              <w:spacing w:line="276" w:lineRule="auto"/>
              <w:ind w:left="441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research funding</w:t>
            </w:r>
          </w:p>
          <w:p w14:paraId="6056F529" w14:textId="77777777" w:rsidR="0079012F" w:rsidRPr="002B1E2F" w:rsidRDefault="006024EE" w:rsidP="00412836">
            <w:pPr>
              <w:pStyle w:val="SmallStyle"/>
              <w:numPr>
                <w:ilvl w:val="0"/>
                <w:numId w:val="3"/>
              </w:numPr>
              <w:spacing w:line="276" w:lineRule="auto"/>
              <w:ind w:left="441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associated/dependent technologies</w:t>
            </w:r>
          </w:p>
          <w:p w14:paraId="03081791" w14:textId="77777777" w:rsidR="0079012F" w:rsidRPr="002B1E2F" w:rsidRDefault="006024EE" w:rsidP="00412836">
            <w:pPr>
              <w:pStyle w:val="SmallStyle"/>
              <w:numPr>
                <w:ilvl w:val="0"/>
                <w:numId w:val="3"/>
              </w:numPr>
              <w:spacing w:line="276" w:lineRule="auto"/>
              <w:ind w:left="441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replacement technology/solutions</w:t>
            </w:r>
          </w:p>
          <w:p w14:paraId="687CB7D7" w14:textId="77777777" w:rsidR="0079012F" w:rsidRPr="002B1E2F" w:rsidRDefault="006024EE" w:rsidP="00412836">
            <w:pPr>
              <w:pStyle w:val="SmallStyle"/>
              <w:numPr>
                <w:ilvl w:val="0"/>
                <w:numId w:val="3"/>
              </w:numPr>
              <w:spacing w:line="276" w:lineRule="auto"/>
              <w:ind w:left="441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maturity of technology</w:t>
            </w:r>
          </w:p>
          <w:p w14:paraId="13A5ACB8" w14:textId="55BEF5B0" w:rsidR="0079012F" w:rsidRPr="002B1E2F" w:rsidRDefault="006024EE" w:rsidP="00412836">
            <w:pPr>
              <w:pStyle w:val="SmallStyle"/>
              <w:numPr>
                <w:ilvl w:val="0"/>
                <w:numId w:val="3"/>
              </w:numPr>
              <w:spacing w:line="276" w:lineRule="auto"/>
              <w:ind w:left="441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 xml:space="preserve">manufacturing maturity and </w:t>
            </w:r>
            <w:r w:rsidR="00BB0FCF"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capacity</w:t>
            </w:r>
          </w:p>
          <w:p w14:paraId="55DFD1C1" w14:textId="77777777" w:rsidR="0079012F" w:rsidRPr="002B1E2F" w:rsidRDefault="006024EE" w:rsidP="00412836">
            <w:pPr>
              <w:pStyle w:val="SmallStyle"/>
              <w:numPr>
                <w:ilvl w:val="0"/>
                <w:numId w:val="3"/>
              </w:numPr>
              <w:spacing w:line="276" w:lineRule="auto"/>
              <w:ind w:left="441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information and communications</w:t>
            </w:r>
          </w:p>
          <w:p w14:paraId="067EBAD3" w14:textId="77777777" w:rsidR="0079012F" w:rsidRPr="002B1E2F" w:rsidRDefault="006024EE" w:rsidP="00412836">
            <w:pPr>
              <w:pStyle w:val="SmallStyle"/>
              <w:numPr>
                <w:ilvl w:val="0"/>
                <w:numId w:val="3"/>
              </w:numPr>
              <w:spacing w:line="276" w:lineRule="auto"/>
              <w:ind w:left="441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consumer buying mechanisms/technology</w:t>
            </w:r>
          </w:p>
          <w:p w14:paraId="46D1DEBC" w14:textId="77777777" w:rsidR="0079012F" w:rsidRPr="002B1E2F" w:rsidRDefault="006024EE" w:rsidP="00412836">
            <w:pPr>
              <w:pStyle w:val="SmallStyle"/>
              <w:numPr>
                <w:ilvl w:val="0"/>
                <w:numId w:val="3"/>
              </w:numPr>
              <w:spacing w:line="276" w:lineRule="auto"/>
              <w:ind w:left="441" w:hanging="270"/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technology legislation</w:t>
            </w:r>
          </w:p>
          <w:p w14:paraId="33DF21F1" w14:textId="13DDED53" w:rsidR="0079012F" w:rsidRPr="00BB0FCF" w:rsidRDefault="006024EE" w:rsidP="00412836">
            <w:pPr>
              <w:pStyle w:val="SmallStyle"/>
              <w:numPr>
                <w:ilvl w:val="0"/>
                <w:numId w:val="3"/>
              </w:numPr>
              <w:spacing w:line="276" w:lineRule="auto"/>
              <w:ind w:left="441" w:hanging="270"/>
              <w:rPr>
                <w:rFonts w:ascii="Segoe UI" w:hAnsi="Segoe UI" w:cs="Segoe UI"/>
                <w:color w:val="000000" w:themeColor="text1"/>
                <w:sz w:val="20"/>
                <w:szCs w:val="20"/>
                <w:lang w:val="en-US" w:eastAsia="en-US" w:bidi="en-US"/>
              </w:rPr>
            </w:pPr>
            <w:r w:rsidRPr="002B1E2F">
              <w:rPr>
                <w:rFonts w:ascii="Segoe UI" w:hAnsi="Segoe UI" w:cs="Segoe UI"/>
                <w:color w:val="000000" w:themeColor="text1"/>
                <w:sz w:val="18"/>
                <w:szCs w:val="18"/>
                <w:lang w:val="en-US" w:eastAsia="en-US" w:bidi="en-US"/>
              </w:rPr>
              <w:t>innovation potential</w:t>
            </w:r>
          </w:p>
        </w:tc>
      </w:tr>
    </w:tbl>
    <w:p w14:paraId="467D31A2" w14:textId="77777777" w:rsidR="00BE3FDC" w:rsidRPr="00BE3FDC" w:rsidRDefault="00BE3FDC" w:rsidP="00246FD5">
      <w:pPr>
        <w:pStyle w:val="SmallStyle"/>
        <w:spacing w:line="276" w:lineRule="auto"/>
        <w:rPr>
          <w:rFonts w:ascii="Segoe UI" w:hAnsi="Segoe UI" w:cs="Segoe UI"/>
          <w:b/>
          <w:bCs/>
          <w:color w:val="090580"/>
          <w:sz w:val="2"/>
          <w:szCs w:val="2"/>
          <w:lang w:val="en-US" w:eastAsia="en-US" w:bidi="en-US"/>
        </w:rPr>
      </w:pPr>
    </w:p>
    <w:p w14:paraId="638E13AE" w14:textId="77777777" w:rsidR="00413250" w:rsidRDefault="006024EE" w:rsidP="002B1E2F">
      <w:pPr>
        <w:pStyle w:val="SmallStyle"/>
        <w:spacing w:after="240" w:line="276" w:lineRule="auto"/>
        <w:rPr>
          <w:rFonts w:ascii="Segoe UI" w:hAnsi="Segoe UI" w:cs="Segoe UI"/>
          <w:b/>
          <w:bCs/>
          <w:color w:val="090580"/>
          <w:sz w:val="22"/>
          <w:szCs w:val="22"/>
          <w:lang w:val="en-US" w:eastAsia="en-US" w:bidi="en-US"/>
        </w:rPr>
      </w:pPr>
      <w:r w:rsidRPr="00BE3FDC">
        <w:rPr>
          <w:rFonts w:ascii="Segoe UI" w:hAnsi="Segoe UI" w:cs="Segoe UI"/>
          <w:b/>
          <w:bCs/>
          <w:color w:val="090580"/>
          <w:sz w:val="28"/>
          <w:szCs w:val="28"/>
          <w:lang w:val="en-US" w:eastAsia="en-US" w:bidi="en-US"/>
        </w:rPr>
        <w:t>Note:</w:t>
      </w:r>
      <w:r w:rsidRPr="002B1E2F">
        <w:rPr>
          <w:rFonts w:ascii="Segoe UI" w:hAnsi="Segoe UI" w:cs="Segoe UI"/>
          <w:b/>
          <w:bCs/>
          <w:color w:val="090580"/>
          <w:sz w:val="22"/>
          <w:szCs w:val="22"/>
          <w:lang w:val="en-US" w:eastAsia="en-US" w:bidi="en-US"/>
        </w:rPr>
        <w:t xml:space="preserve"> </w:t>
      </w:r>
    </w:p>
    <w:p w14:paraId="737BD3DA" w14:textId="208D3099" w:rsidR="00FA2CF1" w:rsidRPr="002B1E2F" w:rsidRDefault="006024EE" w:rsidP="002B1E2F">
      <w:pPr>
        <w:pStyle w:val="SmallStyle"/>
        <w:spacing w:after="240" w:line="276" w:lineRule="auto"/>
        <w:rPr>
          <w:rFonts w:ascii="Segoe UI" w:hAnsi="Segoe UI" w:cs="Segoe UI"/>
          <w:b/>
          <w:bCs/>
          <w:color w:val="090580"/>
          <w:sz w:val="28"/>
          <w:szCs w:val="28"/>
          <w:lang w:val="en-US" w:eastAsia="en-US" w:bidi="en-US"/>
        </w:rPr>
      </w:pPr>
      <w:r w:rsidRPr="002B1E2F">
        <w:rPr>
          <w:rFonts w:ascii="Segoe UI" w:hAnsi="Segoe UI" w:cs="Segoe UI"/>
          <w:color w:val="000000" w:themeColor="text1"/>
          <w:sz w:val="20"/>
          <w:szCs w:val="20"/>
          <w:lang w:val="en-US" w:eastAsia="en-US" w:bidi="en-US"/>
        </w:rPr>
        <w:t xml:space="preserve">PEST analysis can be useful before SWOT analysis because PEST helps to identify SWOT factors. PEST and SWOT are two different perspectives but can contain common factors.  </w:t>
      </w:r>
    </w:p>
    <w:sectPr w:rsidR="00FA2CF1" w:rsidRPr="002B1E2F" w:rsidSect="00413250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8097" w14:textId="77777777" w:rsidR="002157C9" w:rsidRDefault="002157C9" w:rsidP="004875EA">
      <w:r>
        <w:separator/>
      </w:r>
    </w:p>
  </w:endnote>
  <w:endnote w:type="continuationSeparator" w:id="0">
    <w:p w14:paraId="5EAE06D9" w14:textId="77777777" w:rsidR="002157C9" w:rsidRDefault="002157C9" w:rsidP="0048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5F05" w14:textId="11C03D2C" w:rsidR="004875EA" w:rsidRPr="00BE3FDC" w:rsidRDefault="00BE3FDC" w:rsidP="00BE3FDC">
    <w:pPr>
      <w:pStyle w:val="Footer"/>
      <w:jc w:val="right"/>
      <w:rPr>
        <w:rFonts w:ascii="Segoe UI" w:hAnsi="Segoe UI" w:cs="Segoe UI"/>
        <w:b/>
        <w:bCs/>
        <w:color w:val="090580"/>
      </w:rPr>
    </w:pPr>
    <w:r w:rsidRPr="003E038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F77AC2" wp14:editId="2F2D30AE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FDC">
      <w:rPr>
        <w:rFonts w:ascii="Segoe UI" w:hAnsi="Segoe UI" w:cs="Segoe UI"/>
        <w:b/>
        <w:bCs/>
        <w:color w:val="090580"/>
        <w:sz w:val="20"/>
        <w:szCs w:val="20"/>
      </w:rPr>
      <w:t xml:space="preserve">pg. </w:t>
    </w:r>
    <w:r w:rsidRPr="00BE3FDC">
      <w:rPr>
        <w:rFonts w:ascii="Segoe UI" w:hAnsi="Segoe UI" w:cs="Segoe UI"/>
        <w:b/>
        <w:bCs/>
        <w:color w:val="090580"/>
        <w:sz w:val="20"/>
        <w:szCs w:val="20"/>
      </w:rPr>
      <w:fldChar w:fldCharType="begin"/>
    </w:r>
    <w:r w:rsidRPr="00BE3FDC">
      <w:rPr>
        <w:rFonts w:ascii="Segoe UI" w:hAnsi="Segoe UI" w:cs="Segoe UI"/>
        <w:b/>
        <w:bCs/>
        <w:color w:val="090580"/>
        <w:sz w:val="20"/>
        <w:szCs w:val="20"/>
      </w:rPr>
      <w:instrText xml:space="preserve"> PAGE  \* Arabic </w:instrText>
    </w:r>
    <w:r w:rsidRPr="00BE3FDC">
      <w:rPr>
        <w:rFonts w:ascii="Segoe UI" w:hAnsi="Segoe UI" w:cs="Segoe UI"/>
        <w:b/>
        <w:bCs/>
        <w:color w:val="090580"/>
        <w:sz w:val="20"/>
        <w:szCs w:val="20"/>
      </w:rPr>
      <w:fldChar w:fldCharType="separate"/>
    </w:r>
    <w:r w:rsidRPr="00BE3FDC">
      <w:rPr>
        <w:rFonts w:ascii="Segoe UI" w:hAnsi="Segoe UI" w:cs="Segoe UI"/>
        <w:b/>
        <w:bCs/>
        <w:noProof/>
        <w:color w:val="090580"/>
        <w:sz w:val="20"/>
        <w:szCs w:val="20"/>
      </w:rPr>
      <w:t>1</w:t>
    </w:r>
    <w:r w:rsidRPr="00BE3FDC">
      <w:rPr>
        <w:rFonts w:ascii="Segoe UI" w:hAnsi="Segoe UI" w:cs="Segoe UI"/>
        <w:b/>
        <w:bCs/>
        <w:color w:val="0905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00D6" w14:textId="77777777" w:rsidR="002157C9" w:rsidRDefault="002157C9" w:rsidP="004875EA">
      <w:r>
        <w:separator/>
      </w:r>
    </w:p>
  </w:footnote>
  <w:footnote w:type="continuationSeparator" w:id="0">
    <w:p w14:paraId="135010E8" w14:textId="77777777" w:rsidR="002157C9" w:rsidRDefault="002157C9" w:rsidP="0048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FC91" w14:textId="77777777" w:rsidR="00413250" w:rsidRPr="00BB0FCF" w:rsidRDefault="00413250" w:rsidP="00413250">
    <w:pPr>
      <w:spacing w:line="276" w:lineRule="auto"/>
      <w:jc w:val="center"/>
      <w:rPr>
        <w:rFonts w:ascii="Segoe UI" w:hAnsi="Segoe UI" w:cs="Segoe UI"/>
        <w:b/>
        <w:bCs/>
        <w:color w:val="090580"/>
        <w:sz w:val="40"/>
        <w:szCs w:val="40"/>
      </w:rPr>
    </w:pPr>
    <w:r w:rsidRPr="00BB0FCF">
      <w:rPr>
        <w:rFonts w:ascii="Segoe UI" w:hAnsi="Segoe UI" w:cs="Segoe UI"/>
        <w:b/>
        <w:bCs/>
        <w:color w:val="090580"/>
        <w:sz w:val="40"/>
        <w:szCs w:val="40"/>
      </w:rPr>
      <w:t>PEST ANALYSIS</w:t>
    </w:r>
  </w:p>
  <w:p w14:paraId="5B224A46" w14:textId="77777777" w:rsidR="002F436A" w:rsidRDefault="002F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FE41CD"/>
    <w:multiLevelType w:val="hybridMultilevel"/>
    <w:tmpl w:val="177A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0A1C"/>
    <w:multiLevelType w:val="hybridMultilevel"/>
    <w:tmpl w:val="82E28202"/>
    <w:lvl w:ilvl="0" w:tplc="E5D23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05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A0F7B"/>
    <w:multiLevelType w:val="hybridMultilevel"/>
    <w:tmpl w:val="070818F2"/>
    <w:lvl w:ilvl="0" w:tplc="82D0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05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93B81"/>
    <w:multiLevelType w:val="hybridMultilevel"/>
    <w:tmpl w:val="1D189B44"/>
    <w:lvl w:ilvl="0" w:tplc="E45E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05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566020">
    <w:abstractNumId w:val="0"/>
  </w:num>
  <w:num w:numId="2" w16cid:durableId="182206704">
    <w:abstractNumId w:val="4"/>
  </w:num>
  <w:num w:numId="3" w16cid:durableId="350763733">
    <w:abstractNumId w:val="3"/>
  </w:num>
  <w:num w:numId="4" w16cid:durableId="1951622144">
    <w:abstractNumId w:val="1"/>
  </w:num>
  <w:num w:numId="5" w16cid:durableId="19474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55"/>
    <w:rsid w:val="00096D01"/>
    <w:rsid w:val="000C510B"/>
    <w:rsid w:val="00212612"/>
    <w:rsid w:val="002157C9"/>
    <w:rsid w:val="00246FD5"/>
    <w:rsid w:val="002A619A"/>
    <w:rsid w:val="002B1E2F"/>
    <w:rsid w:val="002D6E7E"/>
    <w:rsid w:val="002F436A"/>
    <w:rsid w:val="003C2BFF"/>
    <w:rsid w:val="00412836"/>
    <w:rsid w:val="00413250"/>
    <w:rsid w:val="0048086C"/>
    <w:rsid w:val="004875EA"/>
    <w:rsid w:val="004B01AC"/>
    <w:rsid w:val="004D21C0"/>
    <w:rsid w:val="005424B9"/>
    <w:rsid w:val="006024EE"/>
    <w:rsid w:val="0061003F"/>
    <w:rsid w:val="0062316A"/>
    <w:rsid w:val="00630394"/>
    <w:rsid w:val="006C13EF"/>
    <w:rsid w:val="006C6755"/>
    <w:rsid w:val="00752C93"/>
    <w:rsid w:val="0079012F"/>
    <w:rsid w:val="007A0F11"/>
    <w:rsid w:val="0080581A"/>
    <w:rsid w:val="00821B22"/>
    <w:rsid w:val="008D450D"/>
    <w:rsid w:val="008E06CB"/>
    <w:rsid w:val="00A863D0"/>
    <w:rsid w:val="00B9126E"/>
    <w:rsid w:val="00BB0FCF"/>
    <w:rsid w:val="00BE3FDC"/>
    <w:rsid w:val="00C37709"/>
    <w:rsid w:val="00DE0605"/>
    <w:rsid w:val="00E16EE9"/>
    <w:rsid w:val="00E32546"/>
    <w:rsid w:val="00ED3CDF"/>
    <w:rsid w:val="00EE56FF"/>
    <w:rsid w:val="00EE6125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D655B0"/>
  <w15:chartTrackingRefBased/>
  <w15:docId w15:val="{FA339E54-3EE0-487B-9C65-B0C22C4C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mallStyle">
    <w:name w:val="SmallStyle"/>
    <w:basedOn w:val="Normal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EA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7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EA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zaidiaiman507@gmail.com</cp:lastModifiedBy>
  <cp:revision>9</cp:revision>
  <cp:lastPrinted>1899-12-31T19:00:00Z</cp:lastPrinted>
  <dcterms:created xsi:type="dcterms:W3CDTF">2023-07-22T11:34:00Z</dcterms:created>
  <dcterms:modified xsi:type="dcterms:W3CDTF">2023-09-14T13:02:00Z</dcterms:modified>
</cp:coreProperties>
</file>