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E777CC" w14:textId="02C380AB" w:rsidR="00073084" w:rsidRPr="00C02BF5" w:rsidRDefault="00C02BF5" w:rsidP="006E7EF4">
      <w:pPr>
        <w:spacing w:line="276" w:lineRule="auto"/>
        <w:jc w:val="center"/>
        <w:rPr>
          <w:rFonts w:ascii="Century Gothic" w:hAnsi="Century Gothic"/>
          <w:b/>
          <w:sz w:val="36"/>
          <w:szCs w:val="36"/>
          <w:u w:val="single"/>
        </w:rPr>
      </w:pPr>
      <w:r w:rsidRPr="00C02BF5">
        <w:rPr>
          <w:rFonts w:ascii="Century Gothic" w:hAnsi="Century Gothic"/>
          <w:b/>
          <w:sz w:val="36"/>
          <w:szCs w:val="36"/>
          <w:u w:val="single"/>
        </w:rPr>
        <w:t>TERM SHEET</w:t>
      </w:r>
    </w:p>
    <w:p w14:paraId="35EBC90B" w14:textId="77777777" w:rsidR="00073084" w:rsidRPr="006E7EF4" w:rsidRDefault="00073084" w:rsidP="00C02BF5">
      <w:pPr>
        <w:spacing w:line="276" w:lineRule="auto"/>
        <w:rPr>
          <w:rFonts w:ascii="Century Gothic" w:eastAsia="Times New Roman" w:hAnsi="Century Gothic"/>
          <w:sz w:val="36"/>
          <w:szCs w:val="28"/>
        </w:rPr>
      </w:pPr>
      <w:bookmarkStart w:id="0" w:name="_GoBack"/>
      <w:bookmarkEnd w:id="0"/>
    </w:p>
    <w:p w14:paraId="318C861C" w14:textId="77777777" w:rsidR="00C02BF5" w:rsidRPr="00C02BF5" w:rsidRDefault="00710EED" w:rsidP="006E7EF4">
      <w:pPr>
        <w:tabs>
          <w:tab w:val="left" w:pos="1440"/>
        </w:tabs>
        <w:spacing w:line="276" w:lineRule="auto"/>
        <w:ind w:left="20"/>
        <w:rPr>
          <w:rFonts w:ascii="Century Gothic" w:eastAsia="Times New Roman" w:hAnsi="Century Gothic"/>
          <w:sz w:val="22"/>
          <w:szCs w:val="22"/>
        </w:rPr>
      </w:pPr>
      <w:r w:rsidRPr="00C02BF5">
        <w:rPr>
          <w:rFonts w:ascii="Century Gothic" w:eastAsia="Arial" w:hAnsi="Century Gothic"/>
          <w:b/>
          <w:sz w:val="28"/>
          <w:szCs w:val="22"/>
        </w:rPr>
        <w:t>Company</w:t>
      </w:r>
      <w:r w:rsidRPr="00C02BF5">
        <w:rPr>
          <w:rFonts w:ascii="Century Gothic" w:eastAsia="Arial" w:hAnsi="Century Gothic"/>
          <w:sz w:val="28"/>
          <w:szCs w:val="22"/>
        </w:rPr>
        <w:t>:</w:t>
      </w:r>
      <w:r w:rsidRPr="00C02BF5">
        <w:rPr>
          <w:rFonts w:ascii="Century Gothic" w:eastAsia="Times New Roman" w:hAnsi="Century Gothic"/>
          <w:sz w:val="22"/>
          <w:szCs w:val="22"/>
        </w:rPr>
        <w:tab/>
      </w:r>
    </w:p>
    <w:p w14:paraId="7701B536" w14:textId="77777777" w:rsidR="00073084" w:rsidRPr="00C02BF5" w:rsidRDefault="00710EED" w:rsidP="006E7EF4">
      <w:pPr>
        <w:tabs>
          <w:tab w:val="left" w:pos="1440"/>
        </w:tabs>
        <w:spacing w:line="276" w:lineRule="auto"/>
        <w:ind w:left="20"/>
        <w:rPr>
          <w:rFonts w:ascii="Century Gothic" w:eastAsia="Arial" w:hAnsi="Century Gothic"/>
          <w:sz w:val="28"/>
          <w:szCs w:val="28"/>
        </w:rPr>
      </w:pPr>
      <w:r w:rsidRPr="00C02BF5">
        <w:rPr>
          <w:rFonts w:ascii="Century Gothic" w:eastAsia="Arial" w:hAnsi="Century Gothic"/>
          <w:sz w:val="24"/>
          <w:szCs w:val="22"/>
        </w:rPr>
        <w:t>[Insert: Full Legal Name of the Company] (the “Company”)</w:t>
      </w:r>
    </w:p>
    <w:p w14:paraId="1791DF0B" w14:textId="77777777" w:rsidR="00073084" w:rsidRPr="00C02BF5" w:rsidRDefault="00073084" w:rsidP="006E7EF4">
      <w:pPr>
        <w:spacing w:line="276" w:lineRule="auto"/>
        <w:rPr>
          <w:rFonts w:ascii="Century Gothic" w:eastAsia="Times New Roman" w:hAnsi="Century Gothic"/>
          <w:sz w:val="24"/>
        </w:rPr>
      </w:pPr>
    </w:p>
    <w:p w14:paraId="52265760" w14:textId="77777777" w:rsidR="00C02BF5" w:rsidRPr="00C02BF5" w:rsidRDefault="00710EED" w:rsidP="006E7EF4">
      <w:pPr>
        <w:spacing w:line="276" w:lineRule="auto"/>
        <w:ind w:left="20" w:right="300"/>
        <w:jc w:val="both"/>
        <w:rPr>
          <w:rFonts w:ascii="Century Gothic" w:eastAsia="Arial" w:hAnsi="Century Gothic"/>
          <w:sz w:val="28"/>
          <w:szCs w:val="28"/>
        </w:rPr>
      </w:pPr>
      <w:r w:rsidRPr="00C02BF5">
        <w:rPr>
          <w:rFonts w:ascii="Century Gothic" w:eastAsia="Arial" w:hAnsi="Century Gothic"/>
          <w:b/>
          <w:sz w:val="28"/>
          <w:szCs w:val="28"/>
        </w:rPr>
        <w:t>Summary</w:t>
      </w:r>
      <w:r w:rsidRPr="00C02BF5">
        <w:rPr>
          <w:rFonts w:ascii="Century Gothic" w:eastAsia="Arial" w:hAnsi="Century Gothic"/>
          <w:sz w:val="28"/>
          <w:szCs w:val="28"/>
        </w:rPr>
        <w:t>:</w:t>
      </w:r>
    </w:p>
    <w:p w14:paraId="23F2E86D" w14:textId="77777777" w:rsidR="00073084" w:rsidRPr="00C02BF5" w:rsidRDefault="00710EED" w:rsidP="006E7EF4">
      <w:pPr>
        <w:spacing w:line="276" w:lineRule="auto"/>
        <w:ind w:left="20" w:right="300"/>
        <w:jc w:val="both"/>
        <w:rPr>
          <w:rFonts w:ascii="Century Gothic" w:eastAsia="Arial" w:hAnsi="Century Gothic"/>
          <w:sz w:val="24"/>
          <w:szCs w:val="24"/>
        </w:rPr>
      </w:pPr>
      <w:r w:rsidRPr="00C02BF5">
        <w:rPr>
          <w:rFonts w:ascii="Century Gothic" w:eastAsia="Arial" w:hAnsi="Century Gothic"/>
          <w:sz w:val="24"/>
          <w:szCs w:val="24"/>
        </w:rPr>
        <w:t>This term sheet summarizes the terms proposed for an investment by [Insert</w:t>
      </w:r>
      <w:r w:rsidRPr="00C02BF5">
        <w:rPr>
          <w:rFonts w:ascii="Century Gothic" w:eastAsia="Arial" w:hAnsi="Century Gothic"/>
          <w:b/>
          <w:sz w:val="24"/>
          <w:szCs w:val="24"/>
        </w:rPr>
        <w:t xml:space="preserve"> </w:t>
      </w:r>
      <w:r w:rsidRPr="00C02BF5">
        <w:rPr>
          <w:rFonts w:ascii="Century Gothic" w:eastAsia="Arial" w:hAnsi="Century Gothic"/>
          <w:sz w:val="24"/>
          <w:szCs w:val="24"/>
        </w:rPr>
        <w:t>name of Angel Group], a group of investors (the “Investors”), in the Company. It is intended solely as a basis for further discussion and does not constitute a legally binding obligation.</w:t>
      </w:r>
    </w:p>
    <w:p w14:paraId="38CB5C50" w14:textId="77777777" w:rsidR="00073084" w:rsidRPr="00C02BF5" w:rsidRDefault="00073084" w:rsidP="006E7EF4">
      <w:pPr>
        <w:spacing w:line="276" w:lineRule="auto"/>
        <w:rPr>
          <w:rFonts w:ascii="Century Gothic" w:eastAsia="Times New Roman" w:hAnsi="Century Gothic"/>
          <w:sz w:val="24"/>
        </w:rPr>
      </w:pPr>
    </w:p>
    <w:p w14:paraId="6CA1442C" w14:textId="77777777" w:rsidR="00C02BF5" w:rsidRPr="00C02BF5" w:rsidRDefault="00710EED" w:rsidP="006E7EF4">
      <w:pPr>
        <w:tabs>
          <w:tab w:val="left" w:pos="1440"/>
        </w:tabs>
        <w:spacing w:line="276" w:lineRule="auto"/>
        <w:ind w:left="20"/>
        <w:rPr>
          <w:rFonts w:ascii="Century Gothic" w:eastAsia="Times New Roman" w:hAnsi="Century Gothic"/>
          <w:sz w:val="28"/>
          <w:szCs w:val="28"/>
        </w:rPr>
      </w:pPr>
      <w:r w:rsidRPr="00C02BF5">
        <w:rPr>
          <w:rFonts w:ascii="Century Gothic" w:eastAsia="Arial" w:hAnsi="Century Gothic"/>
          <w:b/>
          <w:sz w:val="28"/>
          <w:szCs w:val="28"/>
        </w:rPr>
        <w:t>Investors</w:t>
      </w:r>
      <w:r w:rsidRPr="00C02BF5">
        <w:rPr>
          <w:rFonts w:ascii="Century Gothic" w:eastAsia="Arial" w:hAnsi="Century Gothic"/>
          <w:sz w:val="28"/>
          <w:szCs w:val="28"/>
        </w:rPr>
        <w:t>:</w:t>
      </w:r>
      <w:r w:rsidRPr="00C02BF5">
        <w:rPr>
          <w:rFonts w:ascii="Century Gothic" w:eastAsia="Times New Roman" w:hAnsi="Century Gothic"/>
          <w:sz w:val="28"/>
          <w:szCs w:val="28"/>
        </w:rPr>
        <w:tab/>
      </w:r>
    </w:p>
    <w:p w14:paraId="01C14765" w14:textId="77777777" w:rsidR="00073084" w:rsidRPr="00C02BF5" w:rsidRDefault="00710EED" w:rsidP="006E7EF4">
      <w:pPr>
        <w:tabs>
          <w:tab w:val="left" w:pos="1440"/>
        </w:tabs>
        <w:spacing w:line="276" w:lineRule="auto"/>
        <w:ind w:left="20"/>
        <w:rPr>
          <w:rFonts w:ascii="Century Gothic" w:eastAsia="Arial" w:hAnsi="Century Gothic"/>
          <w:sz w:val="24"/>
          <w:szCs w:val="24"/>
        </w:rPr>
      </w:pPr>
      <w:r w:rsidRPr="00C02BF5">
        <w:rPr>
          <w:rFonts w:ascii="Century Gothic" w:eastAsia="Arial" w:hAnsi="Century Gothic"/>
          <w:sz w:val="24"/>
          <w:szCs w:val="24"/>
        </w:rPr>
        <w:t>All Investors are Accredited Investors.</w:t>
      </w:r>
    </w:p>
    <w:p w14:paraId="6EDCA775" w14:textId="77777777" w:rsidR="00073084" w:rsidRPr="00C02BF5" w:rsidRDefault="00073084" w:rsidP="006E7EF4">
      <w:pPr>
        <w:spacing w:line="276" w:lineRule="auto"/>
        <w:rPr>
          <w:rFonts w:ascii="Century Gothic" w:eastAsia="Times New Roman" w:hAnsi="Century Gothic"/>
          <w:sz w:val="24"/>
        </w:rPr>
      </w:pPr>
    </w:p>
    <w:p w14:paraId="2211356F" w14:textId="77777777" w:rsidR="00C02BF5" w:rsidRDefault="00710EED" w:rsidP="006E7EF4">
      <w:pPr>
        <w:tabs>
          <w:tab w:val="left" w:pos="1440"/>
        </w:tabs>
        <w:spacing w:line="276" w:lineRule="auto"/>
        <w:ind w:left="20"/>
        <w:rPr>
          <w:rFonts w:ascii="Century Gothic" w:eastAsia="Times New Roman" w:hAnsi="Century Gothic"/>
        </w:rPr>
      </w:pPr>
      <w:r w:rsidRPr="00C02BF5">
        <w:rPr>
          <w:rFonts w:ascii="Century Gothic" w:eastAsia="Arial" w:hAnsi="Century Gothic"/>
          <w:b/>
          <w:sz w:val="28"/>
          <w:szCs w:val="28"/>
        </w:rPr>
        <w:t>Currency</w:t>
      </w:r>
      <w:r w:rsidRPr="00C02BF5">
        <w:rPr>
          <w:rFonts w:ascii="Century Gothic" w:eastAsia="Arial" w:hAnsi="Century Gothic"/>
          <w:sz w:val="28"/>
          <w:szCs w:val="28"/>
        </w:rPr>
        <w:t>:</w:t>
      </w:r>
      <w:r w:rsidRPr="00C02BF5">
        <w:rPr>
          <w:rFonts w:ascii="Century Gothic" w:eastAsia="Times New Roman" w:hAnsi="Century Gothic"/>
        </w:rPr>
        <w:tab/>
      </w:r>
    </w:p>
    <w:p w14:paraId="093BAC88" w14:textId="77777777" w:rsidR="00073084" w:rsidRPr="00C02BF5" w:rsidRDefault="00710EED" w:rsidP="006E7EF4">
      <w:pPr>
        <w:tabs>
          <w:tab w:val="left" w:pos="1440"/>
        </w:tabs>
        <w:spacing w:line="276" w:lineRule="auto"/>
        <w:ind w:left="20"/>
        <w:rPr>
          <w:rFonts w:ascii="Century Gothic" w:eastAsia="Arial" w:hAnsi="Century Gothic"/>
          <w:sz w:val="24"/>
          <w:szCs w:val="24"/>
        </w:rPr>
      </w:pPr>
      <w:r w:rsidRPr="00C02BF5">
        <w:rPr>
          <w:rFonts w:ascii="Century Gothic" w:eastAsia="Arial" w:hAnsi="Century Gothic"/>
          <w:sz w:val="24"/>
          <w:szCs w:val="24"/>
        </w:rPr>
        <w:t>Canadian Dollars</w:t>
      </w:r>
    </w:p>
    <w:p w14:paraId="5156A2A4" w14:textId="77777777" w:rsidR="00073084" w:rsidRPr="00C02BF5" w:rsidRDefault="00073084" w:rsidP="006E7EF4">
      <w:pPr>
        <w:spacing w:line="276" w:lineRule="auto"/>
        <w:rPr>
          <w:rFonts w:ascii="Century Gothic" w:eastAsia="Times New Roman" w:hAnsi="Century Gothic"/>
          <w:sz w:val="24"/>
        </w:rPr>
      </w:pPr>
    </w:p>
    <w:p w14:paraId="03AA4121" w14:textId="77777777" w:rsidR="00C02BF5" w:rsidRDefault="00710EED" w:rsidP="006E7EF4">
      <w:pPr>
        <w:spacing w:line="276" w:lineRule="auto"/>
        <w:ind w:left="20" w:right="360"/>
        <w:rPr>
          <w:rFonts w:ascii="Century Gothic" w:eastAsia="Arial" w:hAnsi="Century Gothic"/>
          <w:sz w:val="22"/>
        </w:rPr>
      </w:pPr>
      <w:r w:rsidRPr="00C02BF5">
        <w:rPr>
          <w:rFonts w:ascii="Century Gothic" w:eastAsia="Arial" w:hAnsi="Century Gothic"/>
          <w:b/>
          <w:sz w:val="28"/>
          <w:szCs w:val="28"/>
        </w:rPr>
        <w:t>Closing</w:t>
      </w:r>
      <w:r w:rsidRPr="00C02BF5">
        <w:rPr>
          <w:rFonts w:ascii="Century Gothic" w:eastAsia="Arial" w:hAnsi="Century Gothic"/>
          <w:sz w:val="28"/>
          <w:szCs w:val="28"/>
        </w:rPr>
        <w:t>:</w:t>
      </w:r>
      <w:r w:rsidRPr="00C02BF5">
        <w:rPr>
          <w:rFonts w:ascii="Century Gothic" w:eastAsia="Arial" w:hAnsi="Century Gothic"/>
          <w:sz w:val="22"/>
        </w:rPr>
        <w:t xml:space="preserve"> </w:t>
      </w:r>
    </w:p>
    <w:p w14:paraId="35913068" w14:textId="77777777" w:rsidR="00073084" w:rsidRPr="00C02BF5" w:rsidRDefault="00710EED" w:rsidP="006E7EF4">
      <w:pPr>
        <w:spacing w:line="276" w:lineRule="auto"/>
        <w:ind w:left="20" w:right="360"/>
        <w:rPr>
          <w:rFonts w:ascii="Century Gothic" w:eastAsia="Arial" w:hAnsi="Century Gothic"/>
          <w:sz w:val="24"/>
          <w:szCs w:val="24"/>
        </w:rPr>
      </w:pPr>
      <w:r w:rsidRPr="00C02BF5">
        <w:rPr>
          <w:rFonts w:ascii="Century Gothic" w:eastAsia="Arial" w:hAnsi="Century Gothic"/>
          <w:sz w:val="24"/>
          <w:szCs w:val="24"/>
        </w:rPr>
        <w:t>On or about [Insert Date] As soon as practicable following the Company’s</w:t>
      </w:r>
      <w:r w:rsidRPr="00C02BF5">
        <w:rPr>
          <w:rFonts w:ascii="Century Gothic" w:eastAsia="Arial" w:hAnsi="Century Gothic"/>
          <w:b/>
          <w:sz w:val="24"/>
          <w:szCs w:val="24"/>
        </w:rPr>
        <w:t xml:space="preserve"> </w:t>
      </w:r>
      <w:r w:rsidRPr="00C02BF5">
        <w:rPr>
          <w:rFonts w:ascii="Century Gothic" w:eastAsia="Arial" w:hAnsi="Century Gothic"/>
          <w:sz w:val="24"/>
          <w:szCs w:val="24"/>
        </w:rPr>
        <w:t>acceptance of this Term Sheet and satisfaction of the Conditions to Closing (the “Closing”).</w:t>
      </w:r>
    </w:p>
    <w:p w14:paraId="1DFAE012" w14:textId="77777777" w:rsidR="00073084" w:rsidRPr="00C02BF5" w:rsidRDefault="00073084" w:rsidP="006E7EF4">
      <w:pPr>
        <w:spacing w:line="276" w:lineRule="auto"/>
        <w:rPr>
          <w:rFonts w:ascii="Century Gothic" w:eastAsia="Times New Roman" w:hAnsi="Century Gothic"/>
          <w:sz w:val="24"/>
        </w:rPr>
      </w:pPr>
    </w:p>
    <w:p w14:paraId="3C72E7A8" w14:textId="77777777" w:rsidR="00C02BF5" w:rsidRDefault="00710EED" w:rsidP="006E7EF4">
      <w:pPr>
        <w:tabs>
          <w:tab w:val="left" w:pos="1440"/>
        </w:tabs>
        <w:spacing w:line="276" w:lineRule="auto"/>
        <w:ind w:left="20"/>
        <w:rPr>
          <w:rFonts w:ascii="Century Gothic" w:eastAsia="Times New Roman" w:hAnsi="Century Gothic"/>
        </w:rPr>
      </w:pPr>
      <w:r w:rsidRPr="00C02BF5">
        <w:rPr>
          <w:rFonts w:ascii="Century Gothic" w:eastAsia="Arial" w:hAnsi="Century Gothic"/>
          <w:b/>
          <w:sz w:val="28"/>
          <w:szCs w:val="28"/>
        </w:rPr>
        <w:t>Amount</w:t>
      </w:r>
      <w:r w:rsidRPr="00C02BF5">
        <w:rPr>
          <w:rFonts w:ascii="Century Gothic" w:eastAsia="Arial" w:hAnsi="Century Gothic"/>
          <w:sz w:val="28"/>
          <w:szCs w:val="28"/>
        </w:rPr>
        <w:t>:</w:t>
      </w:r>
      <w:r w:rsidRPr="00C02BF5">
        <w:rPr>
          <w:rFonts w:ascii="Century Gothic" w:eastAsia="Times New Roman" w:hAnsi="Century Gothic"/>
        </w:rPr>
        <w:tab/>
      </w:r>
    </w:p>
    <w:p w14:paraId="1F2DFF0F" w14:textId="77777777" w:rsidR="00073084" w:rsidRPr="00C02BF5" w:rsidRDefault="00710EED" w:rsidP="006E7EF4">
      <w:pPr>
        <w:tabs>
          <w:tab w:val="left" w:pos="1440"/>
        </w:tabs>
        <w:spacing w:line="276" w:lineRule="auto"/>
        <w:ind w:left="20"/>
        <w:rPr>
          <w:rFonts w:ascii="Century Gothic" w:eastAsia="Arial" w:hAnsi="Century Gothic"/>
          <w:sz w:val="24"/>
          <w:szCs w:val="24"/>
        </w:rPr>
      </w:pPr>
      <w:r w:rsidRPr="00C02BF5">
        <w:rPr>
          <w:rFonts w:ascii="Century Gothic" w:eastAsia="Arial" w:hAnsi="Century Gothic"/>
          <w:sz w:val="24"/>
          <w:szCs w:val="24"/>
        </w:rPr>
        <w:t>Minimum Investment to close is $[Insert]</w:t>
      </w:r>
    </w:p>
    <w:p w14:paraId="429EB2EC" w14:textId="77777777" w:rsidR="00073084" w:rsidRPr="00C02BF5" w:rsidRDefault="00073084" w:rsidP="006E7EF4">
      <w:pPr>
        <w:spacing w:line="276" w:lineRule="auto"/>
        <w:rPr>
          <w:rFonts w:ascii="Century Gothic" w:eastAsia="Times New Roman" w:hAnsi="Century Gothic"/>
          <w:sz w:val="24"/>
        </w:rPr>
      </w:pPr>
    </w:p>
    <w:p w14:paraId="5D42E4B8" w14:textId="77777777" w:rsidR="00C02BF5" w:rsidRDefault="00710EED" w:rsidP="006E7EF4">
      <w:pPr>
        <w:tabs>
          <w:tab w:val="left" w:pos="2880"/>
        </w:tabs>
        <w:spacing w:line="276" w:lineRule="auto"/>
        <w:ind w:left="20"/>
        <w:rPr>
          <w:rFonts w:ascii="Century Gothic" w:eastAsia="Times New Roman" w:hAnsi="Century Gothic"/>
          <w:sz w:val="28"/>
          <w:szCs w:val="28"/>
        </w:rPr>
      </w:pPr>
      <w:r w:rsidRPr="00C02BF5">
        <w:rPr>
          <w:rFonts w:ascii="Century Gothic" w:eastAsia="Arial" w:hAnsi="Century Gothic"/>
          <w:b/>
          <w:sz w:val="28"/>
          <w:szCs w:val="28"/>
        </w:rPr>
        <w:t xml:space="preserve">Total Securities O </w:t>
      </w:r>
      <w:proofErr w:type="spellStart"/>
      <w:r w:rsidRPr="00C02BF5">
        <w:rPr>
          <w:rFonts w:ascii="Century Gothic" w:eastAsia="Arial" w:hAnsi="Century Gothic"/>
          <w:b/>
          <w:sz w:val="28"/>
          <w:szCs w:val="28"/>
        </w:rPr>
        <w:t>ered</w:t>
      </w:r>
      <w:proofErr w:type="spellEnd"/>
      <w:r w:rsidRPr="00C02BF5">
        <w:rPr>
          <w:rFonts w:ascii="Century Gothic" w:eastAsia="Arial" w:hAnsi="Century Gothic"/>
          <w:sz w:val="28"/>
          <w:szCs w:val="28"/>
        </w:rPr>
        <w:t>:</w:t>
      </w:r>
      <w:r w:rsidRPr="00C02BF5">
        <w:rPr>
          <w:rFonts w:ascii="Century Gothic" w:eastAsia="Times New Roman" w:hAnsi="Century Gothic"/>
          <w:sz w:val="28"/>
          <w:szCs w:val="28"/>
        </w:rPr>
        <w:tab/>
      </w:r>
    </w:p>
    <w:p w14:paraId="6A4D50A4" w14:textId="77777777" w:rsidR="00073084" w:rsidRPr="00C02BF5" w:rsidRDefault="00710EED" w:rsidP="006E7EF4">
      <w:pPr>
        <w:tabs>
          <w:tab w:val="left" w:pos="2880"/>
        </w:tabs>
        <w:spacing w:line="276" w:lineRule="auto"/>
        <w:ind w:left="20"/>
        <w:rPr>
          <w:rFonts w:ascii="Century Gothic" w:eastAsia="Arial" w:hAnsi="Century Gothic"/>
          <w:sz w:val="24"/>
          <w:szCs w:val="24"/>
        </w:rPr>
      </w:pPr>
      <w:r w:rsidRPr="00C02BF5">
        <w:rPr>
          <w:rFonts w:ascii="Century Gothic" w:eastAsia="Arial" w:hAnsi="Century Gothic"/>
          <w:sz w:val="24"/>
          <w:szCs w:val="24"/>
        </w:rPr>
        <w:t>Maximum [Insert] preferred shares</w:t>
      </w:r>
    </w:p>
    <w:p w14:paraId="331B8FB3" w14:textId="77777777" w:rsidR="00073084" w:rsidRPr="00C02BF5" w:rsidRDefault="00073084" w:rsidP="006E7EF4">
      <w:pPr>
        <w:spacing w:line="276" w:lineRule="auto"/>
        <w:rPr>
          <w:rFonts w:ascii="Century Gothic" w:eastAsia="Times New Roman" w:hAnsi="Century Gothic"/>
          <w:sz w:val="24"/>
        </w:rPr>
      </w:pPr>
    </w:p>
    <w:p w14:paraId="4364A3FD" w14:textId="77777777" w:rsidR="00C02BF5" w:rsidRDefault="00710EED" w:rsidP="006E7EF4">
      <w:pPr>
        <w:tabs>
          <w:tab w:val="left" w:pos="1440"/>
        </w:tabs>
        <w:spacing w:line="276" w:lineRule="auto"/>
        <w:ind w:left="20"/>
        <w:rPr>
          <w:rFonts w:ascii="Century Gothic" w:eastAsia="Times New Roman" w:hAnsi="Century Gothic"/>
        </w:rPr>
      </w:pPr>
      <w:r w:rsidRPr="00C02BF5">
        <w:rPr>
          <w:rFonts w:ascii="Century Gothic" w:eastAsia="Arial" w:hAnsi="Century Gothic"/>
          <w:b/>
          <w:sz w:val="28"/>
          <w:szCs w:val="28"/>
        </w:rPr>
        <w:t>Price</w:t>
      </w:r>
      <w:r w:rsidRPr="00C02BF5">
        <w:rPr>
          <w:rFonts w:ascii="Century Gothic" w:eastAsia="Arial" w:hAnsi="Century Gothic"/>
          <w:sz w:val="28"/>
          <w:szCs w:val="28"/>
        </w:rPr>
        <w:t>:</w:t>
      </w:r>
      <w:r w:rsidRPr="00C02BF5">
        <w:rPr>
          <w:rFonts w:ascii="Century Gothic" w:eastAsia="Times New Roman" w:hAnsi="Century Gothic"/>
        </w:rPr>
        <w:tab/>
      </w:r>
    </w:p>
    <w:p w14:paraId="06F3F236" w14:textId="77777777" w:rsidR="00073084" w:rsidRPr="00C02BF5" w:rsidRDefault="00710EED" w:rsidP="006E7EF4">
      <w:pPr>
        <w:tabs>
          <w:tab w:val="left" w:pos="1440"/>
        </w:tabs>
        <w:spacing w:line="276" w:lineRule="auto"/>
        <w:ind w:left="20"/>
        <w:rPr>
          <w:rFonts w:ascii="Century Gothic" w:eastAsia="Arial" w:hAnsi="Century Gothic"/>
          <w:sz w:val="24"/>
          <w:szCs w:val="24"/>
        </w:rPr>
      </w:pPr>
      <w:r w:rsidRPr="00C02BF5">
        <w:rPr>
          <w:rFonts w:ascii="Century Gothic" w:eastAsia="Arial" w:hAnsi="Century Gothic"/>
          <w:sz w:val="24"/>
          <w:szCs w:val="24"/>
        </w:rPr>
        <w:t>$[Insert] per preferred share (the “Original Purchase Price”)</w:t>
      </w:r>
    </w:p>
    <w:p w14:paraId="579FB82A" w14:textId="77777777" w:rsidR="00073084" w:rsidRPr="00C02BF5" w:rsidRDefault="00073084" w:rsidP="006E7EF4">
      <w:pPr>
        <w:spacing w:line="276" w:lineRule="auto"/>
        <w:rPr>
          <w:rFonts w:ascii="Century Gothic" w:eastAsia="Times New Roman" w:hAnsi="Century Gothic"/>
          <w:sz w:val="24"/>
        </w:rPr>
      </w:pPr>
    </w:p>
    <w:p w14:paraId="25690617" w14:textId="77777777" w:rsidR="00710EED" w:rsidRDefault="00710EED" w:rsidP="006E7EF4">
      <w:pPr>
        <w:spacing w:line="276" w:lineRule="auto"/>
        <w:ind w:left="20" w:right="420"/>
        <w:rPr>
          <w:rFonts w:ascii="Century Gothic" w:eastAsia="Arial" w:hAnsi="Century Gothic"/>
          <w:sz w:val="28"/>
          <w:szCs w:val="28"/>
        </w:rPr>
      </w:pPr>
      <w:r w:rsidRPr="00C02BF5">
        <w:rPr>
          <w:rFonts w:ascii="Century Gothic" w:eastAsia="Arial" w:hAnsi="Century Gothic"/>
          <w:b/>
          <w:sz w:val="28"/>
          <w:szCs w:val="28"/>
        </w:rPr>
        <w:t>Valuation</w:t>
      </w:r>
      <w:r w:rsidRPr="00C02BF5">
        <w:rPr>
          <w:rFonts w:ascii="Century Gothic" w:eastAsia="Arial" w:hAnsi="Century Gothic"/>
          <w:sz w:val="28"/>
          <w:szCs w:val="28"/>
        </w:rPr>
        <w:t>:</w:t>
      </w:r>
    </w:p>
    <w:p w14:paraId="491B6A3C" w14:textId="77777777" w:rsidR="00073084" w:rsidRPr="00C02BF5" w:rsidRDefault="00710EED" w:rsidP="006E7EF4">
      <w:pPr>
        <w:spacing w:line="276" w:lineRule="auto"/>
        <w:ind w:left="20" w:right="420"/>
        <w:rPr>
          <w:rFonts w:ascii="Century Gothic" w:eastAsia="Arial" w:hAnsi="Century Gothic"/>
          <w:sz w:val="24"/>
        </w:rPr>
      </w:pPr>
      <w:r w:rsidRPr="00C02BF5">
        <w:rPr>
          <w:rFonts w:ascii="Century Gothic" w:eastAsia="Arial" w:hAnsi="Century Gothic"/>
          <w:sz w:val="24"/>
          <w:szCs w:val="24"/>
        </w:rPr>
        <w:t>$[Insert] pre-money valuation, fully diluted, the total number of shares to</w:t>
      </w:r>
      <w:r w:rsidRPr="00C02BF5">
        <w:rPr>
          <w:rFonts w:ascii="Century Gothic" w:eastAsia="Arial" w:hAnsi="Century Gothic"/>
          <w:b/>
          <w:sz w:val="24"/>
          <w:szCs w:val="24"/>
        </w:rPr>
        <w:t xml:space="preserve"> </w:t>
      </w:r>
      <w:r w:rsidRPr="00C02BF5">
        <w:rPr>
          <w:rFonts w:ascii="Century Gothic" w:eastAsia="Arial" w:hAnsi="Century Gothic"/>
          <w:sz w:val="24"/>
          <w:szCs w:val="24"/>
        </w:rPr>
        <w:t>include an unallocated employee pool of at least 20% of the total, in addition to founders’ shares.</w:t>
      </w:r>
    </w:p>
    <w:p w14:paraId="3BC75D62" w14:textId="77777777" w:rsidR="00073084" w:rsidRPr="00C02BF5" w:rsidRDefault="00073084" w:rsidP="006E7EF4">
      <w:pPr>
        <w:spacing w:line="276" w:lineRule="auto"/>
        <w:rPr>
          <w:rFonts w:ascii="Century Gothic" w:eastAsia="Times New Roman" w:hAnsi="Century Gothic"/>
          <w:sz w:val="24"/>
        </w:rPr>
      </w:pPr>
    </w:p>
    <w:p w14:paraId="6A564D6B" w14:textId="77777777" w:rsidR="00710EED" w:rsidRDefault="00710EED" w:rsidP="006E7EF4">
      <w:pPr>
        <w:spacing w:line="276" w:lineRule="auto"/>
        <w:ind w:left="20" w:right="940"/>
        <w:jc w:val="both"/>
        <w:rPr>
          <w:rFonts w:ascii="Century Gothic" w:eastAsia="Arial" w:hAnsi="Century Gothic"/>
          <w:sz w:val="28"/>
          <w:szCs w:val="28"/>
        </w:rPr>
      </w:pPr>
      <w:r w:rsidRPr="00C02BF5">
        <w:rPr>
          <w:rFonts w:ascii="Century Gothic" w:eastAsia="Arial" w:hAnsi="Century Gothic"/>
          <w:b/>
          <w:sz w:val="28"/>
          <w:szCs w:val="28"/>
        </w:rPr>
        <w:t>Use of Proceeds</w:t>
      </w:r>
      <w:r w:rsidRPr="00C02BF5">
        <w:rPr>
          <w:rFonts w:ascii="Century Gothic" w:eastAsia="Arial" w:hAnsi="Century Gothic"/>
          <w:sz w:val="28"/>
          <w:szCs w:val="28"/>
        </w:rPr>
        <w:t>:</w:t>
      </w:r>
    </w:p>
    <w:p w14:paraId="0BE4F364" w14:textId="77777777" w:rsidR="00073084" w:rsidRPr="00C02BF5" w:rsidRDefault="00710EED" w:rsidP="006E7EF4">
      <w:pPr>
        <w:spacing w:line="276" w:lineRule="auto"/>
        <w:ind w:left="20" w:right="940"/>
        <w:jc w:val="both"/>
        <w:rPr>
          <w:rFonts w:ascii="Century Gothic" w:eastAsia="Arial" w:hAnsi="Century Gothic"/>
          <w:sz w:val="24"/>
          <w:szCs w:val="24"/>
        </w:rPr>
      </w:pPr>
      <w:r w:rsidRPr="00C02BF5">
        <w:rPr>
          <w:rFonts w:ascii="Century Gothic" w:eastAsia="Arial" w:hAnsi="Century Gothic"/>
          <w:sz w:val="24"/>
          <w:szCs w:val="24"/>
        </w:rPr>
        <w:t>The Company will use the proceeds from the Financing for the</w:t>
      </w:r>
      <w:r w:rsidRPr="00C02BF5">
        <w:rPr>
          <w:rFonts w:ascii="Century Gothic" w:eastAsia="Arial" w:hAnsi="Century Gothic"/>
          <w:b/>
          <w:sz w:val="24"/>
          <w:szCs w:val="24"/>
        </w:rPr>
        <w:t xml:space="preserve"> </w:t>
      </w:r>
      <w:r w:rsidRPr="00C02BF5">
        <w:rPr>
          <w:rFonts w:ascii="Century Gothic" w:eastAsia="Arial" w:hAnsi="Century Gothic"/>
          <w:sz w:val="24"/>
          <w:szCs w:val="24"/>
        </w:rPr>
        <w:t>following purposes: [Insert brief description here, include a more detailed table in an Appendix if required]</w:t>
      </w:r>
    </w:p>
    <w:p w14:paraId="6959FDEB" w14:textId="77777777" w:rsidR="00073084" w:rsidRPr="00C02BF5" w:rsidRDefault="00073084" w:rsidP="006E7EF4">
      <w:pPr>
        <w:spacing w:line="276" w:lineRule="auto"/>
        <w:rPr>
          <w:rFonts w:ascii="Century Gothic" w:eastAsia="Times New Roman" w:hAnsi="Century Gothic"/>
          <w:sz w:val="24"/>
        </w:rPr>
      </w:pPr>
    </w:p>
    <w:p w14:paraId="3C6F2239" w14:textId="77777777" w:rsidR="00710EED" w:rsidRDefault="00710EED" w:rsidP="006E7EF4">
      <w:pPr>
        <w:spacing w:line="276" w:lineRule="auto"/>
        <w:ind w:left="20" w:right="60"/>
        <w:rPr>
          <w:rFonts w:ascii="Century Gothic" w:eastAsia="Arial" w:hAnsi="Century Gothic"/>
          <w:sz w:val="24"/>
        </w:rPr>
      </w:pPr>
      <w:r w:rsidRPr="00C02BF5">
        <w:rPr>
          <w:rFonts w:ascii="Century Gothic" w:eastAsia="Arial" w:hAnsi="Century Gothic"/>
          <w:b/>
          <w:sz w:val="28"/>
          <w:szCs w:val="28"/>
        </w:rPr>
        <w:t>Dividends</w:t>
      </w:r>
      <w:r w:rsidRPr="00C02BF5">
        <w:rPr>
          <w:rFonts w:ascii="Century Gothic" w:eastAsia="Arial" w:hAnsi="Century Gothic"/>
          <w:sz w:val="28"/>
          <w:szCs w:val="28"/>
        </w:rPr>
        <w:t>:</w:t>
      </w:r>
    </w:p>
    <w:p w14:paraId="0E80B63B" w14:textId="77777777" w:rsidR="00073084" w:rsidRPr="00C02BF5" w:rsidRDefault="00710EED" w:rsidP="006E7EF4">
      <w:pPr>
        <w:spacing w:line="276" w:lineRule="auto"/>
        <w:ind w:left="20" w:right="60"/>
        <w:rPr>
          <w:rFonts w:ascii="Century Gothic" w:eastAsia="Arial" w:hAnsi="Century Gothic"/>
          <w:sz w:val="24"/>
          <w:szCs w:val="24"/>
        </w:rPr>
      </w:pPr>
      <w:r w:rsidRPr="00C02BF5">
        <w:rPr>
          <w:rFonts w:ascii="Century Gothic" w:eastAsia="Arial" w:hAnsi="Century Gothic"/>
          <w:sz w:val="24"/>
          <w:szCs w:val="24"/>
        </w:rPr>
        <w:t>The Series A Preferred will be entitled to an annual per share dividend equal to</w:t>
      </w:r>
      <w:r w:rsidRPr="00C02BF5">
        <w:rPr>
          <w:rFonts w:ascii="Century Gothic" w:eastAsia="Arial" w:hAnsi="Century Gothic"/>
          <w:b/>
          <w:sz w:val="24"/>
          <w:szCs w:val="24"/>
        </w:rPr>
        <w:t xml:space="preserve"> </w:t>
      </w:r>
      <w:r w:rsidRPr="00C02BF5">
        <w:rPr>
          <w:rFonts w:ascii="Century Gothic" w:eastAsia="Arial" w:hAnsi="Century Gothic"/>
          <w:sz w:val="24"/>
          <w:szCs w:val="24"/>
        </w:rPr>
        <w:t>10% of the Purchase Price, payable when, as and if declared by the Board of Directors of the Company. Non-cumulative dividends as declared. Series A Preferred Stock to participate in all dividends declared on an “as converted” basis. No dividends payable on Common Stock or any other Class of Preferred without payment of similar and all accrued dividends to the Series A Preferred Stock.</w:t>
      </w:r>
    </w:p>
    <w:p w14:paraId="7ADBC0E2" w14:textId="77777777" w:rsidR="00073084" w:rsidRPr="00C02BF5" w:rsidRDefault="00073084" w:rsidP="006E7EF4">
      <w:pPr>
        <w:spacing w:line="276" w:lineRule="auto"/>
        <w:rPr>
          <w:rFonts w:ascii="Century Gothic" w:eastAsia="Times New Roman" w:hAnsi="Century Gothic"/>
          <w:sz w:val="24"/>
        </w:rPr>
      </w:pPr>
    </w:p>
    <w:p w14:paraId="5B839AEE" w14:textId="77777777" w:rsidR="00073084" w:rsidRPr="00710EED" w:rsidRDefault="00710EED" w:rsidP="006E7EF4">
      <w:pPr>
        <w:spacing w:line="276" w:lineRule="auto"/>
        <w:ind w:left="20" w:right="60"/>
        <w:rPr>
          <w:rFonts w:ascii="Century Gothic" w:eastAsia="Arial" w:hAnsi="Century Gothic"/>
          <w:sz w:val="24"/>
          <w:szCs w:val="24"/>
        </w:rPr>
      </w:pPr>
      <w:r w:rsidRPr="00C02BF5">
        <w:rPr>
          <w:rFonts w:ascii="Century Gothic" w:eastAsia="Arial" w:hAnsi="Century Gothic"/>
          <w:b/>
          <w:sz w:val="28"/>
          <w:szCs w:val="28"/>
        </w:rPr>
        <w:t>Liquidation Preference</w:t>
      </w:r>
      <w:r w:rsidRPr="00C02BF5">
        <w:rPr>
          <w:rFonts w:ascii="Century Gothic" w:eastAsia="Arial" w:hAnsi="Century Gothic"/>
          <w:sz w:val="28"/>
          <w:szCs w:val="28"/>
        </w:rPr>
        <w:t>:</w:t>
      </w:r>
      <w:r w:rsidRPr="00C02BF5">
        <w:rPr>
          <w:rFonts w:ascii="Century Gothic" w:eastAsia="Arial" w:hAnsi="Century Gothic"/>
          <w:sz w:val="22"/>
        </w:rPr>
        <w:t xml:space="preserve"> </w:t>
      </w:r>
      <w:r w:rsidRPr="00C02BF5">
        <w:rPr>
          <w:rFonts w:ascii="Century Gothic" w:eastAsia="Arial" w:hAnsi="Century Gothic"/>
          <w:sz w:val="24"/>
          <w:szCs w:val="24"/>
        </w:rPr>
        <w:t>In the event of any liquidation, dissolution or winding up of the</w:t>
      </w:r>
      <w:r w:rsidRPr="00C02BF5">
        <w:rPr>
          <w:rFonts w:ascii="Century Gothic" w:eastAsia="Arial" w:hAnsi="Century Gothic"/>
          <w:b/>
          <w:sz w:val="24"/>
          <w:szCs w:val="24"/>
        </w:rPr>
        <w:t xml:space="preserve"> </w:t>
      </w:r>
      <w:r w:rsidRPr="00C02BF5">
        <w:rPr>
          <w:rFonts w:ascii="Century Gothic" w:eastAsia="Arial" w:hAnsi="Century Gothic"/>
          <w:sz w:val="24"/>
          <w:szCs w:val="24"/>
        </w:rPr>
        <w:t>Company, the Investors will be entitled to receive for each share of Series A Preferred, prior to any distribution to the holders of Common Stock, an amount equal to 100% of the Original</w:t>
      </w:r>
      <w:bookmarkStart w:id="1" w:name="page2"/>
      <w:bookmarkEnd w:id="1"/>
      <w:r>
        <w:rPr>
          <w:rFonts w:ascii="Century Gothic" w:eastAsia="Arial" w:hAnsi="Century Gothic"/>
          <w:sz w:val="24"/>
          <w:szCs w:val="24"/>
        </w:rPr>
        <w:t xml:space="preserve"> </w:t>
      </w:r>
      <w:r w:rsidRPr="00C02BF5">
        <w:rPr>
          <w:rFonts w:ascii="Century Gothic" w:eastAsia="Arial" w:hAnsi="Century Gothic"/>
          <w:sz w:val="24"/>
          <w:szCs w:val="24"/>
        </w:rPr>
        <w:t>Purchase Price plus all accumulated but unpaid dividends thereon. Any remaining proceeds to be shared pro rata among stockholders.</w:t>
      </w:r>
    </w:p>
    <w:p w14:paraId="62DB8DFA" w14:textId="77777777" w:rsidR="00073084" w:rsidRPr="00710EED" w:rsidRDefault="00710EED" w:rsidP="006E7EF4">
      <w:pPr>
        <w:spacing w:line="276" w:lineRule="auto"/>
        <w:ind w:left="20" w:right="120"/>
        <w:rPr>
          <w:rFonts w:ascii="Century Gothic" w:eastAsia="Arial" w:hAnsi="Century Gothic"/>
          <w:sz w:val="24"/>
          <w:szCs w:val="24"/>
        </w:rPr>
      </w:pPr>
      <w:r w:rsidRPr="00C02BF5">
        <w:rPr>
          <w:rFonts w:ascii="Century Gothic" w:eastAsia="Arial" w:hAnsi="Century Gothic"/>
          <w:sz w:val="24"/>
          <w:szCs w:val="24"/>
        </w:rPr>
        <w:t xml:space="preserve">If the Company has </w:t>
      </w:r>
      <w:proofErr w:type="spellStart"/>
      <w:r w:rsidRPr="00C02BF5">
        <w:rPr>
          <w:rFonts w:ascii="Century Gothic" w:eastAsia="Arial" w:hAnsi="Century Gothic"/>
          <w:sz w:val="24"/>
          <w:szCs w:val="24"/>
        </w:rPr>
        <w:t>insu</w:t>
      </w:r>
      <w:proofErr w:type="spellEnd"/>
      <w:r w:rsidRPr="00C02BF5">
        <w:rPr>
          <w:rFonts w:ascii="Century Gothic" w:eastAsia="Arial" w:hAnsi="Century Gothic"/>
          <w:sz w:val="24"/>
          <w:szCs w:val="24"/>
        </w:rPr>
        <w:t xml:space="preserve"> </w:t>
      </w:r>
      <w:proofErr w:type="spellStart"/>
      <w:r w:rsidRPr="00C02BF5">
        <w:rPr>
          <w:rFonts w:ascii="Century Gothic" w:eastAsia="Arial" w:hAnsi="Century Gothic"/>
          <w:sz w:val="24"/>
          <w:szCs w:val="24"/>
        </w:rPr>
        <w:t>cient</w:t>
      </w:r>
      <w:proofErr w:type="spellEnd"/>
      <w:r w:rsidRPr="00C02BF5">
        <w:rPr>
          <w:rFonts w:ascii="Century Gothic" w:eastAsia="Arial" w:hAnsi="Century Gothic"/>
          <w:sz w:val="24"/>
          <w:szCs w:val="24"/>
        </w:rPr>
        <w:t xml:space="preserve"> assets to permit payment of the Preference Amount in full to all holders of Series A Preferred, then the assets of the Company will be distributed ratably to the holders of Series A Preferred in proportion to the Preference Amount each such holder otherwise would be entitled to receive.</w:t>
      </w:r>
    </w:p>
    <w:p w14:paraId="1BE290C8" w14:textId="77777777" w:rsidR="00073084" w:rsidRPr="00C02BF5" w:rsidRDefault="00710EED" w:rsidP="006E7EF4">
      <w:pPr>
        <w:spacing w:line="276" w:lineRule="auto"/>
        <w:ind w:left="20" w:right="160"/>
        <w:rPr>
          <w:rFonts w:ascii="Century Gothic" w:eastAsia="Arial" w:hAnsi="Century Gothic"/>
          <w:sz w:val="24"/>
          <w:szCs w:val="24"/>
        </w:rPr>
      </w:pPr>
      <w:r w:rsidRPr="00C02BF5">
        <w:rPr>
          <w:rFonts w:ascii="Century Gothic" w:eastAsia="Arial" w:hAnsi="Century Gothic"/>
          <w:sz w:val="24"/>
          <w:szCs w:val="24"/>
        </w:rPr>
        <w:t>A merger or consolidation of the Company in which its shareholders do not retain a majority of the voting power in the surviving corporation, or a sale of all or substantially all the Company’s assets, each will be deemed to be a liquidation, dissolution or winding up of the Company.</w:t>
      </w:r>
    </w:p>
    <w:p w14:paraId="5DD8FDC7" w14:textId="77777777" w:rsidR="00073084" w:rsidRPr="00C02BF5" w:rsidRDefault="00073084" w:rsidP="006E7EF4">
      <w:pPr>
        <w:spacing w:line="276" w:lineRule="auto"/>
        <w:rPr>
          <w:rFonts w:ascii="Century Gothic" w:eastAsia="Times New Roman" w:hAnsi="Century Gothic"/>
        </w:rPr>
      </w:pPr>
    </w:p>
    <w:p w14:paraId="688CB32D" w14:textId="77777777" w:rsidR="00073084" w:rsidRPr="00C02BF5" w:rsidRDefault="00710EED" w:rsidP="006E7EF4">
      <w:pPr>
        <w:spacing w:line="276" w:lineRule="auto"/>
        <w:ind w:left="20" w:right="120"/>
        <w:jc w:val="both"/>
        <w:rPr>
          <w:rFonts w:ascii="Century Gothic" w:eastAsia="Arial" w:hAnsi="Century Gothic"/>
          <w:sz w:val="24"/>
          <w:szCs w:val="24"/>
        </w:rPr>
      </w:pPr>
      <w:r w:rsidRPr="00C02BF5">
        <w:rPr>
          <w:rFonts w:ascii="Century Gothic" w:eastAsia="Arial" w:hAnsi="Century Gothic"/>
          <w:b/>
          <w:sz w:val="28"/>
          <w:szCs w:val="28"/>
        </w:rPr>
        <w:t>Conversion</w:t>
      </w:r>
      <w:r w:rsidRPr="00C02BF5">
        <w:rPr>
          <w:rFonts w:ascii="Century Gothic" w:eastAsia="Arial" w:hAnsi="Century Gothic"/>
          <w:sz w:val="28"/>
          <w:szCs w:val="28"/>
        </w:rPr>
        <w:t>:</w:t>
      </w:r>
      <w:r w:rsidRPr="00C02BF5">
        <w:rPr>
          <w:rFonts w:ascii="Century Gothic" w:eastAsia="Arial" w:hAnsi="Century Gothic"/>
          <w:sz w:val="22"/>
        </w:rPr>
        <w:t xml:space="preserve"> </w:t>
      </w:r>
      <w:r w:rsidRPr="00C02BF5">
        <w:rPr>
          <w:rFonts w:ascii="Century Gothic" w:eastAsia="Arial" w:hAnsi="Century Gothic"/>
          <w:sz w:val="24"/>
          <w:szCs w:val="24"/>
        </w:rPr>
        <w:t>Series A Preferred Stock converted on a one-for-one basis into Common Stock</w:t>
      </w:r>
      <w:r w:rsidRPr="00C02BF5">
        <w:rPr>
          <w:rFonts w:ascii="Century Gothic" w:eastAsia="Arial" w:hAnsi="Century Gothic"/>
          <w:b/>
          <w:sz w:val="24"/>
          <w:szCs w:val="24"/>
        </w:rPr>
        <w:t xml:space="preserve"> </w:t>
      </w:r>
      <w:r w:rsidRPr="00C02BF5">
        <w:rPr>
          <w:rFonts w:ascii="Century Gothic" w:eastAsia="Arial" w:hAnsi="Century Gothic"/>
          <w:sz w:val="24"/>
          <w:szCs w:val="24"/>
        </w:rPr>
        <w:t xml:space="preserve">unless conversion rate is subject to anti-dilution adjustment. Mandatory conversion of Series A Preferred Stock on closing of underwritten public o </w:t>
      </w:r>
      <w:proofErr w:type="spellStart"/>
      <w:r w:rsidRPr="00C02BF5">
        <w:rPr>
          <w:rFonts w:ascii="Century Gothic" w:eastAsia="Arial" w:hAnsi="Century Gothic"/>
          <w:sz w:val="24"/>
          <w:szCs w:val="24"/>
        </w:rPr>
        <w:t>ering</w:t>
      </w:r>
      <w:proofErr w:type="spellEnd"/>
      <w:r w:rsidRPr="00C02BF5">
        <w:rPr>
          <w:rFonts w:ascii="Century Gothic" w:eastAsia="Arial" w:hAnsi="Century Gothic"/>
          <w:sz w:val="24"/>
          <w:szCs w:val="24"/>
        </w:rPr>
        <w:t xml:space="preserve"> at an initial price to the public at a valuation of at least $25 million and gross proceeds the Company of at least $15 million.</w:t>
      </w:r>
    </w:p>
    <w:p w14:paraId="78C2B729" w14:textId="77777777" w:rsidR="00073084" w:rsidRPr="00C02BF5" w:rsidRDefault="00073084" w:rsidP="006E7EF4">
      <w:pPr>
        <w:spacing w:line="276" w:lineRule="auto"/>
        <w:rPr>
          <w:rFonts w:ascii="Century Gothic" w:eastAsia="Times New Roman" w:hAnsi="Century Gothic"/>
        </w:rPr>
      </w:pPr>
    </w:p>
    <w:p w14:paraId="60F99CB9" w14:textId="77777777" w:rsidR="00710EED" w:rsidRDefault="00710EED" w:rsidP="006E7EF4">
      <w:pPr>
        <w:spacing w:line="276" w:lineRule="auto"/>
        <w:ind w:left="140" w:right="720" w:hanging="125"/>
        <w:rPr>
          <w:rFonts w:ascii="Century Gothic" w:eastAsia="Times New Roman" w:hAnsi="Century Gothic"/>
        </w:rPr>
      </w:pPr>
      <w:r w:rsidRPr="00C02BF5">
        <w:rPr>
          <w:rFonts w:ascii="Century Gothic" w:eastAsia="Arial" w:hAnsi="Century Gothic"/>
          <w:b/>
          <w:sz w:val="28"/>
          <w:szCs w:val="28"/>
        </w:rPr>
        <w:t>Anti-Dilution</w:t>
      </w:r>
      <w:r w:rsidRPr="00C02BF5">
        <w:rPr>
          <w:rFonts w:ascii="Century Gothic" w:eastAsia="Arial" w:hAnsi="Century Gothic"/>
          <w:sz w:val="28"/>
          <w:szCs w:val="28"/>
        </w:rPr>
        <w:t>:</w:t>
      </w:r>
      <w:r w:rsidRPr="00C02BF5">
        <w:rPr>
          <w:rFonts w:ascii="Century Gothic" w:eastAsia="Times New Roman" w:hAnsi="Century Gothic"/>
        </w:rPr>
        <w:t xml:space="preserve"> </w:t>
      </w:r>
    </w:p>
    <w:p w14:paraId="62FE56B9" w14:textId="77777777" w:rsidR="00073084" w:rsidRPr="00C02BF5" w:rsidRDefault="00710EED" w:rsidP="006E7EF4">
      <w:pPr>
        <w:spacing w:line="276" w:lineRule="auto"/>
        <w:ind w:left="140" w:right="720" w:hanging="125"/>
        <w:rPr>
          <w:rFonts w:ascii="Century Gothic" w:eastAsia="Arial" w:hAnsi="Century Gothic"/>
          <w:sz w:val="24"/>
        </w:rPr>
      </w:pPr>
      <w:r w:rsidRPr="00C02BF5">
        <w:rPr>
          <w:rFonts w:ascii="Century Gothic" w:eastAsia="Arial" w:hAnsi="Century Gothic"/>
          <w:sz w:val="24"/>
          <w:szCs w:val="24"/>
        </w:rPr>
        <w:t xml:space="preserve">Weighted average to any lower price in any subsequent round of </w:t>
      </w:r>
      <w:proofErr w:type="spellStart"/>
      <w:r w:rsidRPr="00C02BF5">
        <w:rPr>
          <w:rFonts w:ascii="Century Gothic" w:eastAsia="Arial" w:hAnsi="Century Gothic"/>
          <w:sz w:val="24"/>
          <w:szCs w:val="24"/>
        </w:rPr>
        <w:t>nancing</w:t>
      </w:r>
      <w:proofErr w:type="spellEnd"/>
      <w:r w:rsidRPr="00C02BF5">
        <w:rPr>
          <w:rFonts w:ascii="Century Gothic" w:eastAsia="Arial" w:hAnsi="Century Gothic"/>
          <w:sz w:val="24"/>
          <w:szCs w:val="24"/>
        </w:rPr>
        <w:t>.</w:t>
      </w:r>
    </w:p>
    <w:p w14:paraId="5251D82A" w14:textId="77777777" w:rsidR="00073084" w:rsidRPr="00C02BF5" w:rsidRDefault="00073084" w:rsidP="006E7EF4">
      <w:pPr>
        <w:spacing w:line="276" w:lineRule="auto"/>
        <w:rPr>
          <w:rFonts w:ascii="Century Gothic" w:eastAsia="Times New Roman" w:hAnsi="Century Gothic"/>
        </w:rPr>
      </w:pPr>
    </w:p>
    <w:p w14:paraId="28DE9EBF" w14:textId="77777777" w:rsidR="00073084" w:rsidRPr="00C02BF5" w:rsidRDefault="00073084" w:rsidP="006E7EF4">
      <w:pPr>
        <w:spacing w:line="276" w:lineRule="auto"/>
        <w:rPr>
          <w:rFonts w:ascii="Century Gothic" w:eastAsia="Times New Roman" w:hAnsi="Century Gothic"/>
        </w:rPr>
      </w:pPr>
    </w:p>
    <w:p w14:paraId="7F7CD6E8" w14:textId="77777777" w:rsidR="00710EED" w:rsidRDefault="00710EED" w:rsidP="006E7EF4">
      <w:pPr>
        <w:spacing w:line="276" w:lineRule="auto"/>
        <w:ind w:left="20" w:right="540"/>
        <w:rPr>
          <w:rFonts w:ascii="Century Gothic" w:eastAsia="Arial" w:hAnsi="Century Gothic"/>
          <w:sz w:val="23"/>
        </w:rPr>
      </w:pPr>
      <w:r w:rsidRPr="00C02BF5">
        <w:rPr>
          <w:rFonts w:ascii="Century Gothic" w:eastAsia="Arial" w:hAnsi="Century Gothic"/>
          <w:b/>
          <w:sz w:val="28"/>
          <w:szCs w:val="28"/>
        </w:rPr>
        <w:t>Voting Rights</w:t>
      </w:r>
      <w:r w:rsidRPr="00C02BF5">
        <w:rPr>
          <w:rFonts w:ascii="Century Gothic" w:eastAsia="Arial" w:hAnsi="Century Gothic"/>
          <w:sz w:val="28"/>
          <w:szCs w:val="28"/>
        </w:rPr>
        <w:t>:</w:t>
      </w:r>
      <w:r w:rsidRPr="00C02BF5">
        <w:rPr>
          <w:rFonts w:ascii="Century Gothic" w:eastAsia="Arial" w:hAnsi="Century Gothic"/>
          <w:sz w:val="23"/>
        </w:rPr>
        <w:t xml:space="preserve"> </w:t>
      </w:r>
    </w:p>
    <w:p w14:paraId="734D7418" w14:textId="77777777" w:rsidR="00073084" w:rsidRPr="00C02BF5" w:rsidRDefault="00710EED" w:rsidP="006E7EF4">
      <w:pPr>
        <w:spacing w:line="276" w:lineRule="auto"/>
        <w:ind w:left="20" w:right="540"/>
        <w:rPr>
          <w:rFonts w:ascii="Century Gothic" w:eastAsia="Arial" w:hAnsi="Century Gothic"/>
          <w:sz w:val="24"/>
          <w:szCs w:val="24"/>
        </w:rPr>
      </w:pPr>
      <w:r w:rsidRPr="00C02BF5">
        <w:rPr>
          <w:rFonts w:ascii="Century Gothic" w:eastAsia="Arial" w:hAnsi="Century Gothic"/>
          <w:sz w:val="24"/>
          <w:szCs w:val="24"/>
        </w:rPr>
        <w:t>Equal to common equivalent shares. Investors in Series A Preferred</w:t>
      </w:r>
      <w:r w:rsidRPr="00C02BF5">
        <w:rPr>
          <w:rFonts w:ascii="Century Gothic" w:eastAsia="Arial" w:hAnsi="Century Gothic"/>
          <w:b/>
          <w:sz w:val="24"/>
          <w:szCs w:val="24"/>
        </w:rPr>
        <w:t xml:space="preserve"> </w:t>
      </w:r>
      <w:r w:rsidRPr="00C02BF5">
        <w:rPr>
          <w:rFonts w:ascii="Century Gothic" w:eastAsia="Arial" w:hAnsi="Century Gothic"/>
          <w:sz w:val="24"/>
          <w:szCs w:val="24"/>
        </w:rPr>
        <w:t xml:space="preserve">Stock, voting separately, to elect one (1) Director of </w:t>
      </w:r>
      <w:proofErr w:type="gramStart"/>
      <w:r w:rsidRPr="00C02BF5">
        <w:rPr>
          <w:rFonts w:ascii="Century Gothic" w:eastAsia="Arial" w:hAnsi="Century Gothic"/>
          <w:sz w:val="24"/>
          <w:szCs w:val="24"/>
        </w:rPr>
        <w:t>5 person</w:t>
      </w:r>
      <w:proofErr w:type="gramEnd"/>
      <w:r w:rsidRPr="00C02BF5">
        <w:rPr>
          <w:rFonts w:ascii="Century Gothic" w:eastAsia="Arial" w:hAnsi="Century Gothic"/>
          <w:sz w:val="24"/>
          <w:szCs w:val="24"/>
        </w:rPr>
        <w:t xml:space="preserve"> Board of Directors.</w:t>
      </w:r>
    </w:p>
    <w:p w14:paraId="7D6BB99F" w14:textId="77777777" w:rsidR="00073084" w:rsidRPr="00C02BF5" w:rsidRDefault="00073084" w:rsidP="006E7EF4">
      <w:pPr>
        <w:spacing w:line="276" w:lineRule="auto"/>
        <w:rPr>
          <w:rFonts w:ascii="Century Gothic" w:eastAsia="Times New Roman" w:hAnsi="Century Gothic"/>
        </w:rPr>
      </w:pPr>
    </w:p>
    <w:p w14:paraId="28BD012C" w14:textId="77777777" w:rsidR="00710EED" w:rsidRDefault="00710EED" w:rsidP="006E7EF4">
      <w:pPr>
        <w:spacing w:line="276" w:lineRule="auto"/>
        <w:ind w:left="20"/>
        <w:rPr>
          <w:rFonts w:ascii="Century Gothic" w:eastAsia="Arial" w:hAnsi="Century Gothic"/>
          <w:sz w:val="24"/>
        </w:rPr>
      </w:pPr>
      <w:r w:rsidRPr="00C02BF5">
        <w:rPr>
          <w:rFonts w:ascii="Century Gothic" w:eastAsia="Arial" w:hAnsi="Century Gothic"/>
          <w:b/>
          <w:sz w:val="28"/>
          <w:szCs w:val="28"/>
        </w:rPr>
        <w:t>Board Seat</w:t>
      </w:r>
      <w:r w:rsidRPr="00C02BF5">
        <w:rPr>
          <w:rFonts w:ascii="Century Gothic" w:eastAsia="Arial" w:hAnsi="Century Gothic"/>
          <w:sz w:val="28"/>
          <w:szCs w:val="28"/>
        </w:rPr>
        <w:t>:</w:t>
      </w:r>
      <w:r w:rsidRPr="00C02BF5">
        <w:rPr>
          <w:rFonts w:ascii="Century Gothic" w:eastAsia="Arial" w:hAnsi="Century Gothic"/>
          <w:sz w:val="24"/>
        </w:rPr>
        <w:t xml:space="preserve"> </w:t>
      </w:r>
    </w:p>
    <w:p w14:paraId="75E2CAED" w14:textId="77777777" w:rsidR="00073084" w:rsidRPr="00C02BF5" w:rsidRDefault="00710EED" w:rsidP="006E7EF4">
      <w:pPr>
        <w:spacing w:line="276" w:lineRule="auto"/>
        <w:ind w:left="20"/>
        <w:rPr>
          <w:rFonts w:ascii="Century Gothic" w:eastAsia="Arial" w:hAnsi="Century Gothic"/>
          <w:sz w:val="24"/>
        </w:rPr>
      </w:pPr>
      <w:r w:rsidRPr="00C02BF5">
        <w:rPr>
          <w:rFonts w:ascii="Century Gothic" w:eastAsia="Arial" w:hAnsi="Century Gothic"/>
          <w:sz w:val="24"/>
          <w:szCs w:val="24"/>
        </w:rPr>
        <w:t>The Investors shall be entitled to appoint one member as Voting Trustee</w:t>
      </w:r>
      <w:r w:rsidRPr="00C02BF5">
        <w:rPr>
          <w:rFonts w:ascii="Century Gothic" w:eastAsia="Arial" w:hAnsi="Century Gothic"/>
          <w:b/>
          <w:sz w:val="24"/>
          <w:szCs w:val="24"/>
        </w:rPr>
        <w:t xml:space="preserve"> </w:t>
      </w:r>
      <w:r w:rsidRPr="00C02BF5">
        <w:rPr>
          <w:rFonts w:ascii="Century Gothic" w:eastAsia="Arial" w:hAnsi="Century Gothic"/>
          <w:sz w:val="24"/>
          <w:szCs w:val="24"/>
        </w:rPr>
        <w:t>to the Company’s Board of Directors.</w:t>
      </w:r>
    </w:p>
    <w:p w14:paraId="188FCD0D" w14:textId="77777777" w:rsidR="00073084" w:rsidRPr="00C02BF5" w:rsidRDefault="00073084" w:rsidP="006E7EF4">
      <w:pPr>
        <w:spacing w:line="276" w:lineRule="auto"/>
        <w:rPr>
          <w:rFonts w:ascii="Century Gothic" w:eastAsia="Times New Roman" w:hAnsi="Century Gothic"/>
        </w:rPr>
      </w:pPr>
    </w:p>
    <w:p w14:paraId="5FBA3560" w14:textId="77777777" w:rsidR="00710EED" w:rsidRDefault="00710EED" w:rsidP="006E7EF4">
      <w:pPr>
        <w:spacing w:line="276" w:lineRule="auto"/>
        <w:ind w:left="20" w:right="400"/>
        <w:rPr>
          <w:rFonts w:ascii="Century Gothic" w:eastAsia="Arial" w:hAnsi="Century Gothic"/>
          <w:sz w:val="24"/>
        </w:rPr>
      </w:pPr>
      <w:r w:rsidRPr="00C02BF5">
        <w:rPr>
          <w:rFonts w:ascii="Century Gothic" w:eastAsia="Arial" w:hAnsi="Century Gothic"/>
          <w:b/>
          <w:sz w:val="28"/>
          <w:szCs w:val="28"/>
        </w:rPr>
        <w:t>Redemption</w:t>
      </w:r>
      <w:r w:rsidRPr="00C02BF5">
        <w:rPr>
          <w:rFonts w:ascii="Century Gothic" w:eastAsia="Arial" w:hAnsi="Century Gothic"/>
          <w:sz w:val="28"/>
          <w:szCs w:val="28"/>
        </w:rPr>
        <w:t>:</w:t>
      </w:r>
      <w:r w:rsidRPr="00C02BF5">
        <w:rPr>
          <w:rFonts w:ascii="Century Gothic" w:eastAsia="Arial" w:hAnsi="Century Gothic"/>
          <w:sz w:val="24"/>
        </w:rPr>
        <w:t xml:space="preserve"> </w:t>
      </w:r>
    </w:p>
    <w:p w14:paraId="059E92EC" w14:textId="77777777" w:rsidR="00073084" w:rsidRPr="00C02BF5" w:rsidRDefault="00710EED" w:rsidP="006E7EF4">
      <w:pPr>
        <w:spacing w:line="276" w:lineRule="auto"/>
        <w:ind w:left="20" w:right="400"/>
        <w:rPr>
          <w:rFonts w:ascii="Century Gothic" w:eastAsia="Arial" w:hAnsi="Century Gothic"/>
          <w:sz w:val="24"/>
          <w:szCs w:val="24"/>
        </w:rPr>
      </w:pPr>
      <w:r w:rsidRPr="00C02BF5">
        <w:rPr>
          <w:rFonts w:ascii="Century Gothic" w:eastAsia="Arial" w:hAnsi="Century Gothic"/>
          <w:sz w:val="24"/>
          <w:szCs w:val="24"/>
        </w:rPr>
        <w:t xml:space="preserve">Required o </w:t>
      </w:r>
      <w:proofErr w:type="spellStart"/>
      <w:r w:rsidRPr="00C02BF5">
        <w:rPr>
          <w:rFonts w:ascii="Century Gothic" w:eastAsia="Arial" w:hAnsi="Century Gothic"/>
          <w:sz w:val="24"/>
          <w:szCs w:val="24"/>
        </w:rPr>
        <w:t>er</w:t>
      </w:r>
      <w:proofErr w:type="spellEnd"/>
      <w:r w:rsidRPr="00C02BF5">
        <w:rPr>
          <w:rFonts w:ascii="Century Gothic" w:eastAsia="Arial" w:hAnsi="Century Gothic"/>
          <w:sz w:val="24"/>
          <w:szCs w:val="24"/>
        </w:rPr>
        <w:t xml:space="preserve"> of redemption in equal instalments beginning on the</w:t>
      </w:r>
      <w:r w:rsidRPr="00C02BF5">
        <w:rPr>
          <w:rFonts w:ascii="Century Gothic" w:eastAsia="Arial" w:hAnsi="Century Gothic"/>
          <w:b/>
          <w:sz w:val="24"/>
          <w:szCs w:val="24"/>
        </w:rPr>
        <w:t xml:space="preserve"> </w:t>
      </w:r>
      <w:proofErr w:type="spellStart"/>
      <w:r w:rsidRPr="00C02BF5">
        <w:rPr>
          <w:rFonts w:ascii="Century Gothic" w:eastAsia="Arial" w:hAnsi="Century Gothic"/>
          <w:sz w:val="24"/>
          <w:szCs w:val="24"/>
        </w:rPr>
        <w:t>fth</w:t>
      </w:r>
      <w:proofErr w:type="spellEnd"/>
      <w:r w:rsidRPr="00C02BF5">
        <w:rPr>
          <w:rFonts w:ascii="Century Gothic" w:eastAsia="Arial" w:hAnsi="Century Gothic"/>
          <w:sz w:val="24"/>
          <w:szCs w:val="24"/>
        </w:rPr>
        <w:t xml:space="preserve"> anniversary of the Initial Closing at an e </w:t>
      </w:r>
      <w:proofErr w:type="spellStart"/>
      <w:r w:rsidRPr="00C02BF5">
        <w:rPr>
          <w:rFonts w:ascii="Century Gothic" w:eastAsia="Arial" w:hAnsi="Century Gothic"/>
          <w:sz w:val="24"/>
          <w:szCs w:val="24"/>
        </w:rPr>
        <w:t>ective</w:t>
      </w:r>
      <w:proofErr w:type="spellEnd"/>
      <w:r w:rsidRPr="00C02BF5">
        <w:rPr>
          <w:rFonts w:ascii="Century Gothic" w:eastAsia="Arial" w:hAnsi="Century Gothic"/>
          <w:sz w:val="24"/>
          <w:szCs w:val="24"/>
        </w:rPr>
        <w:t xml:space="preserve"> compound rate of return of 10% per annum plus accrued but unpaid dividends. Voting rights to elect majority of Directors and 10% cumulative dividend if failure to redeem.</w:t>
      </w:r>
    </w:p>
    <w:p w14:paraId="2F77228E" w14:textId="77777777" w:rsidR="00073084" w:rsidRPr="00C02BF5" w:rsidRDefault="00073084" w:rsidP="006E7EF4">
      <w:pPr>
        <w:spacing w:line="276" w:lineRule="auto"/>
        <w:rPr>
          <w:rFonts w:ascii="Century Gothic" w:eastAsia="Times New Roman" w:hAnsi="Century Gothic"/>
          <w:sz w:val="28"/>
          <w:szCs w:val="28"/>
        </w:rPr>
      </w:pPr>
    </w:p>
    <w:p w14:paraId="08756B9E" w14:textId="77777777" w:rsidR="00C02BF5" w:rsidRPr="00C02BF5" w:rsidRDefault="00710EED" w:rsidP="006E7EF4">
      <w:pPr>
        <w:spacing w:line="276" w:lineRule="auto"/>
        <w:ind w:left="20"/>
        <w:rPr>
          <w:rFonts w:ascii="Century Gothic" w:eastAsia="Arial" w:hAnsi="Century Gothic"/>
          <w:sz w:val="28"/>
          <w:szCs w:val="28"/>
        </w:rPr>
      </w:pPr>
      <w:r w:rsidRPr="00C02BF5">
        <w:rPr>
          <w:rFonts w:ascii="Century Gothic" w:eastAsia="Arial" w:hAnsi="Century Gothic"/>
          <w:b/>
          <w:sz w:val="28"/>
          <w:szCs w:val="28"/>
        </w:rPr>
        <w:t>Information Rights</w:t>
      </w:r>
    </w:p>
    <w:p w14:paraId="1BAE518F" w14:textId="77777777" w:rsidR="00073084" w:rsidRPr="00C02BF5" w:rsidRDefault="00710EED" w:rsidP="006E7EF4">
      <w:pPr>
        <w:spacing w:line="276" w:lineRule="auto"/>
        <w:ind w:left="20"/>
        <w:rPr>
          <w:rFonts w:ascii="Century Gothic" w:eastAsia="Arial" w:hAnsi="Century Gothic"/>
          <w:sz w:val="24"/>
          <w:szCs w:val="24"/>
        </w:rPr>
      </w:pPr>
      <w:r w:rsidRPr="00C02BF5">
        <w:rPr>
          <w:rFonts w:ascii="Century Gothic" w:eastAsia="Arial" w:hAnsi="Century Gothic"/>
          <w:sz w:val="24"/>
          <w:szCs w:val="24"/>
        </w:rPr>
        <w:t>The Company will deliver to shareholders:</w:t>
      </w:r>
    </w:p>
    <w:p w14:paraId="097BA788" w14:textId="77777777" w:rsidR="00073084" w:rsidRPr="00C02BF5" w:rsidRDefault="00710EED" w:rsidP="006E7EF4">
      <w:pPr>
        <w:tabs>
          <w:tab w:val="left" w:pos="3260"/>
        </w:tabs>
        <w:spacing w:line="276" w:lineRule="auto"/>
        <w:ind w:right="60"/>
        <w:rPr>
          <w:rFonts w:ascii="Century Gothic" w:eastAsia="Arial" w:hAnsi="Century Gothic"/>
          <w:sz w:val="24"/>
          <w:szCs w:val="24"/>
        </w:rPr>
      </w:pPr>
      <w:r w:rsidRPr="00C02BF5">
        <w:rPr>
          <w:rFonts w:ascii="Century Gothic" w:eastAsia="Arial" w:hAnsi="Century Gothic"/>
          <w:sz w:val="24"/>
          <w:szCs w:val="24"/>
        </w:rPr>
        <w:t xml:space="preserve">Audited </w:t>
      </w:r>
      <w:proofErr w:type="spellStart"/>
      <w:r w:rsidRPr="00C02BF5">
        <w:rPr>
          <w:rFonts w:ascii="Century Gothic" w:eastAsia="Arial" w:hAnsi="Century Gothic"/>
          <w:sz w:val="24"/>
          <w:szCs w:val="24"/>
        </w:rPr>
        <w:t>nancial</w:t>
      </w:r>
      <w:proofErr w:type="spellEnd"/>
      <w:r w:rsidRPr="00C02BF5">
        <w:rPr>
          <w:rFonts w:ascii="Century Gothic" w:eastAsia="Arial" w:hAnsi="Century Gothic"/>
          <w:sz w:val="24"/>
          <w:szCs w:val="24"/>
        </w:rPr>
        <w:t xml:space="preserve"> statements or Reviewed (as determined by investors) for each </w:t>
      </w:r>
      <w:proofErr w:type="spellStart"/>
      <w:r w:rsidRPr="00C02BF5">
        <w:rPr>
          <w:rFonts w:ascii="Century Gothic" w:eastAsia="Arial" w:hAnsi="Century Gothic"/>
          <w:sz w:val="24"/>
          <w:szCs w:val="24"/>
        </w:rPr>
        <w:t>scal</w:t>
      </w:r>
      <w:proofErr w:type="spellEnd"/>
      <w:r w:rsidRPr="00C02BF5">
        <w:rPr>
          <w:rFonts w:ascii="Century Gothic" w:eastAsia="Arial" w:hAnsi="Century Gothic"/>
          <w:sz w:val="24"/>
          <w:szCs w:val="24"/>
        </w:rPr>
        <w:t xml:space="preserve"> year within 90 days after the end of the </w:t>
      </w:r>
      <w:proofErr w:type="spellStart"/>
      <w:r w:rsidRPr="00C02BF5">
        <w:rPr>
          <w:rFonts w:ascii="Century Gothic" w:eastAsia="Arial" w:hAnsi="Century Gothic"/>
          <w:sz w:val="24"/>
          <w:szCs w:val="24"/>
        </w:rPr>
        <w:t>scal</w:t>
      </w:r>
      <w:proofErr w:type="spellEnd"/>
      <w:r w:rsidRPr="00C02BF5">
        <w:rPr>
          <w:rFonts w:ascii="Century Gothic" w:eastAsia="Arial" w:hAnsi="Century Gothic"/>
          <w:sz w:val="24"/>
          <w:szCs w:val="24"/>
        </w:rPr>
        <w:t xml:space="preserve"> year and management-prepared quarterly </w:t>
      </w:r>
      <w:proofErr w:type="spellStart"/>
      <w:r w:rsidRPr="00C02BF5">
        <w:rPr>
          <w:rFonts w:ascii="Century Gothic" w:eastAsia="Arial" w:hAnsi="Century Gothic"/>
          <w:sz w:val="24"/>
          <w:szCs w:val="24"/>
        </w:rPr>
        <w:t>nancial</w:t>
      </w:r>
      <w:proofErr w:type="spellEnd"/>
      <w:r w:rsidRPr="00C02BF5">
        <w:rPr>
          <w:rFonts w:ascii="Century Gothic" w:eastAsia="Arial" w:hAnsi="Century Gothic"/>
          <w:sz w:val="24"/>
          <w:szCs w:val="24"/>
        </w:rPr>
        <w:t xml:space="preserve"> statements for the </w:t>
      </w:r>
      <w:proofErr w:type="spellStart"/>
      <w:r w:rsidRPr="00C02BF5">
        <w:rPr>
          <w:rFonts w:ascii="Century Gothic" w:eastAsia="Arial" w:hAnsi="Century Gothic"/>
          <w:sz w:val="24"/>
          <w:szCs w:val="24"/>
        </w:rPr>
        <w:t>rst</w:t>
      </w:r>
      <w:proofErr w:type="spellEnd"/>
      <w:r w:rsidRPr="00C02BF5">
        <w:rPr>
          <w:rFonts w:ascii="Century Gothic" w:eastAsia="Arial" w:hAnsi="Century Gothic"/>
          <w:sz w:val="24"/>
          <w:szCs w:val="24"/>
        </w:rPr>
        <w:t xml:space="preserve"> three quarters of the year within 30 days after the end of each quarter.</w:t>
      </w:r>
      <w:r>
        <w:rPr>
          <w:rFonts w:ascii="Century Gothic" w:eastAsia="Arial" w:hAnsi="Century Gothic"/>
          <w:sz w:val="24"/>
          <w:szCs w:val="24"/>
        </w:rPr>
        <w:t xml:space="preserve"> </w:t>
      </w:r>
      <w:r w:rsidRPr="00C02BF5">
        <w:rPr>
          <w:rFonts w:ascii="Century Gothic" w:eastAsia="Arial" w:hAnsi="Century Gothic"/>
          <w:sz w:val="24"/>
          <w:szCs w:val="24"/>
        </w:rPr>
        <w:t xml:space="preserve">Annual budgets at least 30 days prior to the beginning of each </w:t>
      </w:r>
      <w:proofErr w:type="spellStart"/>
      <w:r w:rsidRPr="00C02BF5">
        <w:rPr>
          <w:rFonts w:ascii="Century Gothic" w:eastAsia="Arial" w:hAnsi="Century Gothic"/>
          <w:sz w:val="24"/>
          <w:szCs w:val="24"/>
        </w:rPr>
        <w:t>scal</w:t>
      </w:r>
      <w:proofErr w:type="spellEnd"/>
      <w:r w:rsidRPr="00C02BF5">
        <w:rPr>
          <w:rFonts w:ascii="Century Gothic" w:eastAsia="Arial" w:hAnsi="Century Gothic"/>
          <w:sz w:val="24"/>
          <w:szCs w:val="24"/>
        </w:rPr>
        <w:t xml:space="preserve"> year.</w:t>
      </w:r>
      <w:r>
        <w:rPr>
          <w:rFonts w:ascii="Century Gothic" w:eastAsia="Arial" w:hAnsi="Century Gothic"/>
          <w:sz w:val="24"/>
          <w:szCs w:val="24"/>
        </w:rPr>
        <w:t xml:space="preserve"> </w:t>
      </w:r>
      <w:r w:rsidRPr="00C02BF5">
        <w:rPr>
          <w:rFonts w:ascii="Century Gothic" w:eastAsia="Arial" w:hAnsi="Century Gothic"/>
          <w:sz w:val="24"/>
          <w:szCs w:val="24"/>
        </w:rPr>
        <w:t xml:space="preserve">Quarterly updates on progress and accomplishments and anticipated progress against target in next </w:t>
      </w:r>
      <w:proofErr w:type="spellStart"/>
      <w:proofErr w:type="gramStart"/>
      <w:r w:rsidRPr="00C02BF5">
        <w:rPr>
          <w:rFonts w:ascii="Century Gothic" w:eastAsia="Arial" w:hAnsi="Century Gothic"/>
          <w:sz w:val="24"/>
          <w:szCs w:val="24"/>
        </w:rPr>
        <w:t>period.</w:t>
      </w:r>
      <w:bookmarkStart w:id="2" w:name="page3"/>
      <w:bookmarkEnd w:id="2"/>
      <w:r w:rsidRPr="00C02BF5">
        <w:rPr>
          <w:rFonts w:ascii="Century Gothic" w:eastAsia="Arial" w:hAnsi="Century Gothic"/>
          <w:sz w:val="24"/>
          <w:szCs w:val="24"/>
        </w:rPr>
        <w:t>Noti</w:t>
      </w:r>
      <w:proofErr w:type="spellEnd"/>
      <w:proofErr w:type="gramEnd"/>
      <w:r w:rsidRPr="00C02BF5">
        <w:rPr>
          <w:rFonts w:ascii="Century Gothic" w:eastAsia="Arial" w:hAnsi="Century Gothic"/>
          <w:sz w:val="24"/>
          <w:szCs w:val="24"/>
        </w:rPr>
        <w:t xml:space="preserve"> cation of any material defaults or litigation; and any other information reasonably requested.</w:t>
      </w:r>
    </w:p>
    <w:p w14:paraId="67D6B1F1" w14:textId="77777777" w:rsidR="00073084" w:rsidRPr="00710EED" w:rsidRDefault="00710EED" w:rsidP="006E7EF4">
      <w:pPr>
        <w:tabs>
          <w:tab w:val="left" w:pos="3260"/>
        </w:tabs>
        <w:spacing w:line="276" w:lineRule="auto"/>
        <w:ind w:right="420"/>
        <w:rPr>
          <w:rFonts w:ascii="Century Gothic" w:eastAsia="Arial" w:hAnsi="Century Gothic"/>
          <w:sz w:val="24"/>
          <w:szCs w:val="24"/>
        </w:rPr>
      </w:pPr>
      <w:r w:rsidRPr="00C02BF5">
        <w:rPr>
          <w:rFonts w:ascii="Century Gothic" w:eastAsia="Arial" w:hAnsi="Century Gothic"/>
          <w:sz w:val="24"/>
          <w:szCs w:val="24"/>
        </w:rPr>
        <w:t>The voting trustee also will have standard inspection and visitation rights.</w:t>
      </w:r>
    </w:p>
    <w:p w14:paraId="32756AD4" w14:textId="77777777" w:rsidR="00073084" w:rsidRPr="00C02BF5" w:rsidRDefault="00710EED" w:rsidP="006E7EF4">
      <w:pPr>
        <w:spacing w:line="276" w:lineRule="auto"/>
        <w:ind w:left="20" w:right="140"/>
        <w:rPr>
          <w:rFonts w:ascii="Century Gothic" w:eastAsia="Arial" w:hAnsi="Century Gothic"/>
          <w:sz w:val="24"/>
          <w:szCs w:val="24"/>
        </w:rPr>
      </w:pPr>
      <w:r w:rsidRPr="00C02BF5">
        <w:rPr>
          <w:rFonts w:ascii="Century Gothic" w:eastAsia="Arial" w:hAnsi="Century Gothic"/>
          <w:sz w:val="24"/>
          <w:szCs w:val="24"/>
        </w:rPr>
        <w:t xml:space="preserve">The foregoing rights will expire at the date the Company completes its </w:t>
      </w:r>
      <w:proofErr w:type="spellStart"/>
      <w:r w:rsidRPr="00C02BF5">
        <w:rPr>
          <w:rFonts w:ascii="Century Gothic" w:eastAsia="Arial" w:hAnsi="Century Gothic"/>
          <w:sz w:val="24"/>
          <w:szCs w:val="24"/>
        </w:rPr>
        <w:t>Quali</w:t>
      </w:r>
      <w:proofErr w:type="spellEnd"/>
      <w:r w:rsidRPr="00C02BF5">
        <w:rPr>
          <w:rFonts w:ascii="Century Gothic" w:eastAsia="Arial" w:hAnsi="Century Gothic"/>
          <w:sz w:val="24"/>
          <w:szCs w:val="24"/>
        </w:rPr>
        <w:t xml:space="preserve"> ed IPO and the Company has no outstanding obligations to investors.</w:t>
      </w:r>
    </w:p>
    <w:p w14:paraId="5D901FA8" w14:textId="77777777" w:rsidR="00073084" w:rsidRPr="00C02BF5" w:rsidRDefault="00073084" w:rsidP="006E7EF4">
      <w:pPr>
        <w:spacing w:line="276" w:lineRule="auto"/>
        <w:rPr>
          <w:rFonts w:ascii="Century Gothic" w:eastAsia="Times New Roman" w:hAnsi="Century Gothic"/>
        </w:rPr>
      </w:pPr>
    </w:p>
    <w:p w14:paraId="7D1B454C" w14:textId="77777777" w:rsidR="00710EED" w:rsidRDefault="00710EED" w:rsidP="006E7EF4">
      <w:pPr>
        <w:tabs>
          <w:tab w:val="left" w:pos="5760"/>
        </w:tabs>
        <w:spacing w:line="276" w:lineRule="auto"/>
        <w:ind w:left="20"/>
        <w:rPr>
          <w:rFonts w:ascii="Century Gothic" w:eastAsia="Times New Roman" w:hAnsi="Century Gothic"/>
        </w:rPr>
      </w:pPr>
      <w:r w:rsidRPr="00C02BF5">
        <w:rPr>
          <w:rFonts w:ascii="Century Gothic" w:eastAsia="Arial" w:hAnsi="Century Gothic"/>
          <w:b/>
          <w:sz w:val="28"/>
          <w:szCs w:val="28"/>
        </w:rPr>
        <w:t>Right of First Refusal on Sales by the Company</w:t>
      </w:r>
      <w:r w:rsidRPr="00C02BF5">
        <w:rPr>
          <w:rFonts w:ascii="Century Gothic" w:eastAsia="Arial" w:hAnsi="Century Gothic"/>
          <w:sz w:val="28"/>
          <w:szCs w:val="28"/>
        </w:rPr>
        <w:t>:</w:t>
      </w:r>
      <w:r w:rsidRPr="00C02BF5">
        <w:rPr>
          <w:rFonts w:ascii="Century Gothic" w:eastAsia="Times New Roman" w:hAnsi="Century Gothic"/>
        </w:rPr>
        <w:tab/>
      </w:r>
    </w:p>
    <w:p w14:paraId="1A3E6993" w14:textId="77777777" w:rsidR="00073084" w:rsidRPr="00C02BF5" w:rsidRDefault="00710EED" w:rsidP="006E7EF4">
      <w:pPr>
        <w:tabs>
          <w:tab w:val="left" w:pos="5760"/>
        </w:tabs>
        <w:spacing w:line="276" w:lineRule="auto"/>
        <w:ind w:left="20"/>
        <w:rPr>
          <w:rFonts w:ascii="Century Gothic" w:eastAsia="Arial" w:hAnsi="Century Gothic"/>
          <w:sz w:val="24"/>
          <w:szCs w:val="24"/>
        </w:rPr>
      </w:pPr>
      <w:r w:rsidRPr="00C02BF5">
        <w:rPr>
          <w:rFonts w:ascii="Century Gothic" w:eastAsia="Arial" w:hAnsi="Century Gothic"/>
          <w:sz w:val="24"/>
          <w:szCs w:val="24"/>
        </w:rPr>
        <w:t>Investors will have a right to</w:t>
      </w:r>
      <w:r>
        <w:rPr>
          <w:rFonts w:ascii="Century Gothic" w:eastAsia="Arial" w:hAnsi="Century Gothic"/>
          <w:sz w:val="24"/>
          <w:szCs w:val="24"/>
        </w:rPr>
        <w:t xml:space="preserve"> </w:t>
      </w:r>
      <w:r w:rsidRPr="00C02BF5">
        <w:rPr>
          <w:rFonts w:ascii="Century Gothic" w:eastAsia="Arial" w:hAnsi="Century Gothic"/>
          <w:sz w:val="24"/>
          <w:szCs w:val="24"/>
        </w:rPr>
        <w:t xml:space="preserve">maintain their pro rata interest in the Company on a fully diluted basis in any subsequent o </w:t>
      </w:r>
      <w:proofErr w:type="spellStart"/>
      <w:r w:rsidRPr="00C02BF5">
        <w:rPr>
          <w:rFonts w:ascii="Century Gothic" w:eastAsia="Arial" w:hAnsi="Century Gothic"/>
          <w:sz w:val="24"/>
          <w:szCs w:val="24"/>
        </w:rPr>
        <w:t>ering</w:t>
      </w:r>
      <w:proofErr w:type="spellEnd"/>
      <w:r w:rsidRPr="00C02BF5">
        <w:rPr>
          <w:rFonts w:ascii="Century Gothic" w:eastAsia="Arial" w:hAnsi="Century Gothic"/>
          <w:sz w:val="24"/>
          <w:szCs w:val="24"/>
        </w:rPr>
        <w:t xml:space="preserve"> of securities other than a public o </w:t>
      </w:r>
      <w:proofErr w:type="spellStart"/>
      <w:r w:rsidRPr="00C02BF5">
        <w:rPr>
          <w:rFonts w:ascii="Century Gothic" w:eastAsia="Arial" w:hAnsi="Century Gothic"/>
          <w:sz w:val="24"/>
          <w:szCs w:val="24"/>
        </w:rPr>
        <w:t>ering</w:t>
      </w:r>
      <w:proofErr w:type="spellEnd"/>
      <w:r w:rsidRPr="00C02BF5">
        <w:rPr>
          <w:rFonts w:ascii="Century Gothic" w:eastAsia="Arial" w:hAnsi="Century Gothic"/>
          <w:sz w:val="24"/>
          <w:szCs w:val="24"/>
        </w:rPr>
        <w:t>.</w:t>
      </w:r>
    </w:p>
    <w:p w14:paraId="6764F4B5" w14:textId="77777777" w:rsidR="00073084" w:rsidRPr="00C02BF5" w:rsidRDefault="00073084" w:rsidP="006E7EF4">
      <w:pPr>
        <w:spacing w:line="276" w:lineRule="auto"/>
        <w:rPr>
          <w:rFonts w:ascii="Century Gothic" w:eastAsia="Times New Roman" w:hAnsi="Century Gothic"/>
        </w:rPr>
      </w:pPr>
    </w:p>
    <w:p w14:paraId="270CA876" w14:textId="77777777" w:rsidR="00710EED" w:rsidRDefault="00710EED" w:rsidP="006E7EF4">
      <w:pPr>
        <w:tabs>
          <w:tab w:val="left" w:pos="7200"/>
        </w:tabs>
        <w:spacing w:line="276" w:lineRule="auto"/>
        <w:ind w:left="20"/>
        <w:rPr>
          <w:rFonts w:ascii="Century Gothic" w:eastAsia="Times New Roman" w:hAnsi="Century Gothic"/>
        </w:rPr>
      </w:pPr>
      <w:r w:rsidRPr="00C02BF5">
        <w:rPr>
          <w:rFonts w:ascii="Century Gothic" w:eastAsia="Arial" w:hAnsi="Century Gothic"/>
          <w:b/>
          <w:sz w:val="28"/>
          <w:szCs w:val="28"/>
        </w:rPr>
        <w:t>Right of First Refusal on Sales by Founders and Co-Sale Rights</w:t>
      </w:r>
      <w:r w:rsidRPr="00C02BF5">
        <w:rPr>
          <w:rFonts w:ascii="Century Gothic" w:eastAsia="Arial" w:hAnsi="Century Gothic"/>
          <w:sz w:val="28"/>
          <w:szCs w:val="28"/>
        </w:rPr>
        <w:t>:</w:t>
      </w:r>
      <w:r w:rsidRPr="00C02BF5">
        <w:rPr>
          <w:rFonts w:ascii="Century Gothic" w:eastAsia="Times New Roman" w:hAnsi="Century Gothic"/>
        </w:rPr>
        <w:tab/>
      </w:r>
    </w:p>
    <w:p w14:paraId="2BA76F24" w14:textId="77777777" w:rsidR="00073084" w:rsidRPr="00C02BF5" w:rsidRDefault="00710EED" w:rsidP="006E7EF4">
      <w:pPr>
        <w:tabs>
          <w:tab w:val="left" w:pos="7200"/>
        </w:tabs>
        <w:spacing w:line="276" w:lineRule="auto"/>
        <w:ind w:left="20"/>
        <w:rPr>
          <w:rFonts w:ascii="Century Gothic" w:eastAsia="Arial" w:hAnsi="Century Gothic"/>
          <w:sz w:val="24"/>
          <w:szCs w:val="24"/>
        </w:rPr>
      </w:pPr>
      <w:r w:rsidRPr="00C02BF5">
        <w:rPr>
          <w:rFonts w:ascii="Century Gothic" w:eastAsia="Arial" w:hAnsi="Century Gothic"/>
          <w:sz w:val="24"/>
          <w:szCs w:val="24"/>
        </w:rPr>
        <w:t>Investors will have a</w:t>
      </w:r>
      <w:r>
        <w:rPr>
          <w:rFonts w:ascii="Century Gothic" w:eastAsia="Arial" w:hAnsi="Century Gothic"/>
          <w:sz w:val="24"/>
          <w:szCs w:val="24"/>
        </w:rPr>
        <w:t xml:space="preserve"> </w:t>
      </w:r>
      <w:r w:rsidRPr="00C02BF5">
        <w:rPr>
          <w:rFonts w:ascii="Century Gothic" w:eastAsia="Arial" w:hAnsi="Century Gothic"/>
          <w:sz w:val="24"/>
          <w:szCs w:val="24"/>
        </w:rPr>
        <w:t xml:space="preserve">30 day right of </w:t>
      </w:r>
      <w:proofErr w:type="spellStart"/>
      <w:r w:rsidRPr="00C02BF5">
        <w:rPr>
          <w:rFonts w:ascii="Century Gothic" w:eastAsia="Arial" w:hAnsi="Century Gothic"/>
          <w:sz w:val="24"/>
          <w:szCs w:val="24"/>
        </w:rPr>
        <w:t>rst</w:t>
      </w:r>
      <w:proofErr w:type="spellEnd"/>
      <w:r w:rsidRPr="00C02BF5">
        <w:rPr>
          <w:rFonts w:ascii="Century Gothic" w:eastAsia="Arial" w:hAnsi="Century Gothic"/>
          <w:sz w:val="24"/>
          <w:szCs w:val="24"/>
        </w:rPr>
        <w:t xml:space="preserve"> refusal to purchase a proportional part of shares </w:t>
      </w:r>
      <w:proofErr w:type="spellStart"/>
      <w:r w:rsidRPr="00C02BF5">
        <w:rPr>
          <w:rFonts w:ascii="Century Gothic" w:eastAsia="Arial" w:hAnsi="Century Gothic"/>
          <w:sz w:val="24"/>
          <w:szCs w:val="24"/>
        </w:rPr>
        <w:t>o</w:t>
      </w:r>
      <w:proofErr w:type="spellEnd"/>
      <w:r w:rsidRPr="00C02BF5">
        <w:rPr>
          <w:rFonts w:ascii="Century Gothic" w:eastAsia="Arial" w:hAnsi="Century Gothic"/>
          <w:sz w:val="24"/>
          <w:szCs w:val="24"/>
        </w:rPr>
        <w:t xml:space="preserve"> </w:t>
      </w:r>
      <w:proofErr w:type="spellStart"/>
      <w:r w:rsidRPr="00C02BF5">
        <w:rPr>
          <w:rFonts w:ascii="Century Gothic" w:eastAsia="Arial" w:hAnsi="Century Gothic"/>
          <w:sz w:val="24"/>
          <w:szCs w:val="24"/>
        </w:rPr>
        <w:t>ered</w:t>
      </w:r>
      <w:proofErr w:type="spellEnd"/>
      <w:r w:rsidRPr="00C02BF5">
        <w:rPr>
          <w:rFonts w:ascii="Century Gothic" w:eastAsia="Arial" w:hAnsi="Century Gothic"/>
          <w:sz w:val="24"/>
          <w:szCs w:val="24"/>
        </w:rPr>
        <w:t xml:space="preserve"> for sale by founders and management of the Company ("Founders"), if management wishes to sell stock before an initial public o </w:t>
      </w:r>
      <w:proofErr w:type="spellStart"/>
      <w:r w:rsidRPr="00C02BF5">
        <w:rPr>
          <w:rFonts w:ascii="Century Gothic" w:eastAsia="Arial" w:hAnsi="Century Gothic"/>
          <w:sz w:val="24"/>
          <w:szCs w:val="24"/>
        </w:rPr>
        <w:t>ering</w:t>
      </w:r>
      <w:proofErr w:type="spellEnd"/>
      <w:r w:rsidRPr="00C02BF5">
        <w:rPr>
          <w:rFonts w:ascii="Century Gothic" w:eastAsia="Arial" w:hAnsi="Century Gothic"/>
          <w:sz w:val="24"/>
          <w:szCs w:val="24"/>
        </w:rPr>
        <w:t xml:space="preserve">, or if Investors so choose, have the right to sell a proportional part of their holdings along with Founders or management before an initial public o </w:t>
      </w:r>
      <w:proofErr w:type="spellStart"/>
      <w:r w:rsidRPr="00C02BF5">
        <w:rPr>
          <w:rFonts w:ascii="Century Gothic" w:eastAsia="Arial" w:hAnsi="Century Gothic"/>
          <w:sz w:val="24"/>
          <w:szCs w:val="24"/>
        </w:rPr>
        <w:t>ering</w:t>
      </w:r>
      <w:proofErr w:type="spellEnd"/>
      <w:r w:rsidRPr="00C02BF5">
        <w:rPr>
          <w:rFonts w:ascii="Century Gothic" w:eastAsia="Arial" w:hAnsi="Century Gothic"/>
          <w:sz w:val="24"/>
          <w:szCs w:val="24"/>
        </w:rPr>
        <w:t>.</w:t>
      </w:r>
    </w:p>
    <w:p w14:paraId="515F7B5D" w14:textId="77777777" w:rsidR="00073084" w:rsidRPr="00C02BF5" w:rsidRDefault="00073084" w:rsidP="006E7EF4">
      <w:pPr>
        <w:spacing w:line="276" w:lineRule="auto"/>
        <w:rPr>
          <w:rFonts w:ascii="Century Gothic" w:eastAsia="Times New Roman" w:hAnsi="Century Gothic"/>
        </w:rPr>
      </w:pPr>
    </w:p>
    <w:p w14:paraId="570C7CF8" w14:textId="77777777" w:rsidR="00710EED" w:rsidRDefault="00710EED" w:rsidP="006E7EF4">
      <w:pPr>
        <w:spacing w:line="276" w:lineRule="auto"/>
        <w:ind w:left="20" w:right="360"/>
        <w:rPr>
          <w:rFonts w:ascii="Century Gothic" w:eastAsia="Arial" w:hAnsi="Century Gothic"/>
          <w:sz w:val="24"/>
          <w:szCs w:val="24"/>
        </w:rPr>
      </w:pPr>
      <w:r w:rsidRPr="00C02BF5">
        <w:rPr>
          <w:rFonts w:ascii="Century Gothic" w:eastAsia="Arial" w:hAnsi="Century Gothic"/>
          <w:b/>
          <w:sz w:val="28"/>
          <w:szCs w:val="28"/>
        </w:rPr>
        <w:t>Follow-Along Rights</w:t>
      </w:r>
      <w:r w:rsidRPr="00C02BF5">
        <w:rPr>
          <w:rFonts w:ascii="Century Gothic" w:eastAsia="Arial" w:hAnsi="Century Gothic"/>
          <w:sz w:val="24"/>
          <w:szCs w:val="24"/>
        </w:rPr>
        <w:t xml:space="preserve">: </w:t>
      </w:r>
    </w:p>
    <w:p w14:paraId="15231C4D" w14:textId="77777777" w:rsidR="00073084" w:rsidRPr="00C02BF5" w:rsidRDefault="00710EED" w:rsidP="006E7EF4">
      <w:pPr>
        <w:spacing w:line="276" w:lineRule="auto"/>
        <w:ind w:left="20" w:right="360"/>
        <w:rPr>
          <w:rFonts w:ascii="Century Gothic" w:eastAsia="Arial" w:hAnsi="Century Gothic"/>
          <w:sz w:val="24"/>
          <w:szCs w:val="24"/>
        </w:rPr>
      </w:pPr>
      <w:r w:rsidRPr="00C02BF5">
        <w:rPr>
          <w:rFonts w:ascii="Century Gothic" w:eastAsia="Arial" w:hAnsi="Century Gothic"/>
          <w:sz w:val="24"/>
          <w:szCs w:val="24"/>
        </w:rPr>
        <w:t>Investors will have the right to sell a proportional part of their</w:t>
      </w:r>
      <w:r w:rsidRPr="00C02BF5">
        <w:rPr>
          <w:rFonts w:ascii="Century Gothic" w:eastAsia="Arial" w:hAnsi="Century Gothic"/>
          <w:b/>
          <w:sz w:val="24"/>
          <w:szCs w:val="24"/>
        </w:rPr>
        <w:t xml:space="preserve"> </w:t>
      </w:r>
      <w:r w:rsidRPr="00C02BF5">
        <w:rPr>
          <w:rFonts w:ascii="Century Gothic" w:eastAsia="Arial" w:hAnsi="Century Gothic"/>
          <w:sz w:val="24"/>
          <w:szCs w:val="24"/>
        </w:rPr>
        <w:t xml:space="preserve">holdings if management sells before initial public o </w:t>
      </w:r>
      <w:proofErr w:type="spellStart"/>
      <w:r w:rsidRPr="00C02BF5">
        <w:rPr>
          <w:rFonts w:ascii="Century Gothic" w:eastAsia="Arial" w:hAnsi="Century Gothic"/>
          <w:sz w:val="24"/>
          <w:szCs w:val="24"/>
        </w:rPr>
        <w:t>ering</w:t>
      </w:r>
      <w:proofErr w:type="spellEnd"/>
      <w:r w:rsidRPr="00C02BF5">
        <w:rPr>
          <w:rFonts w:ascii="Century Gothic" w:eastAsia="Arial" w:hAnsi="Century Gothic"/>
          <w:sz w:val="24"/>
          <w:szCs w:val="24"/>
        </w:rPr>
        <w:t>.</w:t>
      </w:r>
    </w:p>
    <w:p w14:paraId="7F016027" w14:textId="77777777" w:rsidR="00073084" w:rsidRPr="00C02BF5" w:rsidRDefault="00073084" w:rsidP="006E7EF4">
      <w:pPr>
        <w:spacing w:line="276" w:lineRule="auto"/>
        <w:rPr>
          <w:rFonts w:ascii="Century Gothic" w:eastAsia="Times New Roman" w:hAnsi="Century Gothic"/>
        </w:rPr>
      </w:pPr>
    </w:p>
    <w:p w14:paraId="72D2C27C" w14:textId="77777777" w:rsidR="00710EED" w:rsidRDefault="00710EED" w:rsidP="006E7EF4">
      <w:pPr>
        <w:spacing w:line="276" w:lineRule="auto"/>
        <w:ind w:left="20" w:right="260"/>
        <w:rPr>
          <w:rFonts w:ascii="Century Gothic" w:eastAsia="Arial" w:hAnsi="Century Gothic"/>
          <w:sz w:val="24"/>
        </w:rPr>
      </w:pPr>
      <w:r w:rsidRPr="00C02BF5">
        <w:rPr>
          <w:rFonts w:ascii="Century Gothic" w:eastAsia="Arial" w:hAnsi="Century Gothic"/>
          <w:b/>
          <w:sz w:val="28"/>
          <w:szCs w:val="28"/>
        </w:rPr>
        <w:t>Drag-Along Rights</w:t>
      </w:r>
      <w:r w:rsidRPr="00C02BF5">
        <w:rPr>
          <w:rFonts w:ascii="Century Gothic" w:eastAsia="Arial" w:hAnsi="Century Gothic"/>
          <w:sz w:val="28"/>
          <w:szCs w:val="28"/>
        </w:rPr>
        <w:t>:</w:t>
      </w:r>
      <w:r w:rsidRPr="00C02BF5">
        <w:rPr>
          <w:rFonts w:ascii="Century Gothic" w:eastAsia="Arial" w:hAnsi="Century Gothic"/>
          <w:sz w:val="24"/>
        </w:rPr>
        <w:t xml:space="preserve"> </w:t>
      </w:r>
    </w:p>
    <w:p w14:paraId="1A7BF4E1" w14:textId="77777777" w:rsidR="00073084" w:rsidRPr="00C02BF5" w:rsidRDefault="00710EED" w:rsidP="006E7EF4">
      <w:pPr>
        <w:spacing w:line="276" w:lineRule="auto"/>
        <w:ind w:left="20" w:right="260"/>
        <w:rPr>
          <w:rFonts w:ascii="Century Gothic" w:eastAsia="Arial" w:hAnsi="Century Gothic"/>
          <w:sz w:val="24"/>
        </w:rPr>
      </w:pPr>
      <w:r w:rsidRPr="00C02BF5">
        <w:rPr>
          <w:rFonts w:ascii="Century Gothic" w:eastAsia="Arial" w:hAnsi="Century Gothic"/>
          <w:sz w:val="24"/>
          <w:szCs w:val="24"/>
        </w:rPr>
        <w:t>The holders of the Common or Preferred Stock shall enter into a drag-along agreement whereby if a majority of the holders of Series A Preferred Stock agree to a sale or liquidation of the Company, the holders of the remaining Preferred and Common Stock shall consent to and raise no objections</w:t>
      </w:r>
      <w:r w:rsidRPr="00C02BF5">
        <w:rPr>
          <w:rFonts w:ascii="Century Gothic" w:eastAsia="Arial" w:hAnsi="Century Gothic"/>
          <w:sz w:val="24"/>
        </w:rPr>
        <w:t xml:space="preserve"> to such sale.</w:t>
      </w:r>
    </w:p>
    <w:p w14:paraId="206E0986" w14:textId="77777777" w:rsidR="00073084" w:rsidRPr="00C02BF5" w:rsidRDefault="00073084" w:rsidP="006E7EF4">
      <w:pPr>
        <w:spacing w:line="276" w:lineRule="auto"/>
        <w:rPr>
          <w:rFonts w:ascii="Century Gothic" w:eastAsia="Times New Roman" w:hAnsi="Century Gothic"/>
        </w:rPr>
      </w:pPr>
    </w:p>
    <w:p w14:paraId="38700C7B" w14:textId="77777777" w:rsidR="00710EED" w:rsidRDefault="00710EED" w:rsidP="006E7EF4">
      <w:pPr>
        <w:spacing w:line="276" w:lineRule="auto"/>
        <w:ind w:left="20" w:right="200"/>
        <w:rPr>
          <w:rFonts w:ascii="Century Gothic" w:eastAsia="Arial" w:hAnsi="Century Gothic"/>
          <w:sz w:val="24"/>
          <w:szCs w:val="24"/>
        </w:rPr>
      </w:pPr>
      <w:r w:rsidRPr="00C02BF5">
        <w:rPr>
          <w:rFonts w:ascii="Century Gothic" w:eastAsia="Arial" w:hAnsi="Century Gothic"/>
          <w:b/>
          <w:sz w:val="28"/>
          <w:szCs w:val="28"/>
        </w:rPr>
        <w:t>Negative Covenants</w:t>
      </w:r>
      <w:r w:rsidRPr="00C02BF5">
        <w:rPr>
          <w:rFonts w:ascii="Century Gothic" w:eastAsia="Arial" w:hAnsi="Century Gothic"/>
          <w:sz w:val="24"/>
          <w:szCs w:val="24"/>
        </w:rPr>
        <w:t xml:space="preserve">: </w:t>
      </w:r>
    </w:p>
    <w:p w14:paraId="3D9BAA5E" w14:textId="77777777" w:rsidR="00073084" w:rsidRPr="00C02BF5" w:rsidRDefault="00710EED" w:rsidP="006E7EF4">
      <w:pPr>
        <w:spacing w:line="276" w:lineRule="auto"/>
        <w:ind w:left="20" w:right="200"/>
        <w:rPr>
          <w:rFonts w:ascii="Century Gothic" w:eastAsia="Arial" w:hAnsi="Century Gothic"/>
          <w:sz w:val="24"/>
          <w:szCs w:val="24"/>
        </w:rPr>
      </w:pPr>
      <w:r w:rsidRPr="00C02BF5">
        <w:rPr>
          <w:rFonts w:ascii="Century Gothic" w:eastAsia="Arial" w:hAnsi="Century Gothic"/>
          <w:sz w:val="24"/>
          <w:szCs w:val="24"/>
        </w:rPr>
        <w:t>Consent of holders of two-thirds of Series A Preferred Stock</w:t>
      </w:r>
      <w:r w:rsidRPr="00C02BF5">
        <w:rPr>
          <w:rFonts w:ascii="Century Gothic" w:eastAsia="Arial" w:hAnsi="Century Gothic"/>
          <w:b/>
          <w:sz w:val="24"/>
          <w:szCs w:val="24"/>
        </w:rPr>
        <w:t xml:space="preserve"> </w:t>
      </w:r>
      <w:r w:rsidRPr="00C02BF5">
        <w:rPr>
          <w:rFonts w:ascii="Century Gothic" w:eastAsia="Arial" w:hAnsi="Century Gothic"/>
          <w:sz w:val="24"/>
          <w:szCs w:val="24"/>
        </w:rPr>
        <w:t xml:space="preserve">required for merger, dissolution, sale of substantially all assets, dividends on common stock, amendments to </w:t>
      </w:r>
      <w:proofErr w:type="spellStart"/>
      <w:r w:rsidRPr="00C02BF5">
        <w:rPr>
          <w:rFonts w:ascii="Century Gothic" w:eastAsia="Arial" w:hAnsi="Century Gothic"/>
          <w:sz w:val="24"/>
          <w:szCs w:val="24"/>
        </w:rPr>
        <w:t>certi</w:t>
      </w:r>
      <w:proofErr w:type="spellEnd"/>
      <w:r w:rsidRPr="00C02BF5">
        <w:rPr>
          <w:rFonts w:ascii="Century Gothic" w:eastAsia="Arial" w:hAnsi="Century Gothic"/>
          <w:sz w:val="24"/>
          <w:szCs w:val="24"/>
        </w:rPr>
        <w:t xml:space="preserve"> cate of incorporation and by-laws, etc.</w:t>
      </w:r>
    </w:p>
    <w:p w14:paraId="17E3B044" w14:textId="77777777" w:rsidR="00073084" w:rsidRPr="00C02BF5" w:rsidRDefault="00073084" w:rsidP="006E7EF4">
      <w:pPr>
        <w:spacing w:line="276" w:lineRule="auto"/>
        <w:rPr>
          <w:rFonts w:ascii="Century Gothic" w:eastAsia="Times New Roman" w:hAnsi="Century Gothic"/>
        </w:rPr>
      </w:pPr>
    </w:p>
    <w:p w14:paraId="14EDEB8F" w14:textId="77777777" w:rsidR="00710EED" w:rsidRDefault="00710EED" w:rsidP="006E7EF4">
      <w:pPr>
        <w:tabs>
          <w:tab w:val="left" w:pos="6480"/>
        </w:tabs>
        <w:spacing w:line="276" w:lineRule="auto"/>
        <w:ind w:left="20"/>
        <w:rPr>
          <w:rFonts w:ascii="Century Gothic" w:eastAsia="Times New Roman" w:hAnsi="Century Gothic"/>
        </w:rPr>
      </w:pPr>
      <w:r w:rsidRPr="00C02BF5">
        <w:rPr>
          <w:rFonts w:ascii="Century Gothic" w:eastAsia="Arial" w:hAnsi="Century Gothic"/>
          <w:b/>
          <w:sz w:val="28"/>
          <w:szCs w:val="28"/>
        </w:rPr>
        <w:t>Non-competition and Non-solicitation Agreements</w:t>
      </w:r>
      <w:r w:rsidRPr="00C02BF5">
        <w:rPr>
          <w:rFonts w:ascii="Century Gothic" w:eastAsia="Arial" w:hAnsi="Century Gothic"/>
          <w:sz w:val="28"/>
          <w:szCs w:val="28"/>
        </w:rPr>
        <w:t>:</w:t>
      </w:r>
      <w:r w:rsidRPr="00C02BF5">
        <w:rPr>
          <w:rFonts w:ascii="Century Gothic" w:eastAsia="Times New Roman" w:hAnsi="Century Gothic"/>
        </w:rPr>
        <w:tab/>
      </w:r>
    </w:p>
    <w:p w14:paraId="06729209" w14:textId="77777777" w:rsidR="00073084" w:rsidRPr="00C02BF5" w:rsidRDefault="00710EED" w:rsidP="006E7EF4">
      <w:pPr>
        <w:tabs>
          <w:tab w:val="left" w:pos="6480"/>
        </w:tabs>
        <w:spacing w:line="276" w:lineRule="auto"/>
        <w:ind w:left="20"/>
        <w:rPr>
          <w:rFonts w:ascii="Century Gothic" w:eastAsia="Arial" w:hAnsi="Century Gothic"/>
          <w:sz w:val="24"/>
          <w:szCs w:val="24"/>
        </w:rPr>
      </w:pPr>
      <w:r w:rsidRPr="00C02BF5">
        <w:rPr>
          <w:rFonts w:ascii="Century Gothic" w:eastAsia="Arial" w:hAnsi="Century Gothic"/>
          <w:sz w:val="24"/>
          <w:szCs w:val="24"/>
        </w:rPr>
        <w:t>In addition to standard</w:t>
      </w:r>
      <w:r>
        <w:rPr>
          <w:rFonts w:ascii="Century Gothic" w:eastAsia="Arial" w:hAnsi="Century Gothic"/>
          <w:sz w:val="24"/>
          <w:szCs w:val="24"/>
        </w:rPr>
        <w:t xml:space="preserve"> </w:t>
      </w:r>
      <w:r w:rsidRPr="00C02BF5">
        <w:rPr>
          <w:rFonts w:ascii="Century Gothic" w:eastAsia="Arial" w:hAnsi="Century Gothic"/>
          <w:sz w:val="24"/>
          <w:szCs w:val="24"/>
        </w:rPr>
        <w:t xml:space="preserve">con </w:t>
      </w:r>
      <w:proofErr w:type="spellStart"/>
      <w:r w:rsidRPr="00C02BF5">
        <w:rPr>
          <w:rFonts w:ascii="Century Gothic" w:eastAsia="Arial" w:hAnsi="Century Gothic"/>
          <w:sz w:val="24"/>
          <w:szCs w:val="24"/>
        </w:rPr>
        <w:t>dentiality</w:t>
      </w:r>
      <w:proofErr w:type="spellEnd"/>
      <w:r w:rsidRPr="00C02BF5">
        <w:rPr>
          <w:rFonts w:ascii="Century Gothic" w:eastAsia="Arial" w:hAnsi="Century Gothic"/>
          <w:sz w:val="24"/>
          <w:szCs w:val="24"/>
        </w:rPr>
        <w:t>/developments agreements, key employees to execute agreements not to compete with or solicit employees of the Company or its subsidiaries, directly or indirectly, for one year after termination of employment.</w:t>
      </w:r>
    </w:p>
    <w:p w14:paraId="745928E0" w14:textId="77777777" w:rsidR="00073084" w:rsidRPr="00C02BF5" w:rsidRDefault="00073084" w:rsidP="006E7EF4">
      <w:pPr>
        <w:spacing w:line="276" w:lineRule="auto"/>
        <w:rPr>
          <w:rFonts w:ascii="Century Gothic" w:eastAsia="Times New Roman" w:hAnsi="Century Gothic"/>
        </w:rPr>
      </w:pPr>
    </w:p>
    <w:p w14:paraId="1B820FC4" w14:textId="77777777" w:rsidR="00710EED" w:rsidRDefault="00710EED" w:rsidP="006E7EF4">
      <w:pPr>
        <w:spacing w:line="276" w:lineRule="auto"/>
        <w:ind w:left="20" w:right="40"/>
        <w:rPr>
          <w:rFonts w:ascii="Century Gothic" w:eastAsia="Arial" w:hAnsi="Century Gothic"/>
          <w:sz w:val="24"/>
        </w:rPr>
      </w:pPr>
      <w:r w:rsidRPr="00C02BF5">
        <w:rPr>
          <w:rFonts w:ascii="Century Gothic" w:eastAsia="Arial" w:hAnsi="Century Gothic"/>
          <w:b/>
          <w:sz w:val="28"/>
          <w:szCs w:val="28"/>
        </w:rPr>
        <w:t>Vesting</w:t>
      </w:r>
      <w:r w:rsidRPr="00C02BF5">
        <w:rPr>
          <w:rFonts w:ascii="Century Gothic" w:eastAsia="Arial" w:hAnsi="Century Gothic"/>
          <w:sz w:val="28"/>
          <w:szCs w:val="28"/>
        </w:rPr>
        <w:t>:</w:t>
      </w:r>
      <w:r w:rsidRPr="00C02BF5">
        <w:rPr>
          <w:rFonts w:ascii="Century Gothic" w:eastAsia="Arial" w:hAnsi="Century Gothic"/>
          <w:sz w:val="24"/>
        </w:rPr>
        <w:t xml:space="preserve"> </w:t>
      </w:r>
    </w:p>
    <w:p w14:paraId="67A38561" w14:textId="77777777" w:rsidR="00073084" w:rsidRPr="00C02BF5" w:rsidRDefault="00710EED" w:rsidP="006E7EF4">
      <w:pPr>
        <w:spacing w:line="276" w:lineRule="auto"/>
        <w:ind w:left="20" w:right="40"/>
        <w:rPr>
          <w:rFonts w:ascii="Century Gothic" w:eastAsia="Arial" w:hAnsi="Century Gothic"/>
          <w:sz w:val="24"/>
          <w:szCs w:val="24"/>
        </w:rPr>
      </w:pPr>
      <w:r w:rsidRPr="00C02BF5">
        <w:rPr>
          <w:rFonts w:ascii="Century Gothic" w:eastAsia="Arial" w:hAnsi="Century Gothic"/>
          <w:sz w:val="24"/>
          <w:szCs w:val="24"/>
        </w:rPr>
        <w:t>Stock and options issued to employees, independent directors and consultants</w:t>
      </w:r>
      <w:r w:rsidRPr="00C02BF5">
        <w:rPr>
          <w:rFonts w:ascii="Century Gothic" w:eastAsia="Arial" w:hAnsi="Century Gothic"/>
          <w:b/>
          <w:sz w:val="24"/>
          <w:szCs w:val="24"/>
        </w:rPr>
        <w:t xml:space="preserve"> </w:t>
      </w:r>
      <w:r w:rsidRPr="00C02BF5">
        <w:rPr>
          <w:rFonts w:ascii="Century Gothic" w:eastAsia="Arial" w:hAnsi="Century Gothic"/>
          <w:sz w:val="24"/>
          <w:szCs w:val="24"/>
        </w:rPr>
        <w:t>would be subject to vesting/repurchase over 4 years. At least 75% of each Founder's shares would be subject to 3 years of vesting.</w:t>
      </w:r>
    </w:p>
    <w:p w14:paraId="0740B667" w14:textId="77777777" w:rsidR="00073084" w:rsidRPr="00C02BF5" w:rsidRDefault="00073084" w:rsidP="006E7EF4">
      <w:pPr>
        <w:spacing w:line="276" w:lineRule="auto"/>
        <w:rPr>
          <w:rFonts w:ascii="Century Gothic" w:eastAsia="Times New Roman" w:hAnsi="Century Gothic"/>
          <w:sz w:val="24"/>
          <w:szCs w:val="24"/>
        </w:rPr>
      </w:pPr>
    </w:p>
    <w:p w14:paraId="58A250ED" w14:textId="77777777" w:rsidR="00710EED" w:rsidRDefault="00710EED" w:rsidP="006E7EF4">
      <w:pPr>
        <w:spacing w:line="276" w:lineRule="auto"/>
        <w:ind w:left="20" w:right="80"/>
        <w:rPr>
          <w:rFonts w:ascii="Century Gothic" w:eastAsia="Arial" w:hAnsi="Century Gothic"/>
          <w:sz w:val="24"/>
        </w:rPr>
      </w:pPr>
      <w:r w:rsidRPr="00C02BF5">
        <w:rPr>
          <w:rFonts w:ascii="Century Gothic" w:eastAsia="Arial" w:hAnsi="Century Gothic"/>
          <w:b/>
          <w:sz w:val="28"/>
          <w:szCs w:val="28"/>
        </w:rPr>
        <w:t>Costs and Expenses</w:t>
      </w:r>
      <w:r w:rsidRPr="00C02BF5">
        <w:rPr>
          <w:rFonts w:ascii="Century Gothic" w:eastAsia="Arial" w:hAnsi="Century Gothic"/>
          <w:sz w:val="28"/>
          <w:szCs w:val="28"/>
        </w:rPr>
        <w:t>:</w:t>
      </w:r>
      <w:r w:rsidRPr="00C02BF5">
        <w:rPr>
          <w:rFonts w:ascii="Century Gothic" w:eastAsia="Arial" w:hAnsi="Century Gothic"/>
          <w:sz w:val="24"/>
        </w:rPr>
        <w:t xml:space="preserve"> </w:t>
      </w:r>
    </w:p>
    <w:p w14:paraId="6607872F" w14:textId="77777777" w:rsidR="00073084" w:rsidRPr="00C02BF5" w:rsidRDefault="00710EED" w:rsidP="006E7EF4">
      <w:pPr>
        <w:spacing w:line="276" w:lineRule="auto"/>
        <w:ind w:left="20" w:right="80"/>
        <w:rPr>
          <w:rFonts w:ascii="Century Gothic" w:eastAsia="Arial" w:hAnsi="Century Gothic"/>
          <w:sz w:val="24"/>
          <w:szCs w:val="24"/>
        </w:rPr>
      </w:pPr>
      <w:r w:rsidRPr="00C02BF5">
        <w:rPr>
          <w:rFonts w:ascii="Century Gothic" w:eastAsia="Arial" w:hAnsi="Century Gothic"/>
          <w:sz w:val="24"/>
          <w:szCs w:val="24"/>
        </w:rPr>
        <w:t>Fees of a single counsel representing all investors of the Angel group</w:t>
      </w:r>
      <w:r w:rsidRPr="00C02BF5">
        <w:rPr>
          <w:rFonts w:ascii="Century Gothic" w:eastAsia="Arial" w:hAnsi="Century Gothic"/>
          <w:b/>
          <w:sz w:val="24"/>
          <w:szCs w:val="24"/>
        </w:rPr>
        <w:t xml:space="preserve"> </w:t>
      </w:r>
      <w:r w:rsidRPr="00C02BF5">
        <w:rPr>
          <w:rFonts w:ascii="Century Gothic" w:eastAsia="Arial" w:hAnsi="Century Gothic"/>
          <w:sz w:val="24"/>
          <w:szCs w:val="24"/>
        </w:rPr>
        <w:t>participating in this round estimated at $[Insert], and their reasonable expenses will be borne by the Company unless the transaction is not completed because the Investors withdraw their commitment without cause.</w:t>
      </w:r>
    </w:p>
    <w:p w14:paraId="49DA1647" w14:textId="77777777" w:rsidR="00073084" w:rsidRPr="00C02BF5" w:rsidRDefault="00073084" w:rsidP="006E7EF4">
      <w:pPr>
        <w:spacing w:line="276" w:lineRule="auto"/>
        <w:rPr>
          <w:rFonts w:ascii="Century Gothic" w:eastAsia="Times New Roman" w:hAnsi="Century Gothic"/>
        </w:rPr>
      </w:pPr>
    </w:p>
    <w:p w14:paraId="4E957377" w14:textId="77777777" w:rsidR="00710EED" w:rsidRDefault="00710EED" w:rsidP="006E7EF4">
      <w:pPr>
        <w:spacing w:line="276" w:lineRule="auto"/>
        <w:ind w:left="20" w:right="80"/>
        <w:rPr>
          <w:rFonts w:ascii="Century Gothic" w:eastAsia="Arial" w:hAnsi="Century Gothic"/>
          <w:sz w:val="28"/>
          <w:szCs w:val="28"/>
        </w:rPr>
      </w:pPr>
      <w:bookmarkStart w:id="3" w:name="page4"/>
      <w:bookmarkEnd w:id="3"/>
      <w:r w:rsidRPr="00C02BF5">
        <w:rPr>
          <w:rFonts w:ascii="Century Gothic" w:eastAsia="Arial" w:hAnsi="Century Gothic"/>
          <w:b/>
          <w:sz w:val="28"/>
          <w:szCs w:val="28"/>
        </w:rPr>
        <w:t>Agreement</w:t>
      </w:r>
      <w:r w:rsidRPr="00C02BF5">
        <w:rPr>
          <w:rFonts w:ascii="Century Gothic" w:eastAsia="Arial" w:hAnsi="Century Gothic"/>
          <w:sz w:val="28"/>
          <w:szCs w:val="28"/>
        </w:rPr>
        <w:t>:</w:t>
      </w:r>
    </w:p>
    <w:p w14:paraId="567B759E" w14:textId="77777777" w:rsidR="00073084" w:rsidRPr="00C02BF5" w:rsidRDefault="00710EED" w:rsidP="006E7EF4">
      <w:pPr>
        <w:spacing w:line="276" w:lineRule="auto"/>
        <w:ind w:left="20" w:right="80"/>
        <w:rPr>
          <w:rFonts w:ascii="Century Gothic" w:eastAsia="Arial" w:hAnsi="Century Gothic"/>
          <w:sz w:val="24"/>
          <w:szCs w:val="24"/>
        </w:rPr>
      </w:pPr>
      <w:r w:rsidRPr="00C02BF5">
        <w:rPr>
          <w:rFonts w:ascii="Century Gothic" w:eastAsia="Arial" w:hAnsi="Century Gothic"/>
          <w:sz w:val="24"/>
        </w:rPr>
        <w:t xml:space="preserve"> </w:t>
      </w:r>
      <w:r w:rsidRPr="00C02BF5">
        <w:rPr>
          <w:rFonts w:ascii="Century Gothic" w:eastAsia="Arial" w:hAnsi="Century Gothic"/>
          <w:sz w:val="24"/>
          <w:szCs w:val="24"/>
        </w:rPr>
        <w:t xml:space="preserve">This investment will be made pursuant to a </w:t>
      </w:r>
      <w:proofErr w:type="spellStart"/>
      <w:r w:rsidRPr="00C02BF5">
        <w:rPr>
          <w:rFonts w:ascii="Century Gothic" w:eastAsia="Arial" w:hAnsi="Century Gothic"/>
          <w:sz w:val="24"/>
          <w:szCs w:val="24"/>
        </w:rPr>
        <w:t>denitive</w:t>
      </w:r>
      <w:proofErr w:type="spellEnd"/>
      <w:r w:rsidRPr="00C02BF5">
        <w:rPr>
          <w:rFonts w:ascii="Century Gothic" w:eastAsia="Arial" w:hAnsi="Century Gothic"/>
          <w:sz w:val="24"/>
          <w:szCs w:val="24"/>
        </w:rPr>
        <w:t xml:space="preserve"> purchase</w:t>
      </w:r>
      <w:r w:rsidRPr="00C02BF5">
        <w:rPr>
          <w:rFonts w:ascii="Century Gothic" w:eastAsia="Arial" w:hAnsi="Century Gothic"/>
          <w:b/>
          <w:sz w:val="24"/>
          <w:szCs w:val="24"/>
        </w:rPr>
        <w:t xml:space="preserve"> </w:t>
      </w:r>
      <w:r w:rsidRPr="00C02BF5">
        <w:rPr>
          <w:rFonts w:ascii="Century Gothic" w:eastAsia="Arial" w:hAnsi="Century Gothic"/>
          <w:sz w:val="24"/>
          <w:szCs w:val="24"/>
        </w:rPr>
        <w:t xml:space="preserve">agreement and related documents which will contain customary representations, warranties, covenants and indemnities, which are mutually acceptable. Except for the con </w:t>
      </w:r>
      <w:proofErr w:type="spellStart"/>
      <w:r w:rsidRPr="00C02BF5">
        <w:rPr>
          <w:rFonts w:ascii="Century Gothic" w:eastAsia="Arial" w:hAnsi="Century Gothic"/>
          <w:sz w:val="24"/>
          <w:szCs w:val="24"/>
        </w:rPr>
        <w:lastRenderedPageBreak/>
        <w:t>dentiality</w:t>
      </w:r>
      <w:proofErr w:type="spellEnd"/>
      <w:r w:rsidRPr="00C02BF5">
        <w:rPr>
          <w:rFonts w:ascii="Century Gothic" w:eastAsia="Arial" w:hAnsi="Century Gothic"/>
          <w:sz w:val="24"/>
          <w:szCs w:val="24"/>
        </w:rPr>
        <w:t xml:space="preserve"> provisions of this term sheet, binding obligations will be created only by the </w:t>
      </w:r>
      <w:proofErr w:type="spellStart"/>
      <w:r w:rsidRPr="00C02BF5">
        <w:rPr>
          <w:rFonts w:ascii="Century Gothic" w:eastAsia="Arial" w:hAnsi="Century Gothic"/>
          <w:sz w:val="24"/>
          <w:szCs w:val="24"/>
        </w:rPr>
        <w:t>denitive</w:t>
      </w:r>
      <w:proofErr w:type="spellEnd"/>
      <w:r w:rsidRPr="00C02BF5">
        <w:rPr>
          <w:rFonts w:ascii="Century Gothic" w:eastAsia="Arial" w:hAnsi="Century Gothic"/>
          <w:sz w:val="24"/>
          <w:szCs w:val="24"/>
        </w:rPr>
        <w:t xml:space="preserve"> purchase agreement.</w:t>
      </w:r>
    </w:p>
    <w:p w14:paraId="595C22FC" w14:textId="77777777" w:rsidR="00073084" w:rsidRPr="00C02BF5" w:rsidRDefault="00073084" w:rsidP="006E7EF4">
      <w:pPr>
        <w:spacing w:line="276" w:lineRule="auto"/>
        <w:rPr>
          <w:rFonts w:ascii="Century Gothic" w:eastAsia="Times New Roman" w:hAnsi="Century Gothic"/>
        </w:rPr>
      </w:pPr>
    </w:p>
    <w:p w14:paraId="3EB70FAA" w14:textId="77777777" w:rsidR="00073084" w:rsidRPr="00710EED" w:rsidRDefault="00710EED" w:rsidP="006E7EF4">
      <w:pPr>
        <w:spacing w:line="276" w:lineRule="auto"/>
        <w:ind w:left="20"/>
        <w:rPr>
          <w:rFonts w:ascii="Century Gothic" w:eastAsia="Arial" w:hAnsi="Century Gothic"/>
          <w:b/>
          <w:sz w:val="28"/>
          <w:szCs w:val="28"/>
        </w:rPr>
      </w:pPr>
      <w:r w:rsidRPr="00C02BF5">
        <w:rPr>
          <w:rFonts w:ascii="Century Gothic" w:eastAsia="Arial" w:hAnsi="Century Gothic"/>
          <w:b/>
          <w:sz w:val="28"/>
          <w:szCs w:val="28"/>
        </w:rPr>
        <w:t>Conditions of Closing:</w:t>
      </w:r>
    </w:p>
    <w:p w14:paraId="0FE0B8BD" w14:textId="77777777" w:rsidR="00C02BF5" w:rsidRDefault="00710EED" w:rsidP="006E7EF4">
      <w:pPr>
        <w:tabs>
          <w:tab w:val="left" w:pos="3260"/>
        </w:tabs>
        <w:spacing w:line="276" w:lineRule="auto"/>
        <w:ind w:right="300"/>
        <w:rPr>
          <w:rFonts w:ascii="Century Gothic" w:eastAsia="Arial" w:hAnsi="Century Gothic"/>
          <w:sz w:val="24"/>
          <w:szCs w:val="24"/>
        </w:rPr>
      </w:pPr>
      <w:r w:rsidRPr="00C02BF5">
        <w:rPr>
          <w:rFonts w:ascii="Century Gothic" w:eastAsia="Arial" w:hAnsi="Century Gothic"/>
          <w:sz w:val="24"/>
          <w:szCs w:val="24"/>
        </w:rPr>
        <w:t xml:space="preserve">Completion of a satisfactory due diligence investigation of the Company and its legal </w:t>
      </w:r>
      <w:proofErr w:type="spellStart"/>
      <w:proofErr w:type="gramStart"/>
      <w:r w:rsidRPr="00C02BF5">
        <w:rPr>
          <w:rFonts w:ascii="Century Gothic" w:eastAsia="Arial" w:hAnsi="Century Gothic"/>
          <w:sz w:val="24"/>
          <w:szCs w:val="24"/>
        </w:rPr>
        <w:t>a</w:t>
      </w:r>
      <w:proofErr w:type="spellEnd"/>
      <w:proofErr w:type="gramEnd"/>
      <w:r w:rsidRPr="00C02BF5">
        <w:rPr>
          <w:rFonts w:ascii="Century Gothic" w:eastAsia="Arial" w:hAnsi="Century Gothic"/>
          <w:sz w:val="24"/>
          <w:szCs w:val="24"/>
        </w:rPr>
        <w:t xml:space="preserve"> airs by the Investors.</w:t>
      </w:r>
      <w:r w:rsidR="00C02BF5">
        <w:rPr>
          <w:rFonts w:ascii="Century Gothic" w:eastAsia="Arial" w:hAnsi="Century Gothic"/>
          <w:sz w:val="24"/>
          <w:szCs w:val="24"/>
        </w:rPr>
        <w:t xml:space="preserve"> </w:t>
      </w:r>
      <w:r w:rsidRPr="00C02BF5">
        <w:rPr>
          <w:rFonts w:ascii="Century Gothic" w:eastAsia="Arial" w:hAnsi="Century Gothic"/>
          <w:sz w:val="24"/>
          <w:szCs w:val="24"/>
        </w:rPr>
        <w:t xml:space="preserve">The execution and delivery of </w:t>
      </w:r>
      <w:proofErr w:type="spellStart"/>
      <w:r w:rsidRPr="00C02BF5">
        <w:rPr>
          <w:rFonts w:ascii="Century Gothic" w:eastAsia="Arial" w:hAnsi="Century Gothic"/>
          <w:sz w:val="24"/>
          <w:szCs w:val="24"/>
        </w:rPr>
        <w:t>denitive</w:t>
      </w:r>
      <w:proofErr w:type="spellEnd"/>
      <w:r w:rsidRPr="00C02BF5">
        <w:rPr>
          <w:rFonts w:ascii="Century Gothic" w:eastAsia="Arial" w:hAnsi="Century Gothic"/>
          <w:sz w:val="24"/>
          <w:szCs w:val="24"/>
        </w:rPr>
        <w:t xml:space="preserve"> documents to include standard disclosure schedules, representations and warranties, in form and substance satisfactory to the Investors and the Company.</w:t>
      </w:r>
      <w:r>
        <w:rPr>
          <w:rFonts w:ascii="Century Gothic" w:eastAsia="Arial" w:hAnsi="Century Gothic"/>
          <w:sz w:val="24"/>
          <w:szCs w:val="24"/>
        </w:rPr>
        <w:t xml:space="preserve"> </w:t>
      </w:r>
      <w:r w:rsidRPr="00C02BF5">
        <w:rPr>
          <w:rFonts w:ascii="Century Gothic" w:eastAsia="Arial" w:hAnsi="Century Gothic"/>
          <w:sz w:val="24"/>
          <w:szCs w:val="24"/>
        </w:rPr>
        <w:t xml:space="preserve">The absence of any material </w:t>
      </w:r>
      <w:proofErr w:type="gramStart"/>
      <w:r w:rsidRPr="00C02BF5">
        <w:rPr>
          <w:rFonts w:ascii="Century Gothic" w:eastAsia="Arial" w:hAnsi="Century Gothic"/>
          <w:sz w:val="24"/>
          <w:szCs w:val="24"/>
        </w:rPr>
        <w:t>change</w:t>
      </w:r>
      <w:proofErr w:type="gramEnd"/>
      <w:r w:rsidRPr="00C02BF5">
        <w:rPr>
          <w:rFonts w:ascii="Century Gothic" w:eastAsia="Arial" w:hAnsi="Century Gothic"/>
          <w:sz w:val="24"/>
          <w:szCs w:val="24"/>
        </w:rPr>
        <w:t xml:space="preserve"> in the business of the Company</w:t>
      </w:r>
      <w:r>
        <w:rPr>
          <w:rFonts w:ascii="Century Gothic" w:eastAsia="Arial" w:hAnsi="Century Gothic"/>
          <w:sz w:val="24"/>
          <w:szCs w:val="24"/>
        </w:rPr>
        <w:t>.</w:t>
      </w:r>
    </w:p>
    <w:p w14:paraId="3B1BE52E" w14:textId="77777777" w:rsidR="00710EED" w:rsidRPr="00C02BF5" w:rsidRDefault="00710EED" w:rsidP="006E7EF4">
      <w:pPr>
        <w:tabs>
          <w:tab w:val="left" w:pos="3260"/>
        </w:tabs>
        <w:spacing w:line="276" w:lineRule="auto"/>
        <w:ind w:right="300"/>
        <w:rPr>
          <w:rFonts w:ascii="Century Gothic" w:eastAsia="Arial" w:hAnsi="Century Gothic"/>
          <w:sz w:val="24"/>
          <w:szCs w:val="24"/>
        </w:rPr>
      </w:pPr>
    </w:p>
    <w:p w14:paraId="3833EA3B" w14:textId="77777777" w:rsidR="00073084" w:rsidRPr="00C02BF5" w:rsidRDefault="00710EED" w:rsidP="006E7EF4">
      <w:pPr>
        <w:spacing w:line="276" w:lineRule="auto"/>
        <w:ind w:left="20"/>
        <w:rPr>
          <w:rFonts w:ascii="Century Gothic" w:eastAsia="Arial" w:hAnsi="Century Gothic"/>
          <w:sz w:val="28"/>
          <w:szCs w:val="28"/>
        </w:rPr>
      </w:pPr>
      <w:r w:rsidRPr="00C02BF5">
        <w:rPr>
          <w:rFonts w:ascii="Century Gothic" w:eastAsia="Arial" w:hAnsi="Century Gothic"/>
          <w:b/>
          <w:sz w:val="28"/>
          <w:szCs w:val="28"/>
        </w:rPr>
        <w:t>Signatures</w:t>
      </w:r>
      <w:r w:rsidRPr="00C02BF5">
        <w:rPr>
          <w:rFonts w:ascii="Century Gothic" w:eastAsia="Arial" w:hAnsi="Century Gothic"/>
          <w:sz w:val="28"/>
          <w:szCs w:val="28"/>
        </w:rPr>
        <w:t>:</w:t>
      </w:r>
    </w:p>
    <w:p w14:paraId="3AADAF14" w14:textId="77777777" w:rsidR="00073084" w:rsidRPr="00C02BF5" w:rsidRDefault="00073084" w:rsidP="00C02BF5">
      <w:pPr>
        <w:spacing w:line="276" w:lineRule="auto"/>
        <w:rPr>
          <w:rFonts w:ascii="Century Gothic" w:eastAsia="Times New Roman" w:hAnsi="Century Gothic"/>
        </w:rPr>
      </w:pPr>
    </w:p>
    <w:p w14:paraId="34225D58" w14:textId="77777777" w:rsidR="00073084" w:rsidRPr="00710EED" w:rsidRDefault="00710EED" w:rsidP="00C02BF5">
      <w:pPr>
        <w:spacing w:line="276" w:lineRule="auto"/>
        <w:rPr>
          <w:rFonts w:ascii="Century Gothic" w:eastAsia="Times New Roman" w:hAnsi="Century Gothic"/>
          <w:sz w:val="24"/>
          <w:szCs w:val="24"/>
        </w:rPr>
        <w:sectPr w:rsidR="00073084" w:rsidRPr="00710EED" w:rsidSect="006E7EF4">
          <w:footerReference w:type="default" r:id="rId7"/>
          <w:pgSz w:w="12240" w:h="15840"/>
          <w:pgMar w:top="1440" w:right="1080" w:bottom="1440" w:left="1080" w:header="0" w:footer="720" w:gutter="0"/>
          <w:cols w:space="0" w:equalWidth="0">
            <w:col w:w="9720"/>
          </w:cols>
          <w:docGrid w:linePitch="360"/>
        </w:sectPr>
      </w:pPr>
      <w:r w:rsidRPr="00710EED">
        <w:rPr>
          <w:rFonts w:ascii="Century Gothic" w:eastAsia="Times New Roman" w:hAnsi="Century Gothic"/>
          <w:sz w:val="24"/>
          <w:szCs w:val="24"/>
        </w:rPr>
        <w:t>_______</w:t>
      </w:r>
      <w:r>
        <w:rPr>
          <w:rFonts w:ascii="Century Gothic" w:eastAsia="Times New Roman" w:hAnsi="Century Gothic"/>
          <w:sz w:val="24"/>
          <w:szCs w:val="24"/>
        </w:rPr>
        <w:t>___</w:t>
      </w:r>
      <w:r w:rsidRPr="00710EED">
        <w:rPr>
          <w:rFonts w:ascii="Century Gothic" w:eastAsia="Times New Roman" w:hAnsi="Century Gothic"/>
          <w:sz w:val="24"/>
          <w:szCs w:val="24"/>
        </w:rPr>
        <w:t>_______________________________________________________________________</w:t>
      </w:r>
    </w:p>
    <w:p w14:paraId="2563D2F6" w14:textId="77777777" w:rsidR="00073084" w:rsidRPr="00C02BF5" w:rsidRDefault="00073084" w:rsidP="00C02BF5">
      <w:pPr>
        <w:spacing w:line="276" w:lineRule="auto"/>
        <w:rPr>
          <w:rFonts w:ascii="Century Gothic" w:eastAsia="Times New Roman" w:hAnsi="Century Gothic"/>
        </w:rPr>
      </w:pPr>
    </w:p>
    <w:p w14:paraId="01A0E09E" w14:textId="77777777" w:rsidR="00073084" w:rsidRPr="00C02BF5" w:rsidRDefault="00073084" w:rsidP="00C02BF5">
      <w:pPr>
        <w:spacing w:line="276" w:lineRule="auto"/>
        <w:rPr>
          <w:rFonts w:ascii="Century Gothic" w:eastAsia="Times New Roman" w:hAnsi="Century Gothic"/>
        </w:rPr>
      </w:pPr>
    </w:p>
    <w:p w14:paraId="13D5B82F" w14:textId="77777777" w:rsidR="00073084" w:rsidRPr="00C02BF5" w:rsidRDefault="00073084" w:rsidP="00C02BF5">
      <w:pPr>
        <w:spacing w:line="276" w:lineRule="auto"/>
        <w:rPr>
          <w:rFonts w:ascii="Century Gothic" w:eastAsia="Times New Roman" w:hAnsi="Century Gothic"/>
        </w:rPr>
      </w:pPr>
    </w:p>
    <w:p w14:paraId="0907B20E" w14:textId="77777777" w:rsidR="00073084" w:rsidRPr="00C02BF5" w:rsidRDefault="00073084" w:rsidP="00C02BF5">
      <w:pPr>
        <w:spacing w:line="276" w:lineRule="auto"/>
        <w:rPr>
          <w:rFonts w:ascii="Century Gothic" w:eastAsia="Times New Roman" w:hAnsi="Century Gothic"/>
        </w:rPr>
      </w:pPr>
    </w:p>
    <w:p w14:paraId="07466CF0" w14:textId="77777777" w:rsidR="00073084" w:rsidRPr="00C02BF5" w:rsidRDefault="00073084" w:rsidP="00C02BF5">
      <w:pPr>
        <w:spacing w:line="276" w:lineRule="auto"/>
        <w:rPr>
          <w:rFonts w:ascii="Century Gothic" w:eastAsia="Times New Roman" w:hAnsi="Century Gothic"/>
        </w:rPr>
      </w:pPr>
    </w:p>
    <w:p w14:paraId="33CDE49B" w14:textId="77777777" w:rsidR="00073084" w:rsidRPr="00C02BF5" w:rsidRDefault="00073084" w:rsidP="00C02BF5">
      <w:pPr>
        <w:spacing w:line="276" w:lineRule="auto"/>
        <w:rPr>
          <w:rFonts w:ascii="Century Gothic" w:eastAsia="Times New Roman" w:hAnsi="Century Gothic"/>
        </w:rPr>
      </w:pPr>
    </w:p>
    <w:p w14:paraId="7CC7CCFC" w14:textId="77777777" w:rsidR="00073084" w:rsidRPr="00C02BF5" w:rsidRDefault="00073084" w:rsidP="00C02BF5">
      <w:pPr>
        <w:spacing w:line="276" w:lineRule="auto"/>
        <w:rPr>
          <w:rFonts w:ascii="Century Gothic" w:eastAsia="Times New Roman" w:hAnsi="Century Gothic"/>
        </w:rPr>
      </w:pPr>
    </w:p>
    <w:p w14:paraId="180FCA5C" w14:textId="77777777" w:rsidR="00073084" w:rsidRPr="00C02BF5" w:rsidRDefault="00073084" w:rsidP="00C02BF5">
      <w:pPr>
        <w:spacing w:line="276" w:lineRule="auto"/>
        <w:rPr>
          <w:rFonts w:ascii="Century Gothic" w:eastAsia="Times New Roman" w:hAnsi="Century Gothic"/>
        </w:rPr>
      </w:pPr>
    </w:p>
    <w:p w14:paraId="30D2EF62" w14:textId="77777777" w:rsidR="00073084" w:rsidRPr="00C02BF5" w:rsidRDefault="00073084" w:rsidP="00C02BF5">
      <w:pPr>
        <w:spacing w:line="276" w:lineRule="auto"/>
        <w:rPr>
          <w:rFonts w:ascii="Century Gothic" w:eastAsia="Times New Roman" w:hAnsi="Century Gothic"/>
        </w:rPr>
      </w:pPr>
    </w:p>
    <w:p w14:paraId="273652C7" w14:textId="77777777" w:rsidR="00073084" w:rsidRPr="00C02BF5" w:rsidRDefault="00073084" w:rsidP="00C02BF5">
      <w:pPr>
        <w:spacing w:line="276" w:lineRule="auto"/>
        <w:rPr>
          <w:rFonts w:ascii="Century Gothic" w:eastAsia="Times New Roman" w:hAnsi="Century Gothic"/>
        </w:rPr>
      </w:pPr>
    </w:p>
    <w:p w14:paraId="6A125D67" w14:textId="77777777" w:rsidR="00073084" w:rsidRPr="00C02BF5" w:rsidRDefault="00073084" w:rsidP="00C02BF5">
      <w:pPr>
        <w:spacing w:line="276" w:lineRule="auto"/>
        <w:rPr>
          <w:rFonts w:ascii="Century Gothic" w:eastAsia="Times New Roman" w:hAnsi="Century Gothic"/>
        </w:rPr>
      </w:pPr>
    </w:p>
    <w:p w14:paraId="5D9632B3" w14:textId="77777777" w:rsidR="00073084" w:rsidRPr="00C02BF5" w:rsidRDefault="00073084" w:rsidP="00C02BF5">
      <w:pPr>
        <w:spacing w:line="276" w:lineRule="auto"/>
        <w:rPr>
          <w:rFonts w:ascii="Century Gothic" w:eastAsia="Times New Roman" w:hAnsi="Century Gothic"/>
        </w:rPr>
      </w:pPr>
    </w:p>
    <w:p w14:paraId="6623E7A6" w14:textId="77777777" w:rsidR="00073084" w:rsidRPr="00C02BF5" w:rsidRDefault="00073084" w:rsidP="00C02BF5">
      <w:pPr>
        <w:spacing w:line="276" w:lineRule="auto"/>
        <w:ind w:left="140"/>
        <w:rPr>
          <w:rFonts w:ascii="Century Gothic" w:eastAsia="Arial" w:hAnsi="Century Gothic"/>
          <w:color w:val="665E60"/>
          <w:sz w:val="14"/>
        </w:rPr>
      </w:pPr>
    </w:p>
    <w:sectPr w:rsidR="00073084" w:rsidRPr="00C02BF5" w:rsidSect="00C02BF5">
      <w:type w:val="continuous"/>
      <w:pgSz w:w="12240" w:h="15840"/>
      <w:pgMar w:top="1440" w:right="1080" w:bottom="1440"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9394" w14:textId="77777777" w:rsidR="006E7EF4" w:rsidRDefault="006E7EF4" w:rsidP="006E7EF4">
      <w:r>
        <w:separator/>
      </w:r>
    </w:p>
  </w:endnote>
  <w:endnote w:type="continuationSeparator" w:id="0">
    <w:p w14:paraId="14B8ABA3" w14:textId="77777777" w:rsidR="006E7EF4" w:rsidRDefault="006E7EF4" w:rsidP="006E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5865315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AF8A23A" w14:textId="04406D28" w:rsidR="006E7EF4" w:rsidRPr="006E7EF4" w:rsidRDefault="006E7EF4" w:rsidP="006E7EF4">
            <w:pPr>
              <w:pStyle w:val="Footer"/>
              <w:jc w:val="right"/>
              <w:rPr>
                <w:rFonts w:ascii="Century Gothic" w:hAnsi="Century Gothic"/>
                <w:sz w:val="16"/>
                <w:szCs w:val="16"/>
              </w:rPr>
            </w:pPr>
            <w:r w:rsidRPr="006E7EF4">
              <w:rPr>
                <w:rFonts w:ascii="Century Gothic" w:hAnsi="Century Gothic"/>
                <w:sz w:val="16"/>
                <w:szCs w:val="16"/>
              </w:rPr>
              <w:t xml:space="preserve">Page </w:t>
            </w:r>
            <w:r w:rsidRPr="006E7EF4">
              <w:rPr>
                <w:rFonts w:ascii="Century Gothic" w:hAnsi="Century Gothic"/>
                <w:b/>
                <w:bCs/>
                <w:sz w:val="16"/>
                <w:szCs w:val="16"/>
              </w:rPr>
              <w:fldChar w:fldCharType="begin"/>
            </w:r>
            <w:r w:rsidRPr="006E7EF4">
              <w:rPr>
                <w:rFonts w:ascii="Century Gothic" w:hAnsi="Century Gothic"/>
                <w:b/>
                <w:bCs/>
                <w:sz w:val="16"/>
                <w:szCs w:val="16"/>
              </w:rPr>
              <w:instrText xml:space="preserve"> PAGE </w:instrText>
            </w:r>
            <w:r w:rsidRPr="006E7EF4">
              <w:rPr>
                <w:rFonts w:ascii="Century Gothic" w:hAnsi="Century Gothic"/>
                <w:b/>
                <w:bCs/>
                <w:sz w:val="16"/>
                <w:szCs w:val="16"/>
              </w:rPr>
              <w:fldChar w:fldCharType="separate"/>
            </w:r>
            <w:r w:rsidRPr="006E7EF4">
              <w:rPr>
                <w:rFonts w:ascii="Century Gothic" w:hAnsi="Century Gothic"/>
                <w:b/>
                <w:bCs/>
                <w:noProof/>
                <w:sz w:val="16"/>
                <w:szCs w:val="16"/>
              </w:rPr>
              <w:t>2</w:t>
            </w:r>
            <w:r w:rsidRPr="006E7EF4">
              <w:rPr>
                <w:rFonts w:ascii="Century Gothic" w:hAnsi="Century Gothic"/>
                <w:b/>
                <w:bCs/>
                <w:sz w:val="16"/>
                <w:szCs w:val="16"/>
              </w:rPr>
              <w:fldChar w:fldCharType="end"/>
            </w:r>
            <w:r w:rsidRPr="006E7EF4">
              <w:rPr>
                <w:rFonts w:ascii="Century Gothic" w:hAnsi="Century Gothic"/>
                <w:sz w:val="16"/>
                <w:szCs w:val="16"/>
              </w:rPr>
              <w:t xml:space="preserve"> of </w:t>
            </w:r>
            <w:r w:rsidRPr="006E7EF4">
              <w:rPr>
                <w:rFonts w:ascii="Century Gothic" w:hAnsi="Century Gothic"/>
                <w:b/>
                <w:bCs/>
                <w:sz w:val="16"/>
                <w:szCs w:val="16"/>
              </w:rPr>
              <w:fldChar w:fldCharType="begin"/>
            </w:r>
            <w:r w:rsidRPr="006E7EF4">
              <w:rPr>
                <w:rFonts w:ascii="Century Gothic" w:hAnsi="Century Gothic"/>
                <w:b/>
                <w:bCs/>
                <w:sz w:val="16"/>
                <w:szCs w:val="16"/>
              </w:rPr>
              <w:instrText xml:space="preserve"> NUMPAGES  </w:instrText>
            </w:r>
            <w:r w:rsidRPr="006E7EF4">
              <w:rPr>
                <w:rFonts w:ascii="Century Gothic" w:hAnsi="Century Gothic"/>
                <w:b/>
                <w:bCs/>
                <w:sz w:val="16"/>
                <w:szCs w:val="16"/>
              </w:rPr>
              <w:fldChar w:fldCharType="separate"/>
            </w:r>
            <w:r w:rsidRPr="006E7EF4">
              <w:rPr>
                <w:rFonts w:ascii="Century Gothic" w:hAnsi="Century Gothic"/>
                <w:b/>
                <w:bCs/>
                <w:noProof/>
                <w:sz w:val="16"/>
                <w:szCs w:val="16"/>
              </w:rPr>
              <w:t>2</w:t>
            </w:r>
            <w:r w:rsidRPr="006E7EF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D2E0" w14:textId="77777777" w:rsidR="006E7EF4" w:rsidRDefault="006E7EF4" w:rsidP="006E7EF4">
      <w:r>
        <w:separator/>
      </w:r>
    </w:p>
  </w:footnote>
  <w:footnote w:type="continuationSeparator" w:id="0">
    <w:p w14:paraId="21288DA4" w14:textId="77777777" w:rsidR="006E7EF4" w:rsidRDefault="006E7EF4" w:rsidP="006E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027C86F2">
      <w:start w:val="1"/>
      <w:numFmt w:val="decimal"/>
      <w:lvlText w:val="%1."/>
      <w:lvlJc w:val="left"/>
    </w:lvl>
    <w:lvl w:ilvl="1" w:tplc="826E53A0">
      <w:start w:val="1"/>
      <w:numFmt w:val="bullet"/>
      <w:lvlText w:val=""/>
      <w:lvlJc w:val="left"/>
    </w:lvl>
    <w:lvl w:ilvl="2" w:tplc="9176D5C6">
      <w:start w:val="1"/>
      <w:numFmt w:val="bullet"/>
      <w:lvlText w:val=""/>
      <w:lvlJc w:val="left"/>
    </w:lvl>
    <w:lvl w:ilvl="3" w:tplc="9128337C">
      <w:start w:val="1"/>
      <w:numFmt w:val="bullet"/>
      <w:lvlText w:val=""/>
      <w:lvlJc w:val="left"/>
    </w:lvl>
    <w:lvl w:ilvl="4" w:tplc="A420F6D2">
      <w:start w:val="1"/>
      <w:numFmt w:val="bullet"/>
      <w:lvlText w:val=""/>
      <w:lvlJc w:val="left"/>
    </w:lvl>
    <w:lvl w:ilvl="5" w:tplc="A0D0D65E">
      <w:start w:val="1"/>
      <w:numFmt w:val="bullet"/>
      <w:lvlText w:val=""/>
      <w:lvlJc w:val="left"/>
    </w:lvl>
    <w:lvl w:ilvl="6" w:tplc="73A62A2A">
      <w:start w:val="1"/>
      <w:numFmt w:val="bullet"/>
      <w:lvlText w:val=""/>
      <w:lvlJc w:val="left"/>
    </w:lvl>
    <w:lvl w:ilvl="7" w:tplc="186E80B4">
      <w:start w:val="1"/>
      <w:numFmt w:val="bullet"/>
      <w:lvlText w:val=""/>
      <w:lvlJc w:val="left"/>
    </w:lvl>
    <w:lvl w:ilvl="8" w:tplc="F1E20F48">
      <w:start w:val="1"/>
      <w:numFmt w:val="bullet"/>
      <w:lvlText w:val=""/>
      <w:lvlJc w:val="left"/>
    </w:lvl>
  </w:abstractNum>
  <w:abstractNum w:abstractNumId="1" w15:restartNumberingAfterBreak="0">
    <w:nsid w:val="00000002"/>
    <w:multiLevelType w:val="hybridMultilevel"/>
    <w:tmpl w:val="74B0DC50"/>
    <w:lvl w:ilvl="0" w:tplc="80968892">
      <w:start w:val="4"/>
      <w:numFmt w:val="decimal"/>
      <w:lvlText w:val="%1."/>
      <w:lvlJc w:val="left"/>
    </w:lvl>
    <w:lvl w:ilvl="1" w:tplc="BEFA2F16">
      <w:start w:val="1"/>
      <w:numFmt w:val="bullet"/>
      <w:lvlText w:val=""/>
      <w:lvlJc w:val="left"/>
    </w:lvl>
    <w:lvl w:ilvl="2" w:tplc="CBB475F4">
      <w:start w:val="1"/>
      <w:numFmt w:val="bullet"/>
      <w:lvlText w:val=""/>
      <w:lvlJc w:val="left"/>
    </w:lvl>
    <w:lvl w:ilvl="3" w:tplc="7668EF54">
      <w:start w:val="1"/>
      <w:numFmt w:val="bullet"/>
      <w:lvlText w:val=""/>
      <w:lvlJc w:val="left"/>
    </w:lvl>
    <w:lvl w:ilvl="4" w:tplc="FA2E52B4">
      <w:start w:val="1"/>
      <w:numFmt w:val="bullet"/>
      <w:lvlText w:val=""/>
      <w:lvlJc w:val="left"/>
    </w:lvl>
    <w:lvl w:ilvl="5" w:tplc="396C403C">
      <w:start w:val="1"/>
      <w:numFmt w:val="bullet"/>
      <w:lvlText w:val=""/>
      <w:lvlJc w:val="left"/>
    </w:lvl>
    <w:lvl w:ilvl="6" w:tplc="CF3A9738">
      <w:start w:val="1"/>
      <w:numFmt w:val="bullet"/>
      <w:lvlText w:val=""/>
      <w:lvlJc w:val="left"/>
    </w:lvl>
    <w:lvl w:ilvl="7" w:tplc="BB9AA2CC">
      <w:start w:val="1"/>
      <w:numFmt w:val="bullet"/>
      <w:lvlText w:val=""/>
      <w:lvlJc w:val="left"/>
    </w:lvl>
    <w:lvl w:ilvl="8" w:tplc="18D02CA2">
      <w:start w:val="1"/>
      <w:numFmt w:val="bullet"/>
      <w:lvlText w:val=""/>
      <w:lvlJc w:val="left"/>
    </w:lvl>
  </w:abstractNum>
  <w:abstractNum w:abstractNumId="2" w15:restartNumberingAfterBreak="0">
    <w:nsid w:val="00000003"/>
    <w:multiLevelType w:val="hybridMultilevel"/>
    <w:tmpl w:val="19495CFE"/>
    <w:lvl w:ilvl="0" w:tplc="5712D0C4">
      <w:start w:val="1"/>
      <w:numFmt w:val="decimal"/>
      <w:lvlText w:val="%1."/>
      <w:lvlJc w:val="left"/>
    </w:lvl>
    <w:lvl w:ilvl="1" w:tplc="8BAE0E0E">
      <w:start w:val="1"/>
      <w:numFmt w:val="bullet"/>
      <w:lvlText w:val=""/>
      <w:lvlJc w:val="left"/>
    </w:lvl>
    <w:lvl w:ilvl="2" w:tplc="80223B80">
      <w:start w:val="1"/>
      <w:numFmt w:val="bullet"/>
      <w:lvlText w:val=""/>
      <w:lvlJc w:val="left"/>
    </w:lvl>
    <w:lvl w:ilvl="3" w:tplc="0974E3AA">
      <w:start w:val="1"/>
      <w:numFmt w:val="bullet"/>
      <w:lvlText w:val=""/>
      <w:lvlJc w:val="left"/>
    </w:lvl>
    <w:lvl w:ilvl="4" w:tplc="94C26C46">
      <w:start w:val="1"/>
      <w:numFmt w:val="bullet"/>
      <w:lvlText w:val=""/>
      <w:lvlJc w:val="left"/>
    </w:lvl>
    <w:lvl w:ilvl="5" w:tplc="335E1602">
      <w:start w:val="1"/>
      <w:numFmt w:val="bullet"/>
      <w:lvlText w:val=""/>
      <w:lvlJc w:val="left"/>
    </w:lvl>
    <w:lvl w:ilvl="6" w:tplc="A0F20DE2">
      <w:start w:val="1"/>
      <w:numFmt w:val="bullet"/>
      <w:lvlText w:val=""/>
      <w:lvlJc w:val="left"/>
    </w:lvl>
    <w:lvl w:ilvl="7" w:tplc="E5548A46">
      <w:start w:val="1"/>
      <w:numFmt w:val="bullet"/>
      <w:lvlText w:val=""/>
      <w:lvlJc w:val="left"/>
    </w:lvl>
    <w:lvl w:ilvl="8" w:tplc="319A3B46">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5"/>
    <w:rsid w:val="00073084"/>
    <w:rsid w:val="006E7EF4"/>
    <w:rsid w:val="00710EED"/>
    <w:rsid w:val="00C02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0A48C"/>
  <w15:chartTrackingRefBased/>
  <w15:docId w15:val="{B593929A-9232-4DD9-96C3-ABEE2034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F4"/>
    <w:pPr>
      <w:tabs>
        <w:tab w:val="center" w:pos="4680"/>
        <w:tab w:val="right" w:pos="9360"/>
      </w:tabs>
    </w:pPr>
  </w:style>
  <w:style w:type="character" w:customStyle="1" w:styleId="HeaderChar">
    <w:name w:val="Header Char"/>
    <w:basedOn w:val="DefaultParagraphFont"/>
    <w:link w:val="Header"/>
    <w:uiPriority w:val="99"/>
    <w:rsid w:val="006E7EF4"/>
  </w:style>
  <w:style w:type="paragraph" w:styleId="Footer">
    <w:name w:val="footer"/>
    <w:basedOn w:val="Normal"/>
    <w:link w:val="FooterChar"/>
    <w:uiPriority w:val="99"/>
    <w:unhideWhenUsed/>
    <w:rsid w:val="006E7EF4"/>
    <w:pPr>
      <w:tabs>
        <w:tab w:val="center" w:pos="4680"/>
        <w:tab w:val="right" w:pos="9360"/>
      </w:tabs>
    </w:pPr>
  </w:style>
  <w:style w:type="character" w:customStyle="1" w:styleId="FooterChar">
    <w:name w:val="Footer Char"/>
    <w:basedOn w:val="DefaultParagraphFont"/>
    <w:link w:val="Footer"/>
    <w:uiPriority w:val="99"/>
    <w:rsid w:val="006E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1186</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2022-08-07T03:01:00Z</dcterms:created>
  <dcterms:modified xsi:type="dcterms:W3CDTF">2022-08-23T19:12:00Z</dcterms:modified>
</cp:coreProperties>
</file>