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3854C2" w14:textId="77777777" w:rsidR="00E85EDA" w:rsidRPr="00E85EDA" w:rsidRDefault="00E85EDA" w:rsidP="00E85EDA">
      <w:pPr>
        <w:spacing w:line="0" w:lineRule="atLeast"/>
        <w:jc w:val="center"/>
        <w:rPr>
          <w:rFonts w:ascii="Century Gothic" w:eastAsia="Lucida Sans" w:hAnsi="Century Gothic"/>
          <w:b/>
          <w:bCs/>
          <w:sz w:val="40"/>
          <w:szCs w:val="40"/>
        </w:rPr>
      </w:pPr>
      <w:r w:rsidRPr="00E85EDA">
        <w:rPr>
          <w:rFonts w:ascii="Century Gothic" w:eastAsia="Lucida Sans" w:hAnsi="Century Gothic"/>
          <w:b/>
          <w:bCs/>
          <w:sz w:val="40"/>
          <w:szCs w:val="40"/>
        </w:rPr>
        <w:t>ENGAGEMENT LETTER</w:t>
      </w:r>
    </w:p>
    <w:p w14:paraId="101866BA" w14:textId="77777777" w:rsidR="00E85EDA" w:rsidRDefault="00E85EDA">
      <w:pPr>
        <w:spacing w:line="0" w:lineRule="atLeast"/>
        <w:rPr>
          <w:rFonts w:ascii="Century Gothic" w:eastAsia="Lucida Sans" w:hAnsi="Century Gothic"/>
          <w:sz w:val="22"/>
        </w:rPr>
      </w:pPr>
    </w:p>
    <w:p w14:paraId="006EC81F" w14:textId="77777777" w:rsidR="0078102B" w:rsidRDefault="0078102B">
      <w:pPr>
        <w:spacing w:line="0" w:lineRule="atLeast"/>
        <w:rPr>
          <w:rFonts w:ascii="Century Gothic" w:eastAsia="Lucida Sans" w:hAnsi="Century Gothic"/>
          <w:sz w:val="22"/>
        </w:rPr>
      </w:pPr>
    </w:p>
    <w:p w14:paraId="5A013D2A" w14:textId="77777777" w:rsidR="0078102B" w:rsidRDefault="0078102B">
      <w:pPr>
        <w:spacing w:line="0" w:lineRule="atLeast"/>
        <w:rPr>
          <w:rFonts w:ascii="Century Gothic" w:eastAsia="Lucida Sans" w:hAnsi="Century Gothic"/>
          <w:sz w:val="22"/>
        </w:rPr>
      </w:pPr>
    </w:p>
    <w:p w14:paraId="1329B5A8" w14:textId="34FFF25A"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March 30, 20</w:t>
      </w:r>
      <w:r w:rsidR="00E85EDA">
        <w:rPr>
          <w:rFonts w:ascii="Century Gothic" w:eastAsia="Lucida Sans" w:hAnsi="Century Gothic"/>
          <w:sz w:val="22"/>
        </w:rPr>
        <w:t>XX</w:t>
      </w:r>
    </w:p>
    <w:p w14:paraId="422A9777" w14:textId="77777777" w:rsidR="000A31B0" w:rsidRPr="00E85EDA" w:rsidRDefault="000A31B0">
      <w:pPr>
        <w:spacing w:line="259" w:lineRule="exact"/>
        <w:rPr>
          <w:rFonts w:ascii="Century Gothic" w:eastAsia="Times New Roman" w:hAnsi="Century Gothic"/>
        </w:rPr>
      </w:pPr>
    </w:p>
    <w:p w14:paraId="77019B3A" w14:textId="77777777"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Mr. Sean Strawbridge</w:t>
      </w:r>
    </w:p>
    <w:p w14:paraId="13ACE899" w14:textId="77777777"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Chief Executive Officer</w:t>
      </w:r>
    </w:p>
    <w:p w14:paraId="6B63F80B" w14:textId="77777777"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Port Corpus Christi Authority</w:t>
      </w:r>
    </w:p>
    <w:p w14:paraId="752F9C41" w14:textId="77777777"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222 Power Street</w:t>
      </w:r>
    </w:p>
    <w:p w14:paraId="3E8A56EF" w14:textId="77777777"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Corpus Christi, TX 78401</w:t>
      </w:r>
    </w:p>
    <w:p w14:paraId="5C35E943" w14:textId="77777777" w:rsidR="000A31B0" w:rsidRPr="00E85EDA" w:rsidRDefault="000A31B0">
      <w:pPr>
        <w:spacing w:line="252" w:lineRule="exact"/>
        <w:rPr>
          <w:rFonts w:ascii="Century Gothic" w:eastAsia="Times New Roman" w:hAnsi="Century Gothic"/>
        </w:rPr>
      </w:pPr>
    </w:p>
    <w:p w14:paraId="1B429266" w14:textId="77777777"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Dear Sean:</w:t>
      </w:r>
    </w:p>
    <w:p w14:paraId="63F70B79" w14:textId="77777777" w:rsidR="000A31B0" w:rsidRPr="00E85EDA" w:rsidRDefault="000A31B0">
      <w:pPr>
        <w:spacing w:line="349" w:lineRule="exact"/>
        <w:rPr>
          <w:rFonts w:ascii="Century Gothic" w:eastAsia="Times New Roman" w:hAnsi="Century Gothic"/>
        </w:rPr>
      </w:pPr>
    </w:p>
    <w:p w14:paraId="1780188C" w14:textId="77777777" w:rsidR="000A31B0" w:rsidRPr="00E85EDA" w:rsidRDefault="000A31B0">
      <w:pPr>
        <w:spacing w:line="212" w:lineRule="auto"/>
        <w:jc w:val="both"/>
        <w:rPr>
          <w:rFonts w:ascii="Century Gothic" w:eastAsia="Lucida Sans" w:hAnsi="Century Gothic"/>
          <w:sz w:val="22"/>
        </w:rPr>
      </w:pPr>
      <w:proofErr w:type="gramStart"/>
      <w:r w:rsidRPr="00E85EDA">
        <w:rPr>
          <w:rFonts w:ascii="Century Gothic" w:eastAsia="Lucida Sans" w:hAnsi="Century Gothic"/>
          <w:sz w:val="22"/>
        </w:rPr>
        <w:t>Subsequent to</w:t>
      </w:r>
      <w:proofErr w:type="gramEnd"/>
      <w:r w:rsidRPr="00E85EDA">
        <w:rPr>
          <w:rFonts w:ascii="Century Gothic" w:eastAsia="Lucida Sans" w:hAnsi="Century Gothic"/>
          <w:sz w:val="22"/>
        </w:rPr>
        <w:t xml:space="preserve"> our recent discussions and in accord with your request we are pleased to provide our engagement letter to conduct the search for your next Chief Operating Officer for Port Corpus Christi.</w:t>
      </w:r>
    </w:p>
    <w:p w14:paraId="283A6271" w14:textId="77777777" w:rsidR="000A31B0" w:rsidRPr="00E85EDA" w:rsidRDefault="000A31B0">
      <w:pPr>
        <w:spacing w:line="351" w:lineRule="exact"/>
        <w:rPr>
          <w:rFonts w:ascii="Century Gothic" w:eastAsia="Times New Roman" w:hAnsi="Century Gothic"/>
        </w:rPr>
      </w:pPr>
    </w:p>
    <w:p w14:paraId="62DF49A3" w14:textId="77777777" w:rsidR="000A31B0" w:rsidRPr="00E85EDA" w:rsidRDefault="000A31B0">
      <w:pPr>
        <w:spacing w:line="219" w:lineRule="auto"/>
        <w:jc w:val="both"/>
        <w:rPr>
          <w:rFonts w:ascii="Century Gothic" w:eastAsia="Lucida Sans" w:hAnsi="Century Gothic"/>
          <w:sz w:val="22"/>
        </w:rPr>
      </w:pPr>
      <w:r w:rsidRPr="00E85EDA">
        <w:rPr>
          <w:rFonts w:ascii="Century Gothic" w:eastAsia="Lucida Sans" w:hAnsi="Century Gothic"/>
          <w:sz w:val="22"/>
        </w:rPr>
        <w:t xml:space="preserve">Based on our discussion we understand that revenues are now at about $100 million and that you have a CIP of $140 million. It is your desire to find a COO who could/would have the potential to succeed to the CEO role in the future or to take over in </w:t>
      </w:r>
      <w:proofErr w:type="gramStart"/>
      <w:r w:rsidRPr="00E85EDA">
        <w:rPr>
          <w:rFonts w:ascii="Century Gothic" w:eastAsia="Lucida Sans" w:hAnsi="Century Gothic"/>
          <w:sz w:val="22"/>
        </w:rPr>
        <w:t>an emergency situation</w:t>
      </w:r>
      <w:proofErr w:type="gramEnd"/>
      <w:r w:rsidRPr="00E85EDA">
        <w:rPr>
          <w:rFonts w:ascii="Century Gothic" w:eastAsia="Lucida Sans" w:hAnsi="Century Gothic"/>
          <w:sz w:val="22"/>
        </w:rPr>
        <w:t>.</w:t>
      </w:r>
    </w:p>
    <w:p w14:paraId="2B18E216" w14:textId="77777777" w:rsidR="000A31B0" w:rsidRPr="00E85EDA" w:rsidRDefault="000A31B0">
      <w:pPr>
        <w:spacing w:line="350" w:lineRule="exact"/>
        <w:rPr>
          <w:rFonts w:ascii="Century Gothic" w:eastAsia="Times New Roman" w:hAnsi="Century Gothic"/>
        </w:rPr>
      </w:pPr>
    </w:p>
    <w:p w14:paraId="74A620BC" w14:textId="77777777" w:rsidR="000A31B0" w:rsidRPr="00E85EDA" w:rsidRDefault="000A31B0">
      <w:pPr>
        <w:spacing w:line="218" w:lineRule="auto"/>
        <w:jc w:val="both"/>
        <w:rPr>
          <w:rFonts w:ascii="Century Gothic" w:eastAsia="Lucida Sans" w:hAnsi="Century Gothic"/>
          <w:sz w:val="22"/>
        </w:rPr>
      </w:pPr>
      <w:r w:rsidRPr="00E85EDA">
        <w:rPr>
          <w:rFonts w:ascii="Century Gothic" w:eastAsia="Lucida Sans" w:hAnsi="Century Gothic"/>
          <w:sz w:val="22"/>
        </w:rPr>
        <w:t>Thanks for sharing the “seaport” acronym with me…that is a well thought out branding tool. The position description you provided me was well done and I did have a few questions and comments that I covered in an email over the weekend and await your further counsel on those questions and points.</w:t>
      </w:r>
    </w:p>
    <w:p w14:paraId="2442B5B9" w14:textId="77777777" w:rsidR="000A31B0" w:rsidRPr="00E85EDA" w:rsidRDefault="000A31B0">
      <w:pPr>
        <w:spacing w:line="254" w:lineRule="exact"/>
        <w:rPr>
          <w:rFonts w:ascii="Century Gothic" w:eastAsia="Times New Roman" w:hAnsi="Century Gothic"/>
        </w:rPr>
      </w:pPr>
    </w:p>
    <w:p w14:paraId="2E424390" w14:textId="77777777" w:rsidR="000A31B0" w:rsidRPr="00E85EDA" w:rsidRDefault="000A31B0">
      <w:pPr>
        <w:numPr>
          <w:ilvl w:val="0"/>
          <w:numId w:val="1"/>
        </w:numPr>
        <w:tabs>
          <w:tab w:val="left" w:pos="720"/>
        </w:tabs>
        <w:spacing w:line="0" w:lineRule="atLeast"/>
        <w:ind w:left="720" w:hanging="720"/>
        <w:rPr>
          <w:rFonts w:ascii="Century Gothic" w:eastAsia="Lucida Sans" w:hAnsi="Century Gothic"/>
          <w:b/>
          <w:sz w:val="24"/>
        </w:rPr>
      </w:pPr>
      <w:r w:rsidRPr="00E85EDA">
        <w:rPr>
          <w:rFonts w:ascii="Century Gothic" w:eastAsia="Lucida Sans" w:hAnsi="Century Gothic"/>
          <w:b/>
          <w:sz w:val="24"/>
        </w:rPr>
        <w:t>FIRM OVERVIEW</w:t>
      </w:r>
    </w:p>
    <w:p w14:paraId="3F26BE7C" w14:textId="77777777" w:rsidR="000A31B0" w:rsidRPr="00E85EDA" w:rsidRDefault="000A31B0">
      <w:pPr>
        <w:spacing w:line="359" w:lineRule="exact"/>
        <w:rPr>
          <w:rFonts w:ascii="Century Gothic" w:eastAsia="Times New Roman" w:hAnsi="Century Gothic"/>
        </w:rPr>
      </w:pPr>
    </w:p>
    <w:p w14:paraId="4C666659" w14:textId="77777777" w:rsidR="000A31B0" w:rsidRPr="00E85EDA" w:rsidRDefault="000A31B0">
      <w:pPr>
        <w:spacing w:line="236" w:lineRule="auto"/>
        <w:jc w:val="both"/>
        <w:rPr>
          <w:rFonts w:ascii="Century Gothic" w:eastAsia="Lucida Sans" w:hAnsi="Century Gothic"/>
          <w:sz w:val="21"/>
        </w:rPr>
      </w:pPr>
      <w:r w:rsidRPr="00E85EDA">
        <w:rPr>
          <w:rFonts w:ascii="Century Gothic" w:eastAsia="Lucida Sans" w:hAnsi="Century Gothic"/>
          <w:sz w:val="21"/>
        </w:rPr>
        <w:t xml:space="preserve">Founded over 50 years ago, Odgers </w:t>
      </w:r>
      <w:proofErr w:type="spellStart"/>
      <w:r w:rsidRPr="00E85EDA">
        <w:rPr>
          <w:rFonts w:ascii="Century Gothic" w:eastAsia="Lucida Sans" w:hAnsi="Century Gothic"/>
          <w:sz w:val="21"/>
        </w:rPr>
        <w:t>Berndtson</w:t>
      </w:r>
      <w:proofErr w:type="spellEnd"/>
      <w:r w:rsidRPr="00E85EDA">
        <w:rPr>
          <w:rFonts w:ascii="Century Gothic" w:eastAsia="Lucida Sans" w:hAnsi="Century Gothic"/>
          <w:sz w:val="21"/>
        </w:rPr>
        <w:t xml:space="preserve"> today is one of the largest privately owned Human Capital and Leadership Development firms in the world, with 59 strategically located offices in 29 countries. Seventy-three percent of organizations who partner with us are repeat clients. We provide a full range of human capital solutions including executive search, organization development restructuring, and succession planning. We have extensive expertise in pre- and post-M&amp;A integration and cultural assimilation.</w:t>
      </w:r>
    </w:p>
    <w:p w14:paraId="0F71533B" w14:textId="77777777" w:rsidR="000A31B0" w:rsidRPr="00E85EDA" w:rsidRDefault="000A31B0">
      <w:pPr>
        <w:spacing w:line="355" w:lineRule="exact"/>
        <w:rPr>
          <w:rFonts w:ascii="Century Gothic" w:eastAsia="Times New Roman" w:hAnsi="Century Gothic"/>
        </w:rPr>
      </w:pPr>
    </w:p>
    <w:p w14:paraId="0992AB52" w14:textId="77777777" w:rsidR="000A31B0" w:rsidRPr="00E85EDA" w:rsidRDefault="000A31B0">
      <w:pPr>
        <w:spacing w:line="219" w:lineRule="auto"/>
        <w:jc w:val="both"/>
        <w:rPr>
          <w:rFonts w:ascii="Century Gothic" w:eastAsia="Lucida Sans" w:hAnsi="Century Gothic"/>
          <w:sz w:val="22"/>
        </w:rPr>
      </w:pPr>
      <w:r w:rsidRPr="00E85EDA">
        <w:rPr>
          <w:rFonts w:ascii="Century Gothic" w:eastAsia="Lucida Sans" w:hAnsi="Century Gothic"/>
          <w:sz w:val="22"/>
        </w:rPr>
        <w:t xml:space="preserve">Because we are privately owned, we focus our resources on clients, as opposed to external stakeholders. 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is a member of the Association of Executive Search Consultants (AESC), the internationally recognized search industry professional association that has created the best practices and ethical approach to search.</w:t>
      </w:r>
    </w:p>
    <w:p w14:paraId="5AC314B2" w14:textId="77777777" w:rsidR="000A31B0" w:rsidRPr="00E85EDA" w:rsidRDefault="000A31B0">
      <w:pPr>
        <w:spacing w:line="261" w:lineRule="exact"/>
        <w:rPr>
          <w:rFonts w:ascii="Century Gothic" w:eastAsia="Times New Roman" w:hAnsi="Century Gothic"/>
        </w:rPr>
      </w:pPr>
    </w:p>
    <w:p w14:paraId="08FDDB71" w14:textId="77777777" w:rsidR="000A31B0" w:rsidRPr="00E85EDA" w:rsidRDefault="000A31B0">
      <w:pPr>
        <w:numPr>
          <w:ilvl w:val="0"/>
          <w:numId w:val="2"/>
        </w:numPr>
        <w:tabs>
          <w:tab w:val="left" w:pos="720"/>
        </w:tabs>
        <w:spacing w:line="0" w:lineRule="atLeast"/>
        <w:ind w:left="720" w:hanging="720"/>
        <w:rPr>
          <w:rFonts w:ascii="Century Gothic" w:eastAsia="Lucida Sans" w:hAnsi="Century Gothic"/>
          <w:b/>
          <w:sz w:val="24"/>
        </w:rPr>
      </w:pPr>
      <w:r w:rsidRPr="00E85EDA">
        <w:rPr>
          <w:rFonts w:ascii="Century Gothic" w:eastAsia="Lucida Sans" w:hAnsi="Century Gothic"/>
          <w:b/>
          <w:sz w:val="24"/>
        </w:rPr>
        <w:t>SEARCH PROCESS</w:t>
      </w:r>
    </w:p>
    <w:p w14:paraId="0DD82B50" w14:textId="77777777" w:rsidR="000A31B0" w:rsidRPr="00E85EDA" w:rsidRDefault="000A31B0">
      <w:pPr>
        <w:spacing w:line="356" w:lineRule="exact"/>
        <w:rPr>
          <w:rFonts w:ascii="Century Gothic" w:eastAsia="Times New Roman" w:hAnsi="Century Gothic"/>
        </w:rPr>
      </w:pPr>
    </w:p>
    <w:p w14:paraId="39024473" w14:textId="77777777" w:rsidR="000A31B0" w:rsidRPr="00E85EDA" w:rsidRDefault="000A31B0">
      <w:pPr>
        <w:spacing w:line="226" w:lineRule="auto"/>
        <w:jc w:val="both"/>
        <w:rPr>
          <w:rFonts w:ascii="Century Gothic" w:eastAsia="Lucida Sans" w:hAnsi="Century Gothic"/>
          <w:sz w:val="22"/>
        </w:rPr>
      </w:pPr>
      <w:r w:rsidRPr="00E85EDA">
        <w:rPr>
          <w:rFonts w:ascii="Century Gothic" w:eastAsia="Lucida Sans" w:hAnsi="Century Gothic"/>
          <w:sz w:val="22"/>
        </w:rPr>
        <w:t xml:space="preserve">In conducting any search, 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utilizes the following search process. However, we are always prepared to modify our proposed methodology and search strategy to suit any special needs of our clients. The methodology presented below is </w:t>
      </w:r>
      <w:r w:rsidRPr="00E85EDA">
        <w:rPr>
          <w:rFonts w:ascii="Century Gothic" w:eastAsia="Lucida Sans" w:hAnsi="Century Gothic"/>
          <w:sz w:val="22"/>
        </w:rPr>
        <w:lastRenderedPageBreak/>
        <w:t>based on presenting candidates as they are developed. If PCCA prefers that we present an agreed upon number of candidates as a “slate” as some clients request, we can certainly alter the methodology.</w:t>
      </w:r>
    </w:p>
    <w:p w14:paraId="2708C5F2" w14:textId="77777777" w:rsidR="00E85EDA" w:rsidRDefault="00E85EDA">
      <w:pPr>
        <w:spacing w:line="223" w:lineRule="auto"/>
        <w:jc w:val="both"/>
        <w:rPr>
          <w:rFonts w:ascii="Century Gothic" w:eastAsia="Lucida Sans" w:hAnsi="Century Gothic"/>
          <w:sz w:val="22"/>
        </w:rPr>
      </w:pPr>
      <w:bookmarkStart w:id="0" w:name="page3"/>
      <w:bookmarkEnd w:id="0"/>
    </w:p>
    <w:p w14:paraId="169EAA69" w14:textId="77777777" w:rsidR="000A31B0" w:rsidRPr="00E85EDA" w:rsidRDefault="000A31B0">
      <w:pPr>
        <w:spacing w:line="223" w:lineRule="auto"/>
        <w:jc w:val="both"/>
        <w:rPr>
          <w:rFonts w:ascii="Century Gothic" w:eastAsia="Lucida Sans" w:hAnsi="Century Gothic"/>
          <w:sz w:val="22"/>
        </w:rPr>
      </w:pPr>
      <w:r w:rsidRPr="00E85EDA">
        <w:rPr>
          <w:rFonts w:ascii="Century Gothic" w:eastAsia="Lucida Sans" w:hAnsi="Century Gothic"/>
          <w:sz w:val="22"/>
        </w:rPr>
        <w:t>Our first task is to meet or have a discussion with any additional designated PCCA stakeholders and management team members to develop a recruitment and selection strategy and to establish a mutually agreeable timeline for the search. We will also want to discuss the requirements of the position including reporting relationships, responsibilities, objectives, characteristics, and compensation and benefits.</w:t>
      </w:r>
    </w:p>
    <w:p w14:paraId="5FFC3B49" w14:textId="77777777" w:rsidR="000A31B0" w:rsidRPr="00E85EDA" w:rsidRDefault="000A31B0">
      <w:pPr>
        <w:spacing w:line="352" w:lineRule="exact"/>
        <w:rPr>
          <w:rFonts w:ascii="Century Gothic" w:eastAsia="Times New Roman" w:hAnsi="Century Gothic"/>
        </w:rPr>
      </w:pPr>
    </w:p>
    <w:p w14:paraId="6A7B41C0" w14:textId="77777777" w:rsidR="000A31B0" w:rsidRPr="00E85EDA" w:rsidRDefault="000A31B0">
      <w:pPr>
        <w:spacing w:line="226" w:lineRule="auto"/>
        <w:jc w:val="both"/>
        <w:rPr>
          <w:rFonts w:ascii="Century Gothic" w:eastAsia="Lucida Sans" w:hAnsi="Century Gothic"/>
          <w:sz w:val="22"/>
        </w:rPr>
      </w:pPr>
      <w:r w:rsidRPr="00E85EDA">
        <w:rPr>
          <w:rFonts w:ascii="Century Gothic" w:eastAsia="Lucida Sans" w:hAnsi="Century Gothic"/>
          <w:sz w:val="22"/>
        </w:rPr>
        <w:t xml:space="preserve">It will be critical to also discuss the strategic plan and vision and to define the top critical tasks to be addressed by the new COO in the first 12 to 24 months so we can discuss and evaluate each candidate’s ability based on their track record and core competencies to execute the strategy going forward. We then </w:t>
      </w:r>
      <w:proofErr w:type="gramStart"/>
      <w:r w:rsidRPr="00E85EDA">
        <w:rPr>
          <w:rFonts w:ascii="Century Gothic" w:eastAsia="Lucida Sans" w:hAnsi="Century Gothic"/>
          <w:sz w:val="22"/>
        </w:rPr>
        <w:t>are able to</w:t>
      </w:r>
      <w:proofErr w:type="gramEnd"/>
      <w:r w:rsidRPr="00E85EDA">
        <w:rPr>
          <w:rFonts w:ascii="Century Gothic" w:eastAsia="Lucida Sans" w:hAnsi="Century Gothic"/>
          <w:sz w:val="22"/>
        </w:rPr>
        <w:t xml:space="preserve"> advise PCCA of relative strengths and shortcomings and when a particular task or goal may be a stretch for a candidate.</w:t>
      </w:r>
    </w:p>
    <w:p w14:paraId="1596419D" w14:textId="77777777" w:rsidR="000A31B0" w:rsidRPr="00E85EDA" w:rsidRDefault="000A31B0">
      <w:pPr>
        <w:spacing w:line="348" w:lineRule="exact"/>
        <w:rPr>
          <w:rFonts w:ascii="Century Gothic" w:eastAsia="Times New Roman" w:hAnsi="Century Gothic"/>
        </w:rPr>
      </w:pPr>
    </w:p>
    <w:p w14:paraId="405FD5DD" w14:textId="77777777" w:rsidR="000A31B0" w:rsidRPr="00E85EDA" w:rsidRDefault="000A31B0">
      <w:pPr>
        <w:spacing w:line="223" w:lineRule="auto"/>
        <w:jc w:val="both"/>
        <w:rPr>
          <w:rFonts w:ascii="Century Gothic" w:eastAsia="Lucida Sans" w:hAnsi="Century Gothic"/>
          <w:sz w:val="22"/>
        </w:rPr>
      </w:pPr>
      <w:r w:rsidRPr="00E85EDA">
        <w:rPr>
          <w:rFonts w:ascii="Century Gothic" w:eastAsia="Lucida Sans" w:hAnsi="Century Gothic"/>
          <w:sz w:val="22"/>
        </w:rPr>
        <w:t>The follow-on task after the initial strategy meeting is to develop a comprehensive recruitment profile, which includes information about PCCA, its structure, and the necessary and desirable candidate qualifications. We will collaborate with PCCA to refine the position description and mutually establish the four to five key criteria for success in the position.</w:t>
      </w:r>
    </w:p>
    <w:p w14:paraId="379C511C" w14:textId="77777777" w:rsidR="000A31B0" w:rsidRPr="00E85EDA" w:rsidRDefault="000A31B0">
      <w:pPr>
        <w:spacing w:line="352" w:lineRule="exact"/>
        <w:rPr>
          <w:rFonts w:ascii="Century Gothic" w:eastAsia="Times New Roman" w:hAnsi="Century Gothic"/>
        </w:rPr>
      </w:pPr>
    </w:p>
    <w:p w14:paraId="02E06024" w14:textId="77777777" w:rsidR="000A31B0" w:rsidRPr="00E85EDA" w:rsidRDefault="000A31B0">
      <w:pPr>
        <w:spacing w:line="223" w:lineRule="auto"/>
        <w:jc w:val="both"/>
        <w:rPr>
          <w:rFonts w:ascii="Century Gothic" w:eastAsia="Lucida Sans" w:hAnsi="Century Gothic"/>
          <w:sz w:val="22"/>
        </w:rPr>
      </w:pPr>
      <w:r w:rsidRPr="00E85EDA">
        <w:rPr>
          <w:rFonts w:ascii="Century Gothic" w:eastAsia="Lucida Sans" w:hAnsi="Century Gothic"/>
          <w:sz w:val="22"/>
        </w:rPr>
        <w:t xml:space="preserve">If </w:t>
      </w:r>
      <w:proofErr w:type="gramStart"/>
      <w:r w:rsidRPr="00E85EDA">
        <w:rPr>
          <w:rFonts w:ascii="Century Gothic" w:eastAsia="Lucida Sans" w:hAnsi="Century Gothic"/>
          <w:sz w:val="22"/>
        </w:rPr>
        <w:t>during the course of</w:t>
      </w:r>
      <w:proofErr w:type="gramEnd"/>
      <w:r w:rsidRPr="00E85EDA">
        <w:rPr>
          <w:rFonts w:ascii="Century Gothic" w:eastAsia="Lucida Sans" w:hAnsi="Century Gothic"/>
          <w:sz w:val="22"/>
        </w:rPr>
        <w:t xml:space="preserve"> the search we identify any critical or problem areas, we will immediately seek instructions from you. We will keep you fully informed of the process through our bi-weekly status reports, as well as communicate by telephone and email on a regular basis. Finally, we will advise you of any circumstance that would cause a delay in concluding the engagement.</w:t>
      </w:r>
    </w:p>
    <w:p w14:paraId="74D4E4B2" w14:textId="77777777" w:rsidR="000A31B0" w:rsidRPr="00E85EDA" w:rsidRDefault="000A31B0">
      <w:pPr>
        <w:spacing w:line="351" w:lineRule="exact"/>
        <w:rPr>
          <w:rFonts w:ascii="Century Gothic" w:eastAsia="Times New Roman" w:hAnsi="Century Gothic"/>
        </w:rPr>
      </w:pPr>
    </w:p>
    <w:p w14:paraId="26567389" w14:textId="77777777" w:rsidR="000A31B0" w:rsidRPr="00E85EDA" w:rsidRDefault="000A31B0">
      <w:pPr>
        <w:spacing w:line="243" w:lineRule="auto"/>
        <w:jc w:val="both"/>
        <w:rPr>
          <w:rFonts w:ascii="Century Gothic" w:eastAsia="Lucida Sans" w:hAnsi="Century Gothic"/>
          <w:sz w:val="21"/>
        </w:rPr>
      </w:pPr>
      <w:r w:rsidRPr="00E85EDA">
        <w:rPr>
          <w:rFonts w:ascii="Century Gothic" w:eastAsia="Lucida Sans" w:hAnsi="Century Gothic"/>
          <w:sz w:val="21"/>
        </w:rPr>
        <w:t xml:space="preserve">Once the position description is </w:t>
      </w:r>
      <w:proofErr w:type="gramStart"/>
      <w:r w:rsidRPr="00E85EDA">
        <w:rPr>
          <w:rFonts w:ascii="Century Gothic" w:eastAsia="Lucida Sans" w:hAnsi="Century Gothic"/>
          <w:sz w:val="21"/>
        </w:rPr>
        <w:t>finalized</w:t>
      </w:r>
      <w:proofErr w:type="gramEnd"/>
      <w:r w:rsidRPr="00E85EDA">
        <w:rPr>
          <w:rFonts w:ascii="Century Gothic" w:eastAsia="Lucida Sans" w:hAnsi="Century Gothic"/>
          <w:sz w:val="21"/>
        </w:rPr>
        <w:t xml:space="preserve"> we will commence the research and candidate screening. Odgers </w:t>
      </w:r>
      <w:proofErr w:type="spellStart"/>
      <w:r w:rsidRPr="00E85EDA">
        <w:rPr>
          <w:rFonts w:ascii="Century Gothic" w:eastAsia="Lucida Sans" w:hAnsi="Century Gothic"/>
          <w:sz w:val="21"/>
        </w:rPr>
        <w:t>Berndtson</w:t>
      </w:r>
      <w:proofErr w:type="spellEnd"/>
      <w:r w:rsidRPr="00E85EDA">
        <w:rPr>
          <w:rFonts w:ascii="Century Gothic" w:eastAsia="Lucida Sans" w:hAnsi="Century Gothic"/>
          <w:sz w:val="21"/>
        </w:rPr>
        <w:t xml:space="preserve"> utilizes a variety of methods in identifying and developing candidates for a role, including an aggressive outreach relative to diversity. Our preferred method is to: 1) reach out to knowledgeable and well-placed industry sources to obtain names of individuals who could be qualified for the role and 2) through research, identify individuals who are not currently seeking employment and who would probably have the requisite skills and experience. It will be important to understand that those who are attracted to the process are not “applicants” in the traditional sense. Identifying the </w:t>
      </w:r>
      <w:proofErr w:type="gramStart"/>
      <w:r w:rsidRPr="00E85EDA">
        <w:rPr>
          <w:rFonts w:ascii="Century Gothic" w:eastAsia="Lucida Sans" w:hAnsi="Century Gothic"/>
          <w:sz w:val="21"/>
        </w:rPr>
        <w:t>talent</w:t>
      </w:r>
      <w:proofErr w:type="gramEnd"/>
      <w:r w:rsidRPr="00E85EDA">
        <w:rPr>
          <w:rFonts w:ascii="Century Gothic" w:eastAsia="Lucida Sans" w:hAnsi="Century Gothic"/>
          <w:sz w:val="21"/>
        </w:rPr>
        <w:t xml:space="preserve"> you want is one thing, enticing them to engage in a recruitment process and handling them with care, helping to navigate a move, and demonstrating the value to their career if it is not immediately evident, is quite another.</w:t>
      </w:r>
    </w:p>
    <w:p w14:paraId="5D9B0457" w14:textId="77777777" w:rsidR="000A31B0" w:rsidRPr="00E85EDA" w:rsidRDefault="000A31B0">
      <w:pPr>
        <w:spacing w:line="354" w:lineRule="exact"/>
        <w:rPr>
          <w:rFonts w:ascii="Century Gothic" w:eastAsia="Times New Roman" w:hAnsi="Century Gothic"/>
        </w:rPr>
      </w:pPr>
    </w:p>
    <w:p w14:paraId="1F0278F1" w14:textId="77777777" w:rsidR="000A31B0" w:rsidRPr="00E85EDA" w:rsidRDefault="000A31B0">
      <w:pPr>
        <w:spacing w:line="219" w:lineRule="auto"/>
        <w:jc w:val="both"/>
        <w:rPr>
          <w:rFonts w:ascii="Century Gothic" w:eastAsia="Lucida Sans" w:hAnsi="Century Gothic"/>
          <w:sz w:val="22"/>
        </w:rPr>
      </w:pPr>
      <w:r w:rsidRPr="00E85EDA">
        <w:rPr>
          <w:rFonts w:ascii="Century Gothic" w:eastAsia="Lucida Sans" w:hAnsi="Century Gothic"/>
          <w:sz w:val="22"/>
        </w:rPr>
        <w:t>We will screen and evaluate any internal candidates or individuals recommended by PCCA via the identical process used with externally developed candidates so that all interested individuals will participate on a level playing field and thus help protect PCCA from any allegations of preference or discrimination.</w:t>
      </w:r>
    </w:p>
    <w:p w14:paraId="3CE66847" w14:textId="77777777" w:rsidR="000A31B0" w:rsidRPr="00E85EDA" w:rsidRDefault="000A31B0">
      <w:pPr>
        <w:spacing w:line="351" w:lineRule="exact"/>
        <w:rPr>
          <w:rFonts w:ascii="Century Gothic" w:eastAsia="Times New Roman" w:hAnsi="Century Gothic"/>
        </w:rPr>
      </w:pPr>
    </w:p>
    <w:p w14:paraId="6E3B4481" w14:textId="77777777" w:rsidR="000A31B0" w:rsidRPr="00E85EDA" w:rsidRDefault="000A31B0" w:rsidP="00E85EDA">
      <w:pPr>
        <w:spacing w:line="229" w:lineRule="auto"/>
        <w:jc w:val="both"/>
        <w:rPr>
          <w:rFonts w:ascii="Century Gothic" w:eastAsia="Lucida Sans" w:hAnsi="Century Gothic"/>
          <w:sz w:val="22"/>
        </w:rPr>
      </w:pPr>
      <w:r w:rsidRPr="00E85EDA">
        <w:rPr>
          <w:rFonts w:ascii="Century Gothic" w:eastAsia="Lucida Sans" w:hAnsi="Century Gothic"/>
          <w:sz w:val="22"/>
        </w:rPr>
        <w:t xml:space="preserve">Initial screening consists of two parts: 1) review and analysis of a candidate’s resume and other supplemental materials provided to determine initial qualification for the position, </w:t>
      </w:r>
      <w:r w:rsidRPr="00E85EDA">
        <w:rPr>
          <w:rFonts w:ascii="Century Gothic" w:eastAsia="Lucida Sans" w:hAnsi="Century Gothic"/>
          <w:sz w:val="22"/>
        </w:rPr>
        <w:lastRenderedPageBreak/>
        <w:t>and 2) a telephone conversation with those initially qualified candidates to further determine the fit with the key criteria of the position. The most qualified candidates will then be thoroughly evaluated via in-person or videoconference interviews. Interviewing will be based on ensuring that each candidate’s behavioral attributes and core competencies are thoroughly explored and validated. We will focus on three distinct areas: (1) technical skills, (2) cultural fit issues, and (3) management</w:t>
      </w:r>
      <w:bookmarkStart w:id="1" w:name="page4"/>
      <w:bookmarkEnd w:id="1"/>
      <w:r w:rsidR="00E85EDA" w:rsidRPr="00E85EDA">
        <w:rPr>
          <w:rFonts w:ascii="Century Gothic" w:eastAsia="Lucida Sans" w:hAnsi="Century Gothic"/>
          <w:sz w:val="22"/>
        </w:rPr>
        <w:t xml:space="preserve"> </w:t>
      </w:r>
      <w:r w:rsidRPr="00E85EDA">
        <w:rPr>
          <w:rFonts w:ascii="Century Gothic" w:eastAsia="Lucida Sans" w:hAnsi="Century Gothic"/>
          <w:sz w:val="22"/>
        </w:rPr>
        <w:t>and leadership ability. We will provide detailed candidate reports to leadership on the most qualified candidates.</w:t>
      </w:r>
    </w:p>
    <w:p w14:paraId="72C00B76" w14:textId="77777777" w:rsidR="000A31B0" w:rsidRPr="00E85EDA" w:rsidRDefault="000A31B0">
      <w:pPr>
        <w:spacing w:line="350" w:lineRule="exact"/>
        <w:rPr>
          <w:rFonts w:ascii="Century Gothic" w:eastAsia="Times New Roman" w:hAnsi="Century Gothic"/>
        </w:rPr>
      </w:pPr>
    </w:p>
    <w:p w14:paraId="4C849EC9" w14:textId="77777777" w:rsidR="000A31B0" w:rsidRPr="00E85EDA" w:rsidRDefault="000A31B0">
      <w:pPr>
        <w:spacing w:line="229" w:lineRule="auto"/>
        <w:jc w:val="both"/>
        <w:rPr>
          <w:rFonts w:ascii="Century Gothic" w:eastAsia="Lucida Sans" w:hAnsi="Century Gothic"/>
          <w:sz w:val="22"/>
        </w:rPr>
      </w:pPr>
      <w:r w:rsidRPr="00E85EDA">
        <w:rPr>
          <w:rFonts w:ascii="Century Gothic" w:eastAsia="Lucida Sans" w:hAnsi="Century Gothic"/>
          <w:sz w:val="22"/>
        </w:rPr>
        <w:t xml:space="preserve">After presentation of the candidates, we will coordinate the interview process with PCCA as well as preparing Offers of Employment that are consistent with the terms and conditions settled upon between the </w:t>
      </w:r>
      <w:proofErr w:type="gramStart"/>
      <w:r w:rsidRPr="00E85EDA">
        <w:rPr>
          <w:rFonts w:ascii="Century Gothic" w:eastAsia="Lucida Sans" w:hAnsi="Century Gothic"/>
          <w:sz w:val="22"/>
        </w:rPr>
        <w:t>parties, and</w:t>
      </w:r>
      <w:proofErr w:type="gramEnd"/>
      <w:r w:rsidRPr="00E85EDA">
        <w:rPr>
          <w:rFonts w:ascii="Century Gothic" w:eastAsia="Lucida Sans" w:hAnsi="Century Gothic"/>
          <w:sz w:val="22"/>
        </w:rPr>
        <w:t xml:space="preserve"> obtain the execution of this document by the selected candidate. Further, we will advise leadership relative to market compensation data. We will also counsel and assist </w:t>
      </w:r>
      <w:proofErr w:type="gramStart"/>
      <w:r w:rsidRPr="00E85EDA">
        <w:rPr>
          <w:rFonts w:ascii="Century Gothic" w:eastAsia="Lucida Sans" w:hAnsi="Century Gothic"/>
          <w:sz w:val="22"/>
        </w:rPr>
        <w:t>in the area of</w:t>
      </w:r>
      <w:proofErr w:type="gramEnd"/>
      <w:r w:rsidRPr="00E85EDA">
        <w:rPr>
          <w:rFonts w:ascii="Century Gothic" w:eastAsia="Lucida Sans" w:hAnsi="Century Gothic"/>
          <w:sz w:val="22"/>
        </w:rPr>
        <w:t xml:space="preserve"> candidate relocation issues, and if there are any unique nuances relative to onboarding issues, (e.g., spousal, special education needs, temporary co-location, etc.) we will counsel and assist to the greatest extent possible.</w:t>
      </w:r>
    </w:p>
    <w:p w14:paraId="16CC54AC" w14:textId="77777777" w:rsidR="000A31B0" w:rsidRPr="00E85EDA" w:rsidRDefault="000A31B0">
      <w:pPr>
        <w:spacing w:line="355" w:lineRule="exact"/>
        <w:rPr>
          <w:rFonts w:ascii="Century Gothic" w:eastAsia="Times New Roman" w:hAnsi="Century Gothic"/>
        </w:rPr>
      </w:pPr>
    </w:p>
    <w:p w14:paraId="37D9012F" w14:textId="77777777" w:rsidR="000A31B0" w:rsidRPr="00E85EDA" w:rsidRDefault="000A31B0">
      <w:pPr>
        <w:spacing w:line="218" w:lineRule="auto"/>
        <w:jc w:val="both"/>
        <w:rPr>
          <w:rFonts w:ascii="Century Gothic" w:eastAsia="Lucida Sans" w:hAnsi="Century Gothic"/>
          <w:sz w:val="22"/>
        </w:rPr>
      </w:pPr>
      <w:r w:rsidRPr="00E85EDA">
        <w:rPr>
          <w:rFonts w:ascii="Century Gothic" w:eastAsia="Lucida Sans" w:hAnsi="Century Gothic"/>
          <w:sz w:val="22"/>
        </w:rPr>
        <w:t>We offer the option to conduct an assessment to quantify and compare the finalist candidates. We recognize that no candidate is truly perfect and, therefore, recommend bringing science to the search process. Our assessment options vary based on level of desired rigor and customization:</w:t>
      </w:r>
    </w:p>
    <w:p w14:paraId="1B0F327B" w14:textId="77777777" w:rsidR="000A31B0" w:rsidRPr="00E85EDA" w:rsidRDefault="000A31B0">
      <w:pPr>
        <w:spacing w:line="353" w:lineRule="exact"/>
        <w:rPr>
          <w:rFonts w:ascii="Century Gothic" w:eastAsia="Times New Roman" w:hAnsi="Century Gothic"/>
        </w:rPr>
      </w:pPr>
    </w:p>
    <w:p w14:paraId="31105A52" w14:textId="77777777" w:rsidR="000A31B0" w:rsidRPr="00E85EDA" w:rsidRDefault="000A31B0">
      <w:pPr>
        <w:numPr>
          <w:ilvl w:val="0"/>
          <w:numId w:val="3"/>
        </w:numPr>
        <w:tabs>
          <w:tab w:val="left" w:pos="720"/>
        </w:tabs>
        <w:spacing w:line="219" w:lineRule="auto"/>
        <w:ind w:left="720" w:hanging="360"/>
        <w:jc w:val="both"/>
        <w:rPr>
          <w:rFonts w:ascii="Century Gothic" w:eastAsia="Lucida Sans" w:hAnsi="Century Gothic"/>
          <w:sz w:val="22"/>
        </w:rPr>
      </w:pPr>
      <w:r w:rsidRPr="00E85EDA">
        <w:rPr>
          <w:rFonts w:ascii="Century Gothic" w:eastAsia="Lucida Sans" w:hAnsi="Century Gothic"/>
          <w:sz w:val="22"/>
        </w:rPr>
        <w:t>BASIC PROFILE – Professional Styles Inventory is an online assessment that provides a candidate profile in terms of solving problems, influencing people, adapting approaches, and delivering results. The standardized report will be reviewed with you.</w:t>
      </w:r>
    </w:p>
    <w:p w14:paraId="5B65DA1F" w14:textId="77777777" w:rsidR="000A31B0" w:rsidRPr="00E85EDA" w:rsidRDefault="000A31B0">
      <w:pPr>
        <w:spacing w:line="91" w:lineRule="exact"/>
        <w:rPr>
          <w:rFonts w:ascii="Century Gothic" w:eastAsia="Lucida Sans" w:hAnsi="Century Gothic"/>
          <w:sz w:val="22"/>
        </w:rPr>
      </w:pPr>
    </w:p>
    <w:p w14:paraId="6D6DCB66" w14:textId="77777777" w:rsidR="000A31B0" w:rsidRPr="00E85EDA" w:rsidRDefault="000A31B0">
      <w:pPr>
        <w:numPr>
          <w:ilvl w:val="0"/>
          <w:numId w:val="3"/>
        </w:numPr>
        <w:tabs>
          <w:tab w:val="left" w:pos="720"/>
        </w:tabs>
        <w:spacing w:line="226" w:lineRule="auto"/>
        <w:ind w:left="720" w:hanging="360"/>
        <w:jc w:val="both"/>
        <w:rPr>
          <w:rFonts w:ascii="Century Gothic" w:eastAsia="Lucida Sans" w:hAnsi="Century Gothic"/>
          <w:sz w:val="22"/>
        </w:rPr>
      </w:pPr>
      <w:r w:rsidRPr="00E85EDA">
        <w:rPr>
          <w:rFonts w:ascii="Century Gothic" w:eastAsia="Lucida Sans" w:hAnsi="Century Gothic"/>
          <w:sz w:val="22"/>
        </w:rPr>
        <w:t xml:space="preserve">SIGNATURE PROFILE – 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Benchmark is comprised of three online assessments that evaluate candidates in terms of leadership and personality tendencies, potential for leadership derailment, and individual values and potential culture fit. The customized report, developed by an Odgers organizational psychologist, will be reviewed with you and the successful candidate.</w:t>
      </w:r>
    </w:p>
    <w:p w14:paraId="2820F6BA" w14:textId="77777777" w:rsidR="000A31B0" w:rsidRPr="00E85EDA" w:rsidRDefault="000A31B0">
      <w:pPr>
        <w:spacing w:line="91" w:lineRule="exact"/>
        <w:rPr>
          <w:rFonts w:ascii="Century Gothic" w:eastAsia="Lucida Sans" w:hAnsi="Century Gothic"/>
          <w:sz w:val="22"/>
        </w:rPr>
      </w:pPr>
    </w:p>
    <w:p w14:paraId="13A5FBFD" w14:textId="77777777" w:rsidR="000A31B0" w:rsidRPr="00E85EDA" w:rsidRDefault="000A31B0">
      <w:pPr>
        <w:numPr>
          <w:ilvl w:val="0"/>
          <w:numId w:val="3"/>
        </w:numPr>
        <w:tabs>
          <w:tab w:val="left" w:pos="720"/>
        </w:tabs>
        <w:spacing w:line="223" w:lineRule="auto"/>
        <w:ind w:left="720" w:hanging="360"/>
        <w:jc w:val="both"/>
        <w:rPr>
          <w:rFonts w:ascii="Century Gothic" w:eastAsia="Lucida Sans" w:hAnsi="Century Gothic"/>
          <w:sz w:val="22"/>
        </w:rPr>
      </w:pPr>
      <w:r w:rsidRPr="00E85EDA">
        <w:rPr>
          <w:rFonts w:ascii="Century Gothic" w:eastAsia="Lucida Sans" w:hAnsi="Century Gothic"/>
          <w:sz w:val="22"/>
        </w:rPr>
        <w:t xml:space="preserve">PREMIUM PROFILE – 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Executive builds on the Benchmark by offering an online strategic and tactical ability assessment and a 2- to 3-hour </w:t>
      </w:r>
      <w:proofErr w:type="spellStart"/>
      <w:r w:rsidRPr="00E85EDA">
        <w:rPr>
          <w:rFonts w:ascii="Century Gothic" w:eastAsia="Lucida Sans" w:hAnsi="Century Gothic"/>
          <w:sz w:val="22"/>
        </w:rPr>
        <w:t>Topgrading</w:t>
      </w:r>
      <w:proofErr w:type="spellEnd"/>
      <w:r w:rsidRPr="00E85EDA">
        <w:rPr>
          <w:rFonts w:ascii="Century Gothic" w:eastAsia="Lucida Sans" w:hAnsi="Century Gothic"/>
          <w:sz w:val="22"/>
        </w:rPr>
        <w:t xml:space="preserve"> and competency-based structured interview with an Odgers organizational psychologist. The customized report, developed by the interviewer, will be reviewed with you and the successful candidate.</w:t>
      </w:r>
    </w:p>
    <w:p w14:paraId="61C0D826" w14:textId="77777777" w:rsidR="000A31B0" w:rsidRPr="00E85EDA" w:rsidRDefault="000A31B0">
      <w:pPr>
        <w:spacing w:line="352" w:lineRule="exact"/>
        <w:rPr>
          <w:rFonts w:ascii="Century Gothic" w:eastAsia="Times New Roman" w:hAnsi="Century Gothic"/>
        </w:rPr>
      </w:pPr>
    </w:p>
    <w:p w14:paraId="3E310F55" w14:textId="77777777" w:rsidR="000A31B0" w:rsidRPr="00E85EDA" w:rsidRDefault="000A31B0">
      <w:pPr>
        <w:spacing w:line="219" w:lineRule="auto"/>
        <w:jc w:val="both"/>
        <w:rPr>
          <w:rFonts w:ascii="Century Gothic" w:eastAsia="Lucida Sans" w:hAnsi="Century Gothic"/>
          <w:sz w:val="22"/>
        </w:rPr>
      </w:pPr>
      <w:r w:rsidRPr="00E85EDA">
        <w:rPr>
          <w:rFonts w:ascii="Century Gothic" w:eastAsia="Lucida Sans" w:hAnsi="Century Gothic"/>
          <w:sz w:val="22"/>
        </w:rPr>
        <w:t>Our report debriefs with you will highlight areas for further inquiry during your interviews with the finalist candidates. Debriefs with successful candidates help inform and assist with onboarding and development, which are critical to initial as well as long-term engagement.</w:t>
      </w:r>
    </w:p>
    <w:p w14:paraId="7B260E6F" w14:textId="77777777" w:rsidR="000A31B0" w:rsidRPr="00E85EDA" w:rsidRDefault="000A31B0">
      <w:pPr>
        <w:spacing w:line="258" w:lineRule="exact"/>
        <w:rPr>
          <w:rFonts w:ascii="Century Gothic" w:eastAsia="Times New Roman" w:hAnsi="Century Gothic"/>
        </w:rPr>
      </w:pPr>
    </w:p>
    <w:p w14:paraId="7E04C15D" w14:textId="77777777"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Example reports for each of the assessment options above are available upon request.</w:t>
      </w:r>
    </w:p>
    <w:p w14:paraId="177B1588" w14:textId="77777777" w:rsidR="000A31B0" w:rsidRPr="00E85EDA" w:rsidRDefault="000A31B0">
      <w:pPr>
        <w:spacing w:line="349" w:lineRule="exact"/>
        <w:rPr>
          <w:rFonts w:ascii="Century Gothic" w:eastAsia="Times New Roman" w:hAnsi="Century Gothic"/>
        </w:rPr>
      </w:pPr>
    </w:p>
    <w:p w14:paraId="67F5C8E9" w14:textId="77777777" w:rsidR="000A31B0" w:rsidRPr="00E85EDA" w:rsidRDefault="000A31B0">
      <w:pPr>
        <w:spacing w:line="212" w:lineRule="auto"/>
        <w:jc w:val="both"/>
        <w:rPr>
          <w:rFonts w:ascii="Century Gothic" w:eastAsia="Lucida Sans" w:hAnsi="Century Gothic"/>
          <w:sz w:val="22"/>
        </w:rPr>
      </w:pPr>
      <w:r w:rsidRPr="00E85EDA">
        <w:rPr>
          <w:rFonts w:ascii="Century Gothic" w:eastAsia="Lucida Sans" w:hAnsi="Century Gothic"/>
          <w:sz w:val="22"/>
        </w:rPr>
        <w:lastRenderedPageBreak/>
        <w:t>Note: Additional online assessments, for example, to evaluate a candidate’s agility, emotional intelligence, or cognitive ability, may also be included in the Benchmark and Executive options.</w:t>
      </w:r>
    </w:p>
    <w:p w14:paraId="5B298FEC" w14:textId="77777777" w:rsidR="000A31B0" w:rsidRPr="00E85EDA" w:rsidRDefault="000A31B0">
      <w:pPr>
        <w:spacing w:line="351" w:lineRule="exact"/>
        <w:rPr>
          <w:rFonts w:ascii="Century Gothic" w:eastAsia="Times New Roman" w:hAnsi="Century Gothic"/>
        </w:rPr>
      </w:pPr>
    </w:p>
    <w:p w14:paraId="6483458C" w14:textId="77777777" w:rsidR="000A31B0" w:rsidRPr="00E85EDA" w:rsidRDefault="000A31B0">
      <w:pPr>
        <w:spacing w:line="233" w:lineRule="auto"/>
        <w:jc w:val="both"/>
        <w:rPr>
          <w:rFonts w:ascii="Century Gothic" w:eastAsia="Lucida Sans" w:hAnsi="Century Gothic"/>
          <w:sz w:val="21"/>
        </w:rPr>
      </w:pPr>
      <w:r w:rsidRPr="00E85EDA">
        <w:rPr>
          <w:rFonts w:ascii="Century Gothic" w:eastAsia="Lucida Sans" w:hAnsi="Century Gothic"/>
          <w:sz w:val="21"/>
        </w:rPr>
        <w:t>Reference checks will be conducted on the finalist candidate, and at leadership’s request, we can also arrange for a background check. Offers can be made “contingent on completion of reference checks and/or background checks.” Many candidates are reluctant to have references checked until they are at an offer stage due to confidentiality issues in desiring to protect their status as a candidate with their current employer.</w:t>
      </w:r>
    </w:p>
    <w:p w14:paraId="1B0FEC85" w14:textId="77777777" w:rsidR="000A31B0" w:rsidRPr="00E85EDA" w:rsidRDefault="000A31B0">
      <w:pPr>
        <w:spacing w:line="200" w:lineRule="exact"/>
        <w:rPr>
          <w:rFonts w:ascii="Century Gothic" w:eastAsia="Times New Roman" w:hAnsi="Century Gothic"/>
        </w:rPr>
      </w:pPr>
    </w:p>
    <w:p w14:paraId="4CF169EE" w14:textId="77777777" w:rsidR="000A31B0" w:rsidRPr="00E85EDA" w:rsidRDefault="000A31B0">
      <w:pPr>
        <w:spacing w:line="200" w:lineRule="exact"/>
        <w:rPr>
          <w:rFonts w:ascii="Century Gothic" w:eastAsia="Times New Roman" w:hAnsi="Century Gothic"/>
        </w:rPr>
      </w:pPr>
    </w:p>
    <w:p w14:paraId="6479B177" w14:textId="77777777" w:rsidR="000A31B0" w:rsidRPr="00E85EDA" w:rsidRDefault="000A31B0">
      <w:pPr>
        <w:spacing w:line="223" w:lineRule="auto"/>
        <w:jc w:val="both"/>
        <w:rPr>
          <w:rFonts w:ascii="Century Gothic" w:eastAsia="Lucida Sans" w:hAnsi="Century Gothic"/>
          <w:sz w:val="22"/>
        </w:rPr>
      </w:pPr>
      <w:bookmarkStart w:id="2" w:name="page5"/>
      <w:bookmarkEnd w:id="2"/>
      <w:r w:rsidRPr="00E85EDA">
        <w:rPr>
          <w:rFonts w:ascii="Century Gothic" w:eastAsia="Lucida Sans" w:hAnsi="Century Gothic"/>
          <w:sz w:val="22"/>
        </w:rPr>
        <w:t xml:space="preserve">We consider ourselves an extension of our client’s organization and all candidates will be dealt with respectfully and in a timely manner. All candidates screened and/or interviewed by 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will be notified relative to PCCA’s choice to move forward with other candidates and will be thanked for their interest in the Port Corpus Christi Authority and for their participation in the search process.</w:t>
      </w:r>
    </w:p>
    <w:p w14:paraId="2B9A128D" w14:textId="77777777" w:rsidR="000A31B0" w:rsidRPr="00E85EDA" w:rsidRDefault="000A31B0">
      <w:pPr>
        <w:spacing w:line="352" w:lineRule="exact"/>
        <w:rPr>
          <w:rFonts w:ascii="Century Gothic" w:eastAsia="Times New Roman" w:hAnsi="Century Gothic"/>
        </w:rPr>
      </w:pPr>
    </w:p>
    <w:p w14:paraId="50C6696A" w14:textId="77777777" w:rsidR="000A31B0" w:rsidRPr="00E85EDA" w:rsidRDefault="000A31B0">
      <w:pPr>
        <w:spacing w:line="236" w:lineRule="auto"/>
        <w:jc w:val="both"/>
        <w:rPr>
          <w:rFonts w:ascii="Century Gothic" w:eastAsia="Lucida Sans" w:hAnsi="Century Gothic"/>
          <w:sz w:val="21"/>
        </w:rPr>
      </w:pPr>
      <w:r w:rsidRPr="00E85EDA">
        <w:rPr>
          <w:rFonts w:ascii="Century Gothic" w:eastAsia="Lucida Sans" w:hAnsi="Century Gothic"/>
          <w:sz w:val="21"/>
        </w:rPr>
        <w:t xml:space="preserve">Odgers </w:t>
      </w:r>
      <w:proofErr w:type="spellStart"/>
      <w:r w:rsidRPr="00E85EDA">
        <w:rPr>
          <w:rFonts w:ascii="Century Gothic" w:eastAsia="Lucida Sans" w:hAnsi="Century Gothic"/>
          <w:sz w:val="21"/>
        </w:rPr>
        <w:t>Berndtson</w:t>
      </w:r>
      <w:proofErr w:type="spellEnd"/>
      <w:r w:rsidRPr="00E85EDA">
        <w:rPr>
          <w:rFonts w:ascii="Century Gothic" w:eastAsia="Lucida Sans" w:hAnsi="Century Gothic"/>
          <w:sz w:val="21"/>
        </w:rPr>
        <w:t xml:space="preserve"> does not believe that our obligations to our client are over when a hire is consummated. We regularly contact any candidate hired </w:t>
      </w:r>
      <w:proofErr w:type="gramStart"/>
      <w:r w:rsidRPr="00E85EDA">
        <w:rPr>
          <w:rFonts w:ascii="Century Gothic" w:eastAsia="Lucida Sans" w:hAnsi="Century Gothic"/>
          <w:sz w:val="21"/>
        </w:rPr>
        <w:t>as a result of</w:t>
      </w:r>
      <w:proofErr w:type="gramEnd"/>
      <w:r w:rsidRPr="00E85EDA">
        <w:rPr>
          <w:rFonts w:ascii="Century Gothic" w:eastAsia="Lucida Sans" w:hAnsi="Century Gothic"/>
          <w:sz w:val="21"/>
        </w:rPr>
        <w:t xml:space="preserve"> the search, six (6) months after a search is completed and have a thorough discussion of how he/she perceives things are going. We will report back to you our findings and observations. This can at times become a critical task in the search process, as frequently, minor misgivings and problems can be </w:t>
      </w:r>
      <w:proofErr w:type="gramStart"/>
      <w:r w:rsidRPr="00E85EDA">
        <w:rPr>
          <w:rFonts w:ascii="Century Gothic" w:eastAsia="Lucida Sans" w:hAnsi="Century Gothic"/>
          <w:sz w:val="21"/>
        </w:rPr>
        <w:t>resolved</w:t>
      </w:r>
      <w:proofErr w:type="gramEnd"/>
      <w:r w:rsidRPr="00E85EDA">
        <w:rPr>
          <w:rFonts w:ascii="Century Gothic" w:eastAsia="Lucida Sans" w:hAnsi="Century Gothic"/>
          <w:sz w:val="21"/>
        </w:rPr>
        <w:t xml:space="preserve"> and a course correction can be plotted.</w:t>
      </w:r>
    </w:p>
    <w:p w14:paraId="66C6D834" w14:textId="77777777" w:rsidR="000A31B0" w:rsidRPr="00E85EDA" w:rsidRDefault="000A31B0">
      <w:pPr>
        <w:spacing w:line="254" w:lineRule="exact"/>
        <w:rPr>
          <w:rFonts w:ascii="Century Gothic" w:eastAsia="Times New Roman" w:hAnsi="Century Gothic"/>
        </w:rPr>
      </w:pPr>
    </w:p>
    <w:p w14:paraId="756134C7" w14:textId="77777777" w:rsidR="000A31B0" w:rsidRPr="00E85EDA" w:rsidRDefault="000A31B0">
      <w:pPr>
        <w:numPr>
          <w:ilvl w:val="0"/>
          <w:numId w:val="4"/>
        </w:numPr>
        <w:tabs>
          <w:tab w:val="left" w:pos="720"/>
        </w:tabs>
        <w:spacing w:line="0" w:lineRule="atLeast"/>
        <w:ind w:left="720" w:hanging="720"/>
        <w:rPr>
          <w:rFonts w:ascii="Century Gothic" w:eastAsia="Lucida Sans" w:hAnsi="Century Gothic"/>
          <w:b/>
          <w:sz w:val="24"/>
        </w:rPr>
      </w:pPr>
      <w:r w:rsidRPr="00E85EDA">
        <w:rPr>
          <w:rFonts w:ascii="Century Gothic" w:eastAsia="Lucida Sans" w:hAnsi="Century Gothic"/>
          <w:b/>
          <w:sz w:val="24"/>
        </w:rPr>
        <w:t>PROJECT LEADERSHIP</w:t>
      </w:r>
    </w:p>
    <w:p w14:paraId="2D32BA18" w14:textId="77777777" w:rsidR="000A31B0" w:rsidRPr="00E85EDA" w:rsidRDefault="000A31B0">
      <w:pPr>
        <w:spacing w:line="359" w:lineRule="exact"/>
        <w:rPr>
          <w:rFonts w:ascii="Century Gothic" w:eastAsia="Times New Roman" w:hAnsi="Century Gothic"/>
        </w:rPr>
      </w:pPr>
    </w:p>
    <w:p w14:paraId="0E19F1AE" w14:textId="77777777" w:rsidR="000A31B0" w:rsidRPr="00E85EDA" w:rsidRDefault="000A31B0">
      <w:pPr>
        <w:spacing w:line="223" w:lineRule="auto"/>
        <w:jc w:val="both"/>
        <w:rPr>
          <w:rFonts w:ascii="Century Gothic" w:eastAsia="Lucida Sans" w:hAnsi="Century Gothic"/>
          <w:sz w:val="22"/>
        </w:rPr>
      </w:pPr>
      <w:r w:rsidRPr="00E85EDA">
        <w:rPr>
          <w:rFonts w:ascii="Century Gothic" w:eastAsia="Lucida Sans" w:hAnsi="Century Gothic"/>
          <w:sz w:val="22"/>
        </w:rPr>
        <w:t>This entire project will be led by Tim McNamara, Vice Chairman and Partner. Tim has over 25 years of senior level, domestic and international human capital and organization development experience and has consulted to numerous port and maritime clients around the world including 3P entities. He is the Head of the Transportation &amp; Infrastructure Practice.</w:t>
      </w:r>
    </w:p>
    <w:p w14:paraId="14595437" w14:textId="77777777" w:rsidR="000A31B0" w:rsidRPr="00E85EDA" w:rsidRDefault="000A31B0">
      <w:pPr>
        <w:spacing w:line="253" w:lineRule="exact"/>
        <w:rPr>
          <w:rFonts w:ascii="Century Gothic" w:eastAsia="Times New Roman" w:hAnsi="Century Gothic"/>
        </w:rPr>
      </w:pPr>
    </w:p>
    <w:p w14:paraId="420077B4" w14:textId="77777777" w:rsidR="000A31B0" w:rsidRPr="00E85EDA" w:rsidRDefault="000A31B0">
      <w:pPr>
        <w:numPr>
          <w:ilvl w:val="0"/>
          <w:numId w:val="5"/>
        </w:numPr>
        <w:tabs>
          <w:tab w:val="left" w:pos="720"/>
        </w:tabs>
        <w:spacing w:line="0" w:lineRule="atLeast"/>
        <w:ind w:left="720" w:hanging="720"/>
        <w:rPr>
          <w:rFonts w:ascii="Century Gothic" w:eastAsia="Lucida Sans" w:hAnsi="Century Gothic"/>
          <w:b/>
          <w:sz w:val="24"/>
        </w:rPr>
      </w:pPr>
      <w:r w:rsidRPr="00E85EDA">
        <w:rPr>
          <w:rFonts w:ascii="Century Gothic" w:eastAsia="Lucida Sans" w:hAnsi="Century Gothic"/>
          <w:b/>
          <w:sz w:val="24"/>
        </w:rPr>
        <w:t>WARRANTIES</w:t>
      </w:r>
    </w:p>
    <w:p w14:paraId="26FD174C" w14:textId="77777777" w:rsidR="000A31B0" w:rsidRPr="00E85EDA" w:rsidRDefault="000A31B0">
      <w:pPr>
        <w:spacing w:line="268" w:lineRule="exact"/>
        <w:rPr>
          <w:rFonts w:ascii="Century Gothic" w:eastAsia="Times New Roman" w:hAnsi="Century Gothic"/>
        </w:rPr>
      </w:pPr>
    </w:p>
    <w:p w14:paraId="56738F75" w14:textId="77777777"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Replacement Warranty</w:t>
      </w:r>
    </w:p>
    <w:p w14:paraId="2A5354F8" w14:textId="0949B237" w:rsidR="000A31B0" w:rsidRPr="00E85EDA" w:rsidRDefault="00260C65">
      <w:pPr>
        <w:spacing w:line="20" w:lineRule="exact"/>
        <w:rPr>
          <w:rFonts w:ascii="Century Gothic" w:eastAsia="Times New Roman" w:hAnsi="Century Gothic"/>
        </w:rPr>
      </w:pPr>
      <w:r w:rsidRPr="00E85EDA">
        <w:rPr>
          <w:rFonts w:ascii="Century Gothic" w:eastAsia="Lucida Sans" w:hAnsi="Century Gothic"/>
          <w:noProof/>
          <w:sz w:val="22"/>
        </w:rPr>
        <mc:AlternateContent>
          <mc:Choice Requires="wps">
            <w:drawing>
              <wp:anchor distT="0" distB="0" distL="114300" distR="114300" simplePos="0" relativeHeight="251655168" behindDoc="1" locked="0" layoutInCell="1" allowOverlap="1" wp14:anchorId="1FE5D8E3" wp14:editId="63212307">
                <wp:simplePos x="0" y="0"/>
                <wp:positionH relativeFrom="column">
                  <wp:posOffset>0</wp:posOffset>
                </wp:positionH>
                <wp:positionV relativeFrom="paragraph">
                  <wp:posOffset>44450</wp:posOffset>
                </wp:positionV>
                <wp:extent cx="1513205" cy="0"/>
                <wp:effectExtent l="9525" t="5080" r="10795" b="1397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7771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11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" strokeweight=".48pt"/>
            </w:pict>
          </mc:Fallback>
        </mc:AlternateContent>
      </w:r>
    </w:p>
    <w:p w14:paraId="59EF8349" w14:textId="77777777" w:rsidR="000A31B0" w:rsidRPr="00E85EDA" w:rsidRDefault="000A31B0">
      <w:pPr>
        <w:spacing w:line="329" w:lineRule="exact"/>
        <w:rPr>
          <w:rFonts w:ascii="Century Gothic" w:eastAsia="Times New Roman" w:hAnsi="Century Gothic"/>
        </w:rPr>
      </w:pPr>
    </w:p>
    <w:p w14:paraId="548C7583" w14:textId="77777777" w:rsidR="000A31B0" w:rsidRPr="00E85EDA" w:rsidRDefault="000A31B0">
      <w:pPr>
        <w:spacing w:line="231" w:lineRule="auto"/>
        <w:jc w:val="both"/>
        <w:rPr>
          <w:rFonts w:ascii="Century Gothic" w:eastAsia="Lucida Sans" w:hAnsi="Century Gothic"/>
          <w:sz w:val="22"/>
        </w:rPr>
      </w:pPr>
      <w:r w:rsidRPr="00E85EDA">
        <w:rPr>
          <w:rFonts w:ascii="Century Gothic" w:eastAsia="Lucida Sans" w:hAnsi="Century Gothic"/>
          <w:sz w:val="22"/>
        </w:rPr>
        <w:t xml:space="preserve">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guarantees any candidate hired through our assistance will continue to work for a period of 12 months from the date of acceptance (“at hire” date), </w:t>
      </w:r>
      <w:proofErr w:type="gramStart"/>
      <w:r w:rsidRPr="00E85EDA">
        <w:rPr>
          <w:rFonts w:ascii="Century Gothic" w:eastAsia="Lucida Sans" w:hAnsi="Century Gothic"/>
          <w:sz w:val="22"/>
        </w:rPr>
        <w:t>as long as</w:t>
      </w:r>
      <w:proofErr w:type="gramEnd"/>
      <w:r w:rsidRPr="00E85EDA">
        <w:rPr>
          <w:rFonts w:ascii="Century Gothic" w:eastAsia="Lucida Sans" w:hAnsi="Century Gothic"/>
          <w:sz w:val="22"/>
        </w:rPr>
        <w:t xml:space="preserve"> the position for which that candidate was hired does not substantially change and provided that the candidate was evaluated and recommended by 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In the event a candidate recommended and hired through our assistance is 1) terminated for cause by PCCA within 12 months of his/her hire date, or 2) employee resigns within 12 months of his/her hire date, but excluding death, serious illness, disability, or significant change in position responsibility or change in venue, we will conduct another search to replace the individual in the identical role that was vacated at no cost to PCCA other than reimbursable expenses.</w:t>
      </w:r>
    </w:p>
    <w:p w14:paraId="2B85154E" w14:textId="77777777" w:rsidR="000A31B0" w:rsidRPr="00E85EDA" w:rsidRDefault="000A31B0">
      <w:pPr>
        <w:spacing w:line="355" w:lineRule="exact"/>
        <w:rPr>
          <w:rFonts w:ascii="Century Gothic" w:eastAsia="Times New Roman" w:hAnsi="Century Gothic"/>
        </w:rPr>
      </w:pPr>
    </w:p>
    <w:p w14:paraId="2B8F2EB3" w14:textId="77777777" w:rsidR="000A31B0" w:rsidRPr="00E85EDA" w:rsidRDefault="000A31B0">
      <w:pPr>
        <w:spacing w:line="228" w:lineRule="auto"/>
        <w:jc w:val="both"/>
        <w:rPr>
          <w:rFonts w:ascii="Century Gothic" w:eastAsia="Lucida Sans" w:hAnsi="Century Gothic"/>
          <w:sz w:val="22"/>
        </w:rPr>
      </w:pPr>
      <w:r w:rsidRPr="00E85EDA">
        <w:rPr>
          <w:rFonts w:ascii="Century Gothic" w:eastAsia="Lucida Sans" w:hAnsi="Century Gothic"/>
          <w:sz w:val="22"/>
        </w:rPr>
        <w:t xml:space="preserve">This warranty is viable only if PCCA both advises us and activates a replacement search for the identical position within thirty (30) days of the departure of the 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w:t>
      </w:r>
      <w:r w:rsidRPr="00E85EDA">
        <w:rPr>
          <w:rFonts w:ascii="Century Gothic" w:eastAsia="Lucida Sans" w:hAnsi="Century Gothic"/>
          <w:sz w:val="22"/>
        </w:rPr>
        <w:lastRenderedPageBreak/>
        <w:t xml:space="preserve">hire. Furthermore, in the event of a replacement search all new internal and internally developed candidates must be referred to 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for evaluation and consideration in the development of a new candidate pool. If PCCA makes a hire on its own, either internally or externally, Odgers </w:t>
      </w:r>
      <w:proofErr w:type="spellStart"/>
      <w:r w:rsidRPr="00E85EDA">
        <w:rPr>
          <w:rFonts w:ascii="Century Gothic" w:eastAsia="Lucida Sans" w:hAnsi="Century Gothic"/>
          <w:sz w:val="22"/>
        </w:rPr>
        <w:t>Berndtson’s</w:t>
      </w:r>
      <w:proofErr w:type="spellEnd"/>
      <w:r w:rsidRPr="00E85EDA">
        <w:rPr>
          <w:rFonts w:ascii="Century Gothic" w:eastAsia="Lucida Sans" w:hAnsi="Century Gothic"/>
          <w:sz w:val="22"/>
        </w:rPr>
        <w:t xml:space="preserve"> obligation under the replacement warranty is terminated.</w:t>
      </w:r>
    </w:p>
    <w:p w14:paraId="2EFF48F1" w14:textId="77777777" w:rsidR="000A31B0" w:rsidRPr="00E85EDA" w:rsidRDefault="000A31B0">
      <w:pPr>
        <w:spacing w:line="261" w:lineRule="exact"/>
        <w:rPr>
          <w:rFonts w:ascii="Century Gothic" w:eastAsia="Times New Roman" w:hAnsi="Century Gothic"/>
        </w:rPr>
      </w:pPr>
    </w:p>
    <w:p w14:paraId="129E1D12" w14:textId="77777777" w:rsidR="000A31B0" w:rsidRPr="00E85EDA" w:rsidRDefault="000A31B0">
      <w:pPr>
        <w:spacing w:line="0" w:lineRule="atLeast"/>
        <w:rPr>
          <w:rFonts w:ascii="Century Gothic" w:eastAsia="Lucida Sans" w:hAnsi="Century Gothic"/>
          <w:b/>
          <w:bCs/>
          <w:sz w:val="22"/>
        </w:rPr>
      </w:pPr>
      <w:r w:rsidRPr="00E85EDA">
        <w:rPr>
          <w:rFonts w:ascii="Century Gothic" w:eastAsia="Lucida Sans" w:hAnsi="Century Gothic"/>
          <w:b/>
          <w:bCs/>
          <w:sz w:val="22"/>
        </w:rPr>
        <w:t>Non-Recruit Warranty</w:t>
      </w:r>
    </w:p>
    <w:p w14:paraId="56CDF502" w14:textId="25C9B800" w:rsidR="000A31B0" w:rsidRPr="00E85EDA" w:rsidRDefault="00260C65">
      <w:pPr>
        <w:spacing w:line="20" w:lineRule="exact"/>
        <w:rPr>
          <w:rFonts w:ascii="Century Gothic" w:eastAsia="Times New Roman" w:hAnsi="Century Gothic"/>
        </w:rPr>
      </w:pPr>
      <w:r w:rsidRPr="00E85EDA">
        <w:rPr>
          <w:rFonts w:ascii="Century Gothic" w:eastAsia="Lucida Sans" w:hAnsi="Century Gothic"/>
          <w:noProof/>
          <w:sz w:val="22"/>
        </w:rPr>
        <mc:AlternateContent>
          <mc:Choice Requires="wps">
            <w:drawing>
              <wp:anchor distT="0" distB="0" distL="114300" distR="114300" simplePos="0" relativeHeight="251656192" behindDoc="1" locked="0" layoutInCell="1" allowOverlap="1" wp14:anchorId="4FBE3842" wp14:editId="0CAEB7B1">
                <wp:simplePos x="0" y="0"/>
                <wp:positionH relativeFrom="column">
                  <wp:posOffset>0</wp:posOffset>
                </wp:positionH>
                <wp:positionV relativeFrom="paragraph">
                  <wp:posOffset>44450</wp:posOffset>
                </wp:positionV>
                <wp:extent cx="1440180" cy="0"/>
                <wp:effectExtent l="9525" t="5080" r="7620" b="1397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64B54"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11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" strokeweight=".48pt"/>
            </w:pict>
          </mc:Fallback>
        </mc:AlternateContent>
      </w:r>
    </w:p>
    <w:p w14:paraId="363D33C8" w14:textId="77777777" w:rsidR="000A31B0" w:rsidRPr="00E85EDA" w:rsidRDefault="000A31B0">
      <w:pPr>
        <w:spacing w:line="329" w:lineRule="exact"/>
        <w:rPr>
          <w:rFonts w:ascii="Century Gothic" w:eastAsia="Times New Roman" w:hAnsi="Century Gothic"/>
        </w:rPr>
      </w:pPr>
    </w:p>
    <w:p w14:paraId="64F84244" w14:textId="77777777" w:rsidR="000A31B0" w:rsidRPr="00E85EDA" w:rsidRDefault="000A31B0">
      <w:pPr>
        <w:spacing w:line="219" w:lineRule="auto"/>
        <w:jc w:val="both"/>
        <w:rPr>
          <w:rFonts w:ascii="Century Gothic" w:eastAsia="Lucida Sans" w:hAnsi="Century Gothic"/>
          <w:sz w:val="22"/>
        </w:rPr>
      </w:pPr>
      <w:r w:rsidRPr="00E85EDA">
        <w:rPr>
          <w:rFonts w:ascii="Century Gothic" w:eastAsia="Lucida Sans" w:hAnsi="Century Gothic"/>
          <w:sz w:val="22"/>
        </w:rPr>
        <w:t xml:space="preserve">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warrants that we will not recruit from the Port Corpus Christi Authority for a period of 12 months from the conclusion of this search engagement. We will never recruit from a </w:t>
      </w:r>
      <w:proofErr w:type="gramStart"/>
      <w:r w:rsidRPr="00E85EDA">
        <w:rPr>
          <w:rFonts w:ascii="Century Gothic" w:eastAsia="Lucida Sans" w:hAnsi="Century Gothic"/>
          <w:sz w:val="22"/>
        </w:rPr>
        <w:t>Client</w:t>
      </w:r>
      <w:proofErr w:type="gramEnd"/>
      <w:r w:rsidRPr="00E85EDA">
        <w:rPr>
          <w:rFonts w:ascii="Century Gothic" w:eastAsia="Lucida Sans" w:hAnsi="Century Gothic"/>
          <w:sz w:val="22"/>
        </w:rPr>
        <w:t xml:space="preserve"> an individual we have recruited into the client’s organization, without the express written permission of the Client.</w:t>
      </w:r>
    </w:p>
    <w:p w14:paraId="231316E7" w14:textId="77777777" w:rsidR="000A31B0" w:rsidRPr="00E85EDA" w:rsidRDefault="000A31B0">
      <w:pPr>
        <w:spacing w:line="385" w:lineRule="exact"/>
        <w:rPr>
          <w:rFonts w:ascii="Century Gothic" w:eastAsia="Times New Roman" w:hAnsi="Century Gothic"/>
        </w:rPr>
      </w:pPr>
    </w:p>
    <w:p w14:paraId="2E625A7C" w14:textId="77777777" w:rsidR="000A31B0" w:rsidRPr="00E85EDA" w:rsidRDefault="000A31B0">
      <w:pPr>
        <w:spacing w:line="0" w:lineRule="atLeast"/>
        <w:rPr>
          <w:rFonts w:ascii="Century Gothic" w:eastAsia="Lucida Sans" w:hAnsi="Century Gothic"/>
          <w:b/>
          <w:bCs/>
          <w:sz w:val="22"/>
        </w:rPr>
      </w:pPr>
      <w:bookmarkStart w:id="3" w:name="page6"/>
      <w:bookmarkEnd w:id="3"/>
      <w:r w:rsidRPr="00E85EDA">
        <w:rPr>
          <w:rFonts w:ascii="Century Gothic" w:eastAsia="Lucida Sans" w:hAnsi="Century Gothic"/>
          <w:b/>
          <w:bCs/>
          <w:sz w:val="22"/>
        </w:rPr>
        <w:t>Full Disclosure Representation</w:t>
      </w:r>
    </w:p>
    <w:p w14:paraId="0E36143A" w14:textId="32F09F95" w:rsidR="000A31B0" w:rsidRPr="00E85EDA" w:rsidRDefault="00260C65">
      <w:pPr>
        <w:spacing w:line="20" w:lineRule="exact"/>
        <w:rPr>
          <w:rFonts w:ascii="Century Gothic" w:eastAsia="Times New Roman" w:hAnsi="Century Gothic"/>
        </w:rPr>
      </w:pPr>
      <w:r w:rsidRPr="00E85EDA">
        <w:rPr>
          <w:rFonts w:ascii="Century Gothic" w:eastAsia="Lucida Sans" w:hAnsi="Century Gothic"/>
          <w:noProof/>
          <w:sz w:val="22"/>
        </w:rPr>
        <mc:AlternateContent>
          <mc:Choice Requires="wps">
            <w:drawing>
              <wp:anchor distT="0" distB="0" distL="114300" distR="114300" simplePos="0" relativeHeight="251657216" behindDoc="1" locked="0" layoutInCell="1" allowOverlap="1" wp14:anchorId="4F8113DE" wp14:editId="419CAEF4">
                <wp:simplePos x="0" y="0"/>
                <wp:positionH relativeFrom="column">
                  <wp:posOffset>0</wp:posOffset>
                </wp:positionH>
                <wp:positionV relativeFrom="paragraph">
                  <wp:posOffset>44450</wp:posOffset>
                </wp:positionV>
                <wp:extent cx="2057400" cy="0"/>
                <wp:effectExtent l="9525" t="10160" r="9525" b="889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15BC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1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" strokeweight=".16931mm"/>
            </w:pict>
          </mc:Fallback>
        </mc:AlternateContent>
      </w:r>
    </w:p>
    <w:p w14:paraId="4BB2ABFE" w14:textId="77777777" w:rsidR="000A31B0" w:rsidRPr="00E85EDA" w:rsidRDefault="000A31B0">
      <w:pPr>
        <w:spacing w:line="330" w:lineRule="exact"/>
        <w:rPr>
          <w:rFonts w:ascii="Century Gothic" w:eastAsia="Times New Roman" w:hAnsi="Century Gothic"/>
        </w:rPr>
      </w:pPr>
    </w:p>
    <w:p w14:paraId="207D0E96" w14:textId="77777777" w:rsidR="000A31B0" w:rsidRPr="00E85EDA" w:rsidRDefault="000A31B0">
      <w:pPr>
        <w:spacing w:line="212" w:lineRule="auto"/>
        <w:jc w:val="both"/>
        <w:rPr>
          <w:rFonts w:ascii="Century Gothic" w:eastAsia="Lucida Sans" w:hAnsi="Century Gothic"/>
          <w:sz w:val="22"/>
        </w:rPr>
      </w:pPr>
      <w:r w:rsidRPr="00E85EDA">
        <w:rPr>
          <w:rFonts w:ascii="Century Gothic" w:eastAsia="Lucida Sans" w:hAnsi="Century Gothic"/>
          <w:sz w:val="22"/>
        </w:rPr>
        <w:t>We will ascertain if presented candidates have been involved in any other search effort over the last 18 months, either through his/her own efforts, or if facilitated via any search firm, and make a full disclosure of the facts and the disposition of the search.</w:t>
      </w:r>
    </w:p>
    <w:p w14:paraId="78A545C3" w14:textId="77777777" w:rsidR="000A31B0" w:rsidRPr="00E85EDA" w:rsidRDefault="000A31B0">
      <w:pPr>
        <w:spacing w:line="260" w:lineRule="exact"/>
        <w:rPr>
          <w:rFonts w:ascii="Century Gothic" w:eastAsia="Times New Roman" w:hAnsi="Century Gothic"/>
        </w:rPr>
      </w:pPr>
    </w:p>
    <w:p w14:paraId="77724FA9" w14:textId="77777777" w:rsidR="000A31B0" w:rsidRPr="00E85EDA" w:rsidRDefault="000A31B0">
      <w:pPr>
        <w:spacing w:line="0" w:lineRule="atLeast"/>
        <w:rPr>
          <w:rFonts w:ascii="Century Gothic" w:eastAsia="Lucida Sans" w:hAnsi="Century Gothic"/>
          <w:b/>
          <w:bCs/>
          <w:sz w:val="22"/>
        </w:rPr>
      </w:pPr>
      <w:r w:rsidRPr="00E85EDA">
        <w:rPr>
          <w:rFonts w:ascii="Century Gothic" w:eastAsia="Lucida Sans" w:hAnsi="Century Gothic"/>
          <w:b/>
          <w:bCs/>
          <w:sz w:val="22"/>
        </w:rPr>
        <w:t>Compliance Warranty</w:t>
      </w:r>
    </w:p>
    <w:p w14:paraId="7766F01E" w14:textId="61860EE9" w:rsidR="000A31B0" w:rsidRPr="00E85EDA" w:rsidRDefault="00260C65">
      <w:pPr>
        <w:spacing w:line="20" w:lineRule="exact"/>
        <w:rPr>
          <w:rFonts w:ascii="Century Gothic" w:eastAsia="Times New Roman" w:hAnsi="Century Gothic"/>
        </w:rPr>
      </w:pPr>
      <w:r w:rsidRPr="00E85EDA">
        <w:rPr>
          <w:rFonts w:ascii="Century Gothic" w:eastAsia="Lucida Sans" w:hAnsi="Century Gothic"/>
          <w:noProof/>
          <w:sz w:val="22"/>
        </w:rPr>
        <mc:AlternateContent>
          <mc:Choice Requires="wps">
            <w:drawing>
              <wp:anchor distT="0" distB="0" distL="114300" distR="114300" simplePos="0" relativeHeight="251658240" behindDoc="1" locked="0" layoutInCell="1" allowOverlap="1" wp14:anchorId="25E407F6" wp14:editId="40719C4D">
                <wp:simplePos x="0" y="0"/>
                <wp:positionH relativeFrom="column">
                  <wp:posOffset>0</wp:posOffset>
                </wp:positionH>
                <wp:positionV relativeFrom="paragraph">
                  <wp:posOffset>44450</wp:posOffset>
                </wp:positionV>
                <wp:extent cx="1438910" cy="0"/>
                <wp:effectExtent l="9525" t="12700" r="8890" b="63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15F8"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11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" strokeweight=".48pt"/>
            </w:pict>
          </mc:Fallback>
        </mc:AlternateContent>
      </w:r>
    </w:p>
    <w:p w14:paraId="43169420" w14:textId="77777777" w:rsidR="000A31B0" w:rsidRPr="00E85EDA" w:rsidRDefault="000A31B0">
      <w:pPr>
        <w:spacing w:line="329" w:lineRule="exact"/>
        <w:rPr>
          <w:rFonts w:ascii="Century Gothic" w:eastAsia="Times New Roman" w:hAnsi="Century Gothic"/>
        </w:rPr>
      </w:pPr>
    </w:p>
    <w:p w14:paraId="543D78C0" w14:textId="77777777" w:rsidR="000A31B0" w:rsidRPr="00E85EDA" w:rsidRDefault="000A31B0">
      <w:pPr>
        <w:spacing w:line="219" w:lineRule="auto"/>
        <w:jc w:val="both"/>
        <w:rPr>
          <w:rFonts w:ascii="Century Gothic" w:eastAsia="Lucida Sans" w:hAnsi="Century Gothic"/>
          <w:sz w:val="22"/>
        </w:rPr>
      </w:pPr>
      <w:r w:rsidRPr="00E85EDA">
        <w:rPr>
          <w:rFonts w:ascii="Century Gothic" w:eastAsia="Lucida Sans" w:hAnsi="Century Gothic"/>
          <w:sz w:val="22"/>
        </w:rPr>
        <w:t xml:space="preserve">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warrants that it shall perform all responsibilities hereunder in compliance with all laws, regulations, and professional standards, including, but not limited to, the Association of Executive Search Consultants’ Standards of Excellence and Code of Professional Practice.</w:t>
      </w:r>
    </w:p>
    <w:p w14:paraId="554E3185" w14:textId="77777777" w:rsidR="000A31B0" w:rsidRPr="00E85EDA" w:rsidRDefault="000A31B0">
      <w:pPr>
        <w:spacing w:line="249" w:lineRule="exact"/>
        <w:rPr>
          <w:rFonts w:ascii="Century Gothic" w:eastAsia="Times New Roman" w:hAnsi="Century Gothic"/>
        </w:rPr>
      </w:pPr>
    </w:p>
    <w:p w14:paraId="33CE9801" w14:textId="77777777" w:rsidR="000A31B0" w:rsidRPr="00E85EDA" w:rsidRDefault="000A31B0">
      <w:pPr>
        <w:numPr>
          <w:ilvl w:val="0"/>
          <w:numId w:val="6"/>
        </w:numPr>
        <w:tabs>
          <w:tab w:val="left" w:pos="720"/>
        </w:tabs>
        <w:spacing w:line="0" w:lineRule="atLeast"/>
        <w:ind w:left="720" w:hanging="720"/>
        <w:rPr>
          <w:rFonts w:ascii="Century Gothic" w:eastAsia="Lucida Sans" w:hAnsi="Century Gothic"/>
          <w:b/>
          <w:sz w:val="24"/>
        </w:rPr>
      </w:pPr>
      <w:r w:rsidRPr="00E85EDA">
        <w:rPr>
          <w:rFonts w:ascii="Century Gothic" w:eastAsia="Lucida Sans" w:hAnsi="Century Gothic"/>
          <w:b/>
          <w:sz w:val="24"/>
        </w:rPr>
        <w:t>FEES AND EXPENSES</w:t>
      </w:r>
    </w:p>
    <w:p w14:paraId="17AA2C4B" w14:textId="77777777" w:rsidR="000A31B0" w:rsidRPr="00E85EDA" w:rsidRDefault="000A31B0">
      <w:pPr>
        <w:spacing w:line="359" w:lineRule="exact"/>
        <w:rPr>
          <w:rFonts w:ascii="Century Gothic" w:eastAsia="Times New Roman" w:hAnsi="Century Gothic"/>
        </w:rPr>
      </w:pPr>
    </w:p>
    <w:p w14:paraId="7671E91F" w14:textId="77777777" w:rsidR="000A31B0" w:rsidRPr="00E85EDA" w:rsidRDefault="000A31B0">
      <w:pPr>
        <w:spacing w:line="222" w:lineRule="auto"/>
        <w:jc w:val="both"/>
        <w:rPr>
          <w:rFonts w:ascii="Century Gothic" w:eastAsia="Lucida Sans" w:hAnsi="Century Gothic"/>
          <w:sz w:val="21"/>
        </w:rPr>
      </w:pPr>
      <w:r w:rsidRPr="00E85EDA">
        <w:rPr>
          <w:rFonts w:ascii="Century Gothic" w:eastAsia="Lucida Sans" w:hAnsi="Century Gothic"/>
          <w:sz w:val="21"/>
        </w:rPr>
        <w:t>Our fee is based on one third of the hired candidate’s first year’s total cash compensation (base plus any bonus, including sign-on bonus and targeted year-end bonus), with a minimum fee of $70,000. For this engagement, we will cap the final fee at $80,000.</w:t>
      </w:r>
    </w:p>
    <w:p w14:paraId="0B094D17" w14:textId="77777777" w:rsidR="000A31B0" w:rsidRPr="00E85EDA" w:rsidRDefault="000A31B0">
      <w:pPr>
        <w:spacing w:line="350" w:lineRule="exact"/>
        <w:rPr>
          <w:rFonts w:ascii="Century Gothic" w:eastAsia="Times New Roman" w:hAnsi="Century Gothic"/>
        </w:rPr>
      </w:pPr>
    </w:p>
    <w:p w14:paraId="7EDF2486" w14:textId="77777777" w:rsidR="000A31B0" w:rsidRPr="00E85EDA" w:rsidRDefault="000A31B0">
      <w:pPr>
        <w:spacing w:line="228" w:lineRule="auto"/>
        <w:jc w:val="both"/>
        <w:rPr>
          <w:rFonts w:ascii="Century Gothic" w:eastAsia="Lucida Sans" w:hAnsi="Century Gothic"/>
          <w:sz w:val="22"/>
        </w:rPr>
      </w:pPr>
      <w:r w:rsidRPr="00E85EDA">
        <w:rPr>
          <w:rFonts w:ascii="Century Gothic" w:eastAsia="Lucida Sans" w:hAnsi="Century Gothic"/>
          <w:sz w:val="22"/>
        </w:rPr>
        <w:t xml:space="preserve">In addition, we charge an administrative fee equal to 15% of the fee. Administrative expenses are attributable to the </w:t>
      </w:r>
      <w:proofErr w:type="gramStart"/>
      <w:r w:rsidRPr="00E85EDA">
        <w:rPr>
          <w:rFonts w:ascii="Century Gothic" w:eastAsia="Lucida Sans" w:hAnsi="Century Gothic"/>
          <w:sz w:val="22"/>
        </w:rPr>
        <w:t>assignment, but</w:t>
      </w:r>
      <w:proofErr w:type="gramEnd"/>
      <w:r w:rsidRPr="00E85EDA">
        <w:rPr>
          <w:rFonts w:ascii="Century Gothic" w:eastAsia="Lucida Sans" w:hAnsi="Century Gothic"/>
          <w:sz w:val="22"/>
        </w:rPr>
        <w:t xml:space="preserve"> are expenses that are either difficult or impractical to attribute to each individual assignment. Examples of these expenses include administrative/research support, communications, courier, reproduction costs, computer/IT, and other expenses. For this engagement and because of our long-term relationship with PCCA, we will reduce our administrative fee amount from 15% to 12% of the final fee.</w:t>
      </w:r>
    </w:p>
    <w:p w14:paraId="51891939" w14:textId="77777777" w:rsidR="000A31B0" w:rsidRPr="00E85EDA" w:rsidRDefault="000A31B0">
      <w:pPr>
        <w:spacing w:line="351" w:lineRule="exact"/>
        <w:rPr>
          <w:rFonts w:ascii="Century Gothic" w:eastAsia="Times New Roman" w:hAnsi="Century Gothic"/>
        </w:rPr>
      </w:pPr>
    </w:p>
    <w:p w14:paraId="139972F5" w14:textId="77777777" w:rsidR="000A31B0" w:rsidRPr="00E85EDA" w:rsidRDefault="000A31B0">
      <w:pPr>
        <w:spacing w:line="198" w:lineRule="auto"/>
        <w:jc w:val="both"/>
        <w:rPr>
          <w:rFonts w:ascii="Century Gothic" w:eastAsia="Lucida Sans" w:hAnsi="Century Gothic"/>
          <w:sz w:val="22"/>
        </w:rPr>
      </w:pPr>
      <w:r w:rsidRPr="00E85EDA">
        <w:rPr>
          <w:rFonts w:ascii="Century Gothic" w:eastAsia="Lucida Sans" w:hAnsi="Century Gothic"/>
          <w:sz w:val="22"/>
        </w:rPr>
        <w:t>We will base the initial retainers on an estimated fee of $70,000. Retainers are paid in installments as follows:</w:t>
      </w:r>
    </w:p>
    <w:p w14:paraId="00DBCCEB" w14:textId="77777777" w:rsidR="000A31B0" w:rsidRPr="00E85EDA" w:rsidRDefault="000A31B0">
      <w:pPr>
        <w:spacing w:line="350" w:lineRule="exact"/>
        <w:rPr>
          <w:rFonts w:ascii="Century Gothic" w:eastAsia="Times New Roman" w:hAnsi="Century Gothic"/>
        </w:rPr>
      </w:pPr>
    </w:p>
    <w:p w14:paraId="0B50F16C" w14:textId="77777777" w:rsidR="000A31B0" w:rsidRPr="00E85EDA" w:rsidRDefault="000A31B0">
      <w:pPr>
        <w:spacing w:line="198" w:lineRule="auto"/>
        <w:ind w:right="1140"/>
        <w:rPr>
          <w:rFonts w:ascii="Century Gothic" w:eastAsia="Lucida Sans" w:hAnsi="Century Gothic"/>
          <w:sz w:val="22"/>
        </w:rPr>
      </w:pPr>
      <w:r w:rsidRPr="00E85EDA">
        <w:rPr>
          <w:rFonts w:ascii="Century Gothic" w:eastAsia="Lucida Sans" w:hAnsi="Century Gothic"/>
          <w:sz w:val="22"/>
        </w:rPr>
        <w:t>1/3 of estimated fee + estimated administrative expenses at commencement 1/3 of estimated fee at 30 days from commencement</w:t>
      </w:r>
    </w:p>
    <w:p w14:paraId="3B4A697E" w14:textId="77777777" w:rsidR="000A31B0" w:rsidRPr="00E85EDA" w:rsidRDefault="000A31B0">
      <w:pPr>
        <w:spacing w:line="1" w:lineRule="exact"/>
        <w:rPr>
          <w:rFonts w:ascii="Century Gothic" w:eastAsia="Times New Roman" w:hAnsi="Century Gothic"/>
        </w:rPr>
      </w:pPr>
    </w:p>
    <w:p w14:paraId="30BDE107" w14:textId="77777777"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1/3 of estimated fee at 60 days from commencement or at hire, whichever occurs first</w:t>
      </w:r>
    </w:p>
    <w:p w14:paraId="7F6E8808" w14:textId="77777777" w:rsidR="000A31B0" w:rsidRPr="00E85EDA" w:rsidRDefault="000A31B0">
      <w:pPr>
        <w:spacing w:line="347" w:lineRule="exact"/>
        <w:rPr>
          <w:rFonts w:ascii="Century Gothic" w:eastAsia="Times New Roman" w:hAnsi="Century Gothic"/>
        </w:rPr>
      </w:pPr>
    </w:p>
    <w:p w14:paraId="4E65877A" w14:textId="77777777" w:rsidR="000A31B0" w:rsidRPr="00E85EDA" w:rsidRDefault="000A31B0">
      <w:pPr>
        <w:spacing w:line="219" w:lineRule="auto"/>
        <w:jc w:val="both"/>
        <w:rPr>
          <w:rFonts w:ascii="Century Gothic" w:eastAsia="Lucida Sans" w:hAnsi="Century Gothic"/>
          <w:sz w:val="22"/>
        </w:rPr>
      </w:pPr>
      <w:r w:rsidRPr="00E85EDA">
        <w:rPr>
          <w:rFonts w:ascii="Century Gothic" w:eastAsia="Lucida Sans" w:hAnsi="Century Gothic"/>
          <w:sz w:val="22"/>
        </w:rPr>
        <w:lastRenderedPageBreak/>
        <w:t xml:space="preserve">Retainers paid are deducted from the full and final retainer, which is due upon the successful candidate’s acceptance of an offer. Port Corpus Christi Authority agrees to provide 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with an executed copy of the successful candidate’s employment letter or contract immediately upon acceptance by the candidate.</w:t>
      </w:r>
    </w:p>
    <w:p w14:paraId="280B34CE" w14:textId="77777777" w:rsidR="000A31B0" w:rsidRPr="00E85EDA" w:rsidRDefault="000A31B0">
      <w:pPr>
        <w:spacing w:line="350" w:lineRule="exact"/>
        <w:rPr>
          <w:rFonts w:ascii="Century Gothic" w:eastAsia="Times New Roman" w:hAnsi="Century Gothic"/>
        </w:rPr>
      </w:pPr>
    </w:p>
    <w:p w14:paraId="50F58260" w14:textId="77777777" w:rsidR="000A31B0" w:rsidRPr="00E85EDA" w:rsidRDefault="000A31B0">
      <w:pPr>
        <w:spacing w:line="219" w:lineRule="auto"/>
        <w:jc w:val="both"/>
        <w:rPr>
          <w:rFonts w:ascii="Century Gothic" w:eastAsia="Lucida Sans" w:hAnsi="Century Gothic"/>
          <w:sz w:val="22"/>
        </w:rPr>
      </w:pPr>
      <w:r w:rsidRPr="00E85EDA">
        <w:rPr>
          <w:rFonts w:ascii="Century Gothic" w:eastAsia="Lucida Sans" w:hAnsi="Century Gothic"/>
          <w:sz w:val="22"/>
        </w:rPr>
        <w:t xml:space="preserve">Beyond the above fees, reimbursable expenses would include travel expenses for 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consultants and candidates (air fare, lodging and meals, car rental, taxi, parking, tolls, and other direct, travel-related expenses), and finalist candidate background checks. Reimbursable expenses incurred will be invoiced at “actual cost.”</w:t>
      </w:r>
    </w:p>
    <w:p w14:paraId="759777E9" w14:textId="77777777" w:rsidR="000A31B0" w:rsidRPr="00E85EDA" w:rsidRDefault="000A31B0">
      <w:pPr>
        <w:spacing w:line="261" w:lineRule="exact"/>
        <w:rPr>
          <w:rFonts w:ascii="Century Gothic" w:eastAsia="Times New Roman" w:hAnsi="Century Gothic"/>
        </w:rPr>
      </w:pPr>
    </w:p>
    <w:p w14:paraId="4EE01A15" w14:textId="77777777"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Should you choose to include an assessment in this search, the fees are as follows:</w:t>
      </w:r>
    </w:p>
    <w:p w14:paraId="06557BF6" w14:textId="77777777" w:rsidR="000A31B0" w:rsidRPr="00E85EDA" w:rsidRDefault="000A31B0">
      <w:pPr>
        <w:spacing w:line="349" w:lineRule="exact"/>
        <w:rPr>
          <w:rFonts w:ascii="Century Gothic" w:eastAsia="Times New Roman" w:hAnsi="Century Gothic"/>
        </w:rPr>
      </w:pPr>
    </w:p>
    <w:p w14:paraId="1881482A" w14:textId="77777777" w:rsidR="000A31B0" w:rsidRPr="00E85EDA" w:rsidRDefault="000A31B0">
      <w:pPr>
        <w:numPr>
          <w:ilvl w:val="0"/>
          <w:numId w:val="7"/>
        </w:numPr>
        <w:tabs>
          <w:tab w:val="left" w:pos="720"/>
        </w:tabs>
        <w:spacing w:line="198" w:lineRule="auto"/>
        <w:ind w:left="720" w:hanging="360"/>
        <w:rPr>
          <w:rFonts w:ascii="Century Gothic" w:eastAsia="Lucida Sans" w:hAnsi="Century Gothic"/>
          <w:sz w:val="22"/>
        </w:rPr>
      </w:pPr>
      <w:r w:rsidRPr="00E85EDA">
        <w:rPr>
          <w:rFonts w:ascii="Century Gothic" w:eastAsia="Lucida Sans" w:hAnsi="Century Gothic"/>
          <w:sz w:val="22"/>
        </w:rPr>
        <w:t>BASIC PROFILE – Professional Styles Inventory: Complimentary for up to five finalist candidates</w:t>
      </w:r>
    </w:p>
    <w:p w14:paraId="32BA24C9" w14:textId="77777777" w:rsidR="000A31B0" w:rsidRPr="00E85EDA" w:rsidRDefault="000A31B0">
      <w:pPr>
        <w:spacing w:line="120" w:lineRule="exact"/>
        <w:rPr>
          <w:rFonts w:ascii="Century Gothic" w:eastAsia="Lucida Sans" w:hAnsi="Century Gothic"/>
          <w:sz w:val="22"/>
        </w:rPr>
      </w:pPr>
    </w:p>
    <w:p w14:paraId="2A220F55" w14:textId="77777777" w:rsidR="000A31B0" w:rsidRPr="00E85EDA" w:rsidRDefault="000A31B0">
      <w:pPr>
        <w:numPr>
          <w:ilvl w:val="0"/>
          <w:numId w:val="7"/>
        </w:numPr>
        <w:tabs>
          <w:tab w:val="left" w:pos="720"/>
        </w:tabs>
        <w:spacing w:line="0" w:lineRule="atLeast"/>
        <w:ind w:left="720" w:hanging="360"/>
        <w:rPr>
          <w:rFonts w:ascii="Century Gothic" w:eastAsia="Lucida Sans" w:hAnsi="Century Gothic"/>
          <w:sz w:val="22"/>
        </w:rPr>
      </w:pPr>
      <w:r w:rsidRPr="00E85EDA">
        <w:rPr>
          <w:rFonts w:ascii="Century Gothic" w:eastAsia="Lucida Sans" w:hAnsi="Century Gothic"/>
          <w:sz w:val="22"/>
        </w:rPr>
        <w:t xml:space="preserve">SIGNATURE PROFILE – 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Benchmark: $2,500 per candidate</w:t>
      </w:r>
    </w:p>
    <w:p w14:paraId="77B30153" w14:textId="77777777" w:rsidR="000A31B0" w:rsidRPr="00E85EDA" w:rsidRDefault="000A31B0">
      <w:pPr>
        <w:spacing w:line="120" w:lineRule="exact"/>
        <w:rPr>
          <w:rFonts w:ascii="Century Gothic" w:eastAsia="Lucida Sans" w:hAnsi="Century Gothic"/>
          <w:sz w:val="22"/>
        </w:rPr>
      </w:pPr>
    </w:p>
    <w:p w14:paraId="2946B800" w14:textId="77777777" w:rsidR="000A31B0" w:rsidRPr="00E85EDA" w:rsidRDefault="000A31B0">
      <w:pPr>
        <w:numPr>
          <w:ilvl w:val="0"/>
          <w:numId w:val="7"/>
        </w:numPr>
        <w:tabs>
          <w:tab w:val="left" w:pos="720"/>
        </w:tabs>
        <w:spacing w:line="0" w:lineRule="atLeast"/>
        <w:ind w:left="720" w:hanging="360"/>
        <w:rPr>
          <w:rFonts w:ascii="Century Gothic" w:eastAsia="Lucida Sans" w:hAnsi="Century Gothic"/>
          <w:sz w:val="22"/>
        </w:rPr>
      </w:pPr>
      <w:r w:rsidRPr="00E85EDA">
        <w:rPr>
          <w:rFonts w:ascii="Century Gothic" w:eastAsia="Lucida Sans" w:hAnsi="Century Gothic"/>
          <w:sz w:val="22"/>
        </w:rPr>
        <w:t xml:space="preserve">PREMIUM PROFILE – 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Executive: $6,500  per candidate</w:t>
      </w:r>
    </w:p>
    <w:p w14:paraId="190DB2BE" w14:textId="77777777" w:rsidR="000A31B0" w:rsidRPr="00E85EDA" w:rsidRDefault="000A31B0">
      <w:pPr>
        <w:spacing w:line="168" w:lineRule="exact"/>
        <w:rPr>
          <w:rFonts w:ascii="Century Gothic" w:eastAsia="Times New Roman" w:hAnsi="Century Gothic"/>
        </w:rPr>
      </w:pPr>
    </w:p>
    <w:p w14:paraId="3D8ED53A" w14:textId="77777777" w:rsidR="000A31B0" w:rsidRPr="00E85EDA" w:rsidRDefault="000A31B0">
      <w:pPr>
        <w:spacing w:line="223" w:lineRule="auto"/>
        <w:jc w:val="both"/>
        <w:rPr>
          <w:rFonts w:ascii="Century Gothic" w:eastAsia="Lucida Sans" w:hAnsi="Century Gothic"/>
          <w:sz w:val="22"/>
        </w:rPr>
      </w:pPr>
      <w:bookmarkStart w:id="4" w:name="page7"/>
      <w:bookmarkEnd w:id="4"/>
      <w:r w:rsidRPr="00E85EDA">
        <w:rPr>
          <w:rFonts w:ascii="Century Gothic" w:eastAsia="Lucida Sans" w:hAnsi="Century Gothic"/>
          <w:sz w:val="22"/>
        </w:rPr>
        <w:t xml:space="preserve">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works on an exclusive basis in executing search engagements. Should the Port Corpus Christi Authority internally or externally evolve candidates for the position either prior to search commencement or during the assignment, these candidates will be considered part of Odgers </w:t>
      </w:r>
      <w:proofErr w:type="spellStart"/>
      <w:r w:rsidRPr="00E85EDA">
        <w:rPr>
          <w:rFonts w:ascii="Century Gothic" w:eastAsia="Lucida Sans" w:hAnsi="Century Gothic"/>
          <w:sz w:val="22"/>
        </w:rPr>
        <w:t>Berndtson’s</w:t>
      </w:r>
      <w:proofErr w:type="spellEnd"/>
      <w:r w:rsidRPr="00E85EDA">
        <w:rPr>
          <w:rFonts w:ascii="Century Gothic" w:eastAsia="Lucida Sans" w:hAnsi="Century Gothic"/>
          <w:sz w:val="22"/>
        </w:rPr>
        <w:t xml:space="preserve"> candidate pool. The source of a candidate does not affect our fee.</w:t>
      </w:r>
    </w:p>
    <w:p w14:paraId="2B96E05F" w14:textId="77777777" w:rsidR="000A31B0" w:rsidRPr="00E85EDA" w:rsidRDefault="000A31B0">
      <w:pPr>
        <w:spacing w:line="352" w:lineRule="exact"/>
        <w:rPr>
          <w:rFonts w:ascii="Century Gothic" w:eastAsia="Times New Roman" w:hAnsi="Century Gothic"/>
        </w:rPr>
      </w:pPr>
    </w:p>
    <w:p w14:paraId="562A6F3B" w14:textId="77777777" w:rsidR="000A31B0" w:rsidRPr="00E85EDA" w:rsidRDefault="000A31B0">
      <w:pPr>
        <w:spacing w:line="219" w:lineRule="auto"/>
        <w:jc w:val="both"/>
        <w:rPr>
          <w:rFonts w:ascii="Century Gothic" w:eastAsia="Lucida Sans" w:hAnsi="Century Gothic"/>
          <w:sz w:val="22"/>
        </w:rPr>
      </w:pPr>
      <w:r w:rsidRPr="00E85EDA">
        <w:rPr>
          <w:rFonts w:ascii="Century Gothic" w:eastAsia="Lucida Sans" w:hAnsi="Century Gothic"/>
          <w:sz w:val="22"/>
        </w:rPr>
        <w:t>An assignment may be cancelled in writing at any time. Unbilled retainers will be prorated to the date of cancellation and paid by PCCA so long as it is after the first retainer period. All out-of-pocket expenses incurred, but not yet billed, will also be paid by PCCA.</w:t>
      </w:r>
    </w:p>
    <w:p w14:paraId="34FA18A7" w14:textId="77777777" w:rsidR="000A31B0" w:rsidRPr="00E85EDA" w:rsidRDefault="000A31B0">
      <w:pPr>
        <w:spacing w:line="350" w:lineRule="exact"/>
        <w:rPr>
          <w:rFonts w:ascii="Century Gothic" w:eastAsia="Times New Roman" w:hAnsi="Century Gothic"/>
        </w:rPr>
      </w:pPr>
    </w:p>
    <w:p w14:paraId="79909FEC" w14:textId="77777777" w:rsidR="000A31B0" w:rsidRPr="00E85EDA" w:rsidRDefault="000A31B0">
      <w:pPr>
        <w:spacing w:line="223" w:lineRule="auto"/>
        <w:jc w:val="both"/>
        <w:rPr>
          <w:rFonts w:ascii="Century Gothic" w:eastAsia="Lucida Sans" w:hAnsi="Century Gothic"/>
          <w:sz w:val="22"/>
        </w:rPr>
      </w:pPr>
      <w:r w:rsidRPr="00E85EDA">
        <w:rPr>
          <w:rFonts w:ascii="Century Gothic" w:eastAsia="Lucida Sans" w:hAnsi="Century Gothic"/>
          <w:sz w:val="22"/>
        </w:rPr>
        <w:t xml:space="preserve">If there is a significant change to the position description or candidate skill set such that our research efforts must be refocused, then we reserve the right to negotiate an additional fee to reflect these changes. If an assignment is put on hold for over 90 </w:t>
      </w:r>
      <w:proofErr w:type="gramStart"/>
      <w:r w:rsidRPr="00E85EDA">
        <w:rPr>
          <w:rFonts w:ascii="Century Gothic" w:eastAsia="Lucida Sans" w:hAnsi="Century Gothic"/>
          <w:sz w:val="22"/>
        </w:rPr>
        <w:t>days</w:t>
      </w:r>
      <w:proofErr w:type="gramEnd"/>
      <w:r w:rsidRPr="00E85EDA">
        <w:rPr>
          <w:rFonts w:ascii="Century Gothic" w:eastAsia="Lucida Sans" w:hAnsi="Century Gothic"/>
          <w:sz w:val="22"/>
        </w:rPr>
        <w:t xml:space="preserve"> we will consider it cancelled for billing purposes and will agree to a new fee if asked to restart.</w:t>
      </w:r>
    </w:p>
    <w:p w14:paraId="3C541818" w14:textId="77777777" w:rsidR="000A31B0" w:rsidRPr="00E85EDA" w:rsidRDefault="000A31B0">
      <w:pPr>
        <w:spacing w:line="350" w:lineRule="exact"/>
        <w:rPr>
          <w:rFonts w:ascii="Century Gothic" w:eastAsia="Times New Roman" w:hAnsi="Century Gothic"/>
        </w:rPr>
      </w:pPr>
    </w:p>
    <w:p w14:paraId="012D3833" w14:textId="77777777" w:rsidR="000A31B0" w:rsidRPr="00E85EDA" w:rsidRDefault="000A31B0">
      <w:pPr>
        <w:spacing w:line="219" w:lineRule="auto"/>
        <w:jc w:val="both"/>
        <w:rPr>
          <w:rFonts w:ascii="Century Gothic" w:eastAsia="Lucida Sans" w:hAnsi="Century Gothic"/>
          <w:sz w:val="22"/>
        </w:rPr>
      </w:pPr>
      <w:r w:rsidRPr="00E85EDA">
        <w:rPr>
          <w:rFonts w:ascii="Century Gothic" w:eastAsia="Lucida Sans" w:hAnsi="Century Gothic"/>
          <w:sz w:val="22"/>
        </w:rPr>
        <w:t>In the event PCCA hires a presented candidate for another position other than the position described in the contract, during the search or within 18 months of its conclusion or cancellation, the fee for the additional hire will be 30% of total annualized first year’s gross compensation.</w:t>
      </w:r>
    </w:p>
    <w:p w14:paraId="3ED1AA16" w14:textId="77777777" w:rsidR="000A31B0" w:rsidRPr="00E85EDA" w:rsidRDefault="000A31B0">
      <w:pPr>
        <w:spacing w:line="252" w:lineRule="exact"/>
        <w:rPr>
          <w:rFonts w:ascii="Century Gothic" w:eastAsia="Times New Roman" w:hAnsi="Century Gothic"/>
        </w:rPr>
      </w:pPr>
    </w:p>
    <w:p w14:paraId="0C76D242" w14:textId="77777777" w:rsidR="000A31B0" w:rsidRPr="00E85EDA" w:rsidRDefault="000A31B0">
      <w:pPr>
        <w:numPr>
          <w:ilvl w:val="0"/>
          <w:numId w:val="8"/>
        </w:numPr>
        <w:tabs>
          <w:tab w:val="left" w:pos="720"/>
        </w:tabs>
        <w:spacing w:line="0" w:lineRule="atLeast"/>
        <w:ind w:left="720" w:hanging="720"/>
        <w:rPr>
          <w:rFonts w:ascii="Century Gothic" w:eastAsia="Lucida Sans" w:hAnsi="Century Gothic"/>
          <w:b/>
          <w:sz w:val="24"/>
        </w:rPr>
      </w:pPr>
      <w:r w:rsidRPr="00E85EDA">
        <w:rPr>
          <w:rFonts w:ascii="Century Gothic" w:eastAsia="Lucida Sans" w:hAnsi="Century Gothic"/>
          <w:b/>
          <w:sz w:val="24"/>
        </w:rPr>
        <w:t>NON-DISCLOSURE CLAUSE</w:t>
      </w:r>
    </w:p>
    <w:p w14:paraId="456CD8C3" w14:textId="77777777" w:rsidR="000A31B0" w:rsidRPr="00E85EDA" w:rsidRDefault="000A31B0">
      <w:pPr>
        <w:spacing w:line="341" w:lineRule="exact"/>
        <w:rPr>
          <w:rFonts w:ascii="Century Gothic" w:eastAsia="Times New Roman" w:hAnsi="Century Gothic"/>
        </w:rPr>
      </w:pPr>
    </w:p>
    <w:p w14:paraId="7BC47FD0" w14:textId="77777777" w:rsidR="000A31B0" w:rsidRPr="00E85EDA" w:rsidRDefault="000A31B0">
      <w:pPr>
        <w:spacing w:line="230" w:lineRule="auto"/>
        <w:jc w:val="both"/>
        <w:rPr>
          <w:rFonts w:ascii="Century Gothic" w:eastAsia="Lucida Sans" w:hAnsi="Century Gothic"/>
          <w:sz w:val="22"/>
        </w:rPr>
      </w:pPr>
      <w:r w:rsidRPr="00E85EDA">
        <w:rPr>
          <w:rFonts w:ascii="Century Gothic" w:eastAsia="Lucida Sans" w:hAnsi="Century Gothic"/>
          <w:sz w:val="22"/>
        </w:rPr>
        <w:t>Each party will not, and will ensure that its employees do not, make available or disclose to anyone other than the receiving party's employees on a “need-to-know” basis, any Confidential Information of the other party. Disclosure of the Confidential Information shall be restricted to those individuals who are participating in the proposed transaction or business relationship solely on a "need-to-know" basis and who are advised of the confidentiality of the Confidential Information and are subject to the obligation to maintain the confidentiality of such Confidential Information. Neither party shall use any Confidential Information except for the purposes expressly contemplated by the parties.</w:t>
      </w:r>
    </w:p>
    <w:p w14:paraId="3C6839A3" w14:textId="77777777" w:rsidR="000A31B0" w:rsidRPr="00E85EDA" w:rsidRDefault="000A31B0">
      <w:pPr>
        <w:spacing w:line="257" w:lineRule="exact"/>
        <w:rPr>
          <w:rFonts w:ascii="Century Gothic" w:eastAsia="Times New Roman" w:hAnsi="Century Gothic"/>
        </w:rPr>
      </w:pPr>
    </w:p>
    <w:p w14:paraId="0577EB6C" w14:textId="77777777" w:rsidR="000A31B0" w:rsidRPr="00E85EDA" w:rsidRDefault="000A31B0">
      <w:pPr>
        <w:numPr>
          <w:ilvl w:val="0"/>
          <w:numId w:val="9"/>
        </w:numPr>
        <w:tabs>
          <w:tab w:val="left" w:pos="720"/>
        </w:tabs>
        <w:spacing w:line="0" w:lineRule="atLeast"/>
        <w:ind w:left="720" w:hanging="720"/>
        <w:rPr>
          <w:rFonts w:ascii="Century Gothic" w:eastAsia="Lucida Sans" w:hAnsi="Century Gothic"/>
          <w:b/>
          <w:sz w:val="24"/>
        </w:rPr>
      </w:pPr>
      <w:r w:rsidRPr="00E85EDA">
        <w:rPr>
          <w:rFonts w:ascii="Century Gothic" w:eastAsia="Lucida Sans" w:hAnsi="Century Gothic"/>
          <w:b/>
          <w:sz w:val="24"/>
        </w:rPr>
        <w:t>SUMMARY</w:t>
      </w:r>
    </w:p>
    <w:p w14:paraId="648F5377" w14:textId="77777777" w:rsidR="000A31B0" w:rsidRPr="00E85EDA" w:rsidRDefault="000A31B0">
      <w:pPr>
        <w:spacing w:line="358" w:lineRule="exact"/>
        <w:rPr>
          <w:rFonts w:ascii="Century Gothic" w:eastAsia="Times New Roman" w:hAnsi="Century Gothic"/>
        </w:rPr>
      </w:pPr>
    </w:p>
    <w:p w14:paraId="6981F623" w14:textId="77777777" w:rsidR="000A31B0" w:rsidRPr="00E85EDA" w:rsidRDefault="000A31B0">
      <w:pPr>
        <w:spacing w:line="212" w:lineRule="auto"/>
        <w:jc w:val="both"/>
        <w:rPr>
          <w:rFonts w:ascii="Century Gothic" w:eastAsia="Lucida Sans" w:hAnsi="Century Gothic"/>
          <w:sz w:val="22"/>
        </w:rPr>
      </w:pPr>
      <w:r w:rsidRPr="00E85EDA">
        <w:rPr>
          <w:rFonts w:ascii="Century Gothic" w:eastAsia="Lucida Sans" w:hAnsi="Century Gothic"/>
          <w:sz w:val="22"/>
        </w:rPr>
        <w:t>We thank you for your trust and confidence in seeking our assistance with this critical search engagement. I know you will be traveling to DC this week and wish you a most successful trip.</w:t>
      </w:r>
    </w:p>
    <w:p w14:paraId="39CC8ADC" w14:textId="77777777" w:rsidR="000A31B0" w:rsidRPr="00E85EDA" w:rsidRDefault="000A31B0">
      <w:pPr>
        <w:spacing w:line="350" w:lineRule="exact"/>
        <w:rPr>
          <w:rFonts w:ascii="Century Gothic" w:eastAsia="Times New Roman" w:hAnsi="Century Gothic"/>
        </w:rPr>
      </w:pPr>
    </w:p>
    <w:p w14:paraId="76F7F435" w14:textId="77777777" w:rsidR="000A31B0" w:rsidRPr="00E85EDA" w:rsidRDefault="000A31B0">
      <w:pPr>
        <w:spacing w:line="219" w:lineRule="auto"/>
        <w:jc w:val="both"/>
        <w:rPr>
          <w:rFonts w:ascii="Century Gothic" w:eastAsia="Lucida Sans" w:hAnsi="Century Gothic"/>
          <w:sz w:val="22"/>
        </w:rPr>
      </w:pPr>
      <w:r w:rsidRPr="00E85EDA">
        <w:rPr>
          <w:rFonts w:ascii="Century Gothic" w:eastAsia="Lucida Sans" w:hAnsi="Century Gothic"/>
          <w:sz w:val="22"/>
        </w:rPr>
        <w:t xml:space="preserve">Please do not fail to contact us if you have any questions about this engagement letter. We have no current searches that would compete with this requirement. We highly value our </w:t>
      </w:r>
      <w:proofErr w:type="gramStart"/>
      <w:r w:rsidRPr="00E85EDA">
        <w:rPr>
          <w:rFonts w:ascii="Century Gothic" w:eastAsia="Lucida Sans" w:hAnsi="Century Gothic"/>
          <w:sz w:val="22"/>
        </w:rPr>
        <w:t>long term</w:t>
      </w:r>
      <w:proofErr w:type="gramEnd"/>
      <w:r w:rsidRPr="00E85EDA">
        <w:rPr>
          <w:rFonts w:ascii="Century Gothic" w:eastAsia="Lucida Sans" w:hAnsi="Century Gothic"/>
          <w:sz w:val="22"/>
        </w:rPr>
        <w:t xml:space="preserve"> relationship with the Port Corpus Christi Authority and appreciate your continued trust and confidence.</w:t>
      </w:r>
    </w:p>
    <w:p w14:paraId="216090BD" w14:textId="77777777" w:rsidR="000A31B0" w:rsidRPr="00E85EDA" w:rsidRDefault="000A31B0">
      <w:pPr>
        <w:spacing w:line="200" w:lineRule="exact"/>
        <w:rPr>
          <w:rFonts w:ascii="Century Gothic" w:eastAsia="Times New Roman" w:hAnsi="Century Gothic"/>
        </w:rPr>
      </w:pPr>
    </w:p>
    <w:p w14:paraId="109D6354" w14:textId="77777777" w:rsidR="000A31B0" w:rsidRPr="00E85EDA" w:rsidRDefault="000A31B0">
      <w:pPr>
        <w:spacing w:line="200" w:lineRule="exact"/>
        <w:rPr>
          <w:rFonts w:ascii="Century Gothic" w:eastAsia="Times New Roman" w:hAnsi="Century Gothic"/>
        </w:rPr>
      </w:pPr>
    </w:p>
    <w:p w14:paraId="00F837A1" w14:textId="77777777" w:rsidR="000A31B0" w:rsidRPr="00E85EDA" w:rsidRDefault="000A31B0">
      <w:pPr>
        <w:spacing w:line="0" w:lineRule="atLeast"/>
        <w:rPr>
          <w:rFonts w:ascii="Century Gothic" w:eastAsia="Lucida Sans" w:hAnsi="Century Gothic"/>
          <w:sz w:val="22"/>
        </w:rPr>
      </w:pPr>
      <w:bookmarkStart w:id="5" w:name="page8"/>
      <w:bookmarkEnd w:id="5"/>
      <w:r w:rsidRPr="00E85EDA">
        <w:rPr>
          <w:rFonts w:ascii="Century Gothic" w:eastAsia="Lucida Sans" w:hAnsi="Century Gothic"/>
          <w:sz w:val="22"/>
        </w:rPr>
        <w:t>Sincerely,</w:t>
      </w:r>
    </w:p>
    <w:p w14:paraId="4D7AD21C" w14:textId="77777777" w:rsidR="000A31B0" w:rsidRPr="00E85EDA" w:rsidRDefault="000A31B0">
      <w:pPr>
        <w:spacing w:line="20" w:lineRule="exact"/>
        <w:rPr>
          <w:rFonts w:ascii="Century Gothic" w:eastAsia="Times New Roman" w:hAnsi="Century Gothic"/>
        </w:rPr>
      </w:pPr>
    </w:p>
    <w:p w14:paraId="7BDB65F8" w14:textId="77777777" w:rsidR="000A31B0" w:rsidRPr="00E85EDA" w:rsidRDefault="000A31B0">
      <w:pPr>
        <w:spacing w:line="200" w:lineRule="exact"/>
        <w:rPr>
          <w:rFonts w:ascii="Century Gothic" w:eastAsia="Times New Roman" w:hAnsi="Century Gothic"/>
        </w:rPr>
      </w:pPr>
    </w:p>
    <w:p w14:paraId="2AE3D2AE" w14:textId="77777777"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Tim C. McNamara, K.D.</w:t>
      </w:r>
    </w:p>
    <w:p w14:paraId="01163328" w14:textId="77777777"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Vice Chairman  &amp; Partner</w:t>
      </w:r>
    </w:p>
    <w:p w14:paraId="4BB5461E" w14:textId="77777777" w:rsidR="000A31B0" w:rsidRPr="00E85EDA" w:rsidRDefault="000A31B0">
      <w:pPr>
        <w:spacing w:line="200" w:lineRule="exact"/>
        <w:rPr>
          <w:rFonts w:ascii="Century Gothic" w:eastAsia="Times New Roman" w:hAnsi="Century Gothic"/>
        </w:rPr>
      </w:pPr>
    </w:p>
    <w:p w14:paraId="044FDCC6" w14:textId="77777777" w:rsidR="000A31B0" w:rsidRPr="00E85EDA" w:rsidRDefault="000A31B0">
      <w:pPr>
        <w:spacing w:line="200" w:lineRule="exact"/>
        <w:rPr>
          <w:rFonts w:ascii="Century Gothic" w:eastAsia="Times New Roman" w:hAnsi="Century Gothic"/>
        </w:rPr>
      </w:pPr>
    </w:p>
    <w:p w14:paraId="06D537C7" w14:textId="77777777" w:rsidR="000A31B0" w:rsidRPr="00E85EDA" w:rsidRDefault="000A31B0">
      <w:pPr>
        <w:spacing w:line="209" w:lineRule="exact"/>
        <w:rPr>
          <w:rFonts w:ascii="Century Gothic" w:eastAsia="Times New Roman" w:hAnsi="Century Gothic"/>
        </w:rPr>
      </w:pPr>
    </w:p>
    <w:p w14:paraId="3CC98856" w14:textId="77777777" w:rsidR="000A31B0" w:rsidRPr="00E85EDA" w:rsidRDefault="000A31B0">
      <w:pPr>
        <w:spacing w:line="219" w:lineRule="auto"/>
        <w:jc w:val="both"/>
        <w:rPr>
          <w:rFonts w:ascii="Century Gothic" w:eastAsia="Lucida Sans" w:hAnsi="Century Gothic"/>
          <w:sz w:val="22"/>
        </w:rPr>
      </w:pPr>
      <w:r w:rsidRPr="00E85EDA">
        <w:rPr>
          <w:rFonts w:ascii="Century Gothic" w:eastAsia="Lucida Sans" w:hAnsi="Century Gothic"/>
          <w:sz w:val="22"/>
        </w:rPr>
        <w:t xml:space="preserve">Please execute this engagement document in the space below and return the original to us via e-mail, at which time this engagement letter will constitute the agreement between Odgers </w:t>
      </w:r>
      <w:proofErr w:type="spellStart"/>
      <w:r w:rsidRPr="00E85EDA">
        <w:rPr>
          <w:rFonts w:ascii="Century Gothic" w:eastAsia="Lucida Sans" w:hAnsi="Century Gothic"/>
          <w:sz w:val="22"/>
        </w:rPr>
        <w:t>Berndtson</w:t>
      </w:r>
      <w:proofErr w:type="spellEnd"/>
      <w:r w:rsidRPr="00E85EDA">
        <w:rPr>
          <w:rFonts w:ascii="Century Gothic" w:eastAsia="Lucida Sans" w:hAnsi="Century Gothic"/>
          <w:sz w:val="22"/>
        </w:rPr>
        <w:t xml:space="preserve"> and the Port Corpus Christi Authority regarding the performance of the services outlined above.</w:t>
      </w:r>
    </w:p>
    <w:p w14:paraId="1A802A2E" w14:textId="77777777" w:rsidR="00E85EDA" w:rsidRPr="00E85EDA" w:rsidRDefault="00E85EDA">
      <w:pPr>
        <w:spacing w:line="219" w:lineRule="auto"/>
        <w:jc w:val="both"/>
        <w:rPr>
          <w:rFonts w:ascii="Century Gothic" w:eastAsia="Lucida Sans" w:hAnsi="Century Gothic"/>
          <w:sz w:val="22"/>
        </w:rPr>
      </w:pPr>
    </w:p>
    <w:p w14:paraId="41DEDF82" w14:textId="77777777" w:rsidR="00E85EDA" w:rsidRPr="00E85EDA" w:rsidRDefault="00E85EDA">
      <w:pPr>
        <w:spacing w:line="219" w:lineRule="auto"/>
        <w:jc w:val="both"/>
        <w:rPr>
          <w:rFonts w:ascii="Century Gothic" w:eastAsia="Lucida Sans" w:hAnsi="Century Gothic"/>
          <w:sz w:val="22"/>
        </w:rPr>
      </w:pPr>
    </w:p>
    <w:p w14:paraId="1E314BEE" w14:textId="77777777" w:rsidR="000A31B0" w:rsidRPr="00E85EDA" w:rsidRDefault="000A31B0">
      <w:pPr>
        <w:spacing w:line="260" w:lineRule="exact"/>
        <w:rPr>
          <w:rFonts w:ascii="Century Gothic" w:eastAsia="Times New Roman" w:hAnsi="Century Gothic"/>
        </w:rPr>
      </w:pPr>
    </w:p>
    <w:p w14:paraId="643AAACC" w14:textId="77777777" w:rsidR="000A31B0" w:rsidRPr="00E85EDA" w:rsidRDefault="000A31B0">
      <w:pPr>
        <w:spacing w:line="0" w:lineRule="atLeast"/>
        <w:rPr>
          <w:rFonts w:ascii="Century Gothic" w:eastAsia="Lucida Sans" w:hAnsi="Century Gothic"/>
          <w:sz w:val="22"/>
        </w:rPr>
      </w:pPr>
      <w:r w:rsidRPr="00E85EDA">
        <w:rPr>
          <w:rFonts w:ascii="Century Gothic" w:eastAsia="Lucida Sans" w:hAnsi="Century Gothic"/>
          <w:sz w:val="22"/>
        </w:rPr>
        <w:t>Agreed to and accepted by:</w:t>
      </w:r>
    </w:p>
    <w:p w14:paraId="39B73CEF" w14:textId="77777777" w:rsidR="000A31B0" w:rsidRPr="00E85EDA" w:rsidRDefault="000A31B0">
      <w:pPr>
        <w:spacing w:line="200" w:lineRule="exact"/>
        <w:rPr>
          <w:rFonts w:ascii="Century Gothic" w:eastAsia="Times New Roman" w:hAnsi="Century Gothic"/>
        </w:rPr>
      </w:pPr>
    </w:p>
    <w:p w14:paraId="45A97B16" w14:textId="77777777" w:rsidR="000A31B0" w:rsidRPr="00E85EDA" w:rsidRDefault="000A31B0">
      <w:pPr>
        <w:spacing w:line="319" w:lineRule="exact"/>
        <w:rPr>
          <w:rFonts w:ascii="Century Gothic" w:eastAsia="Times New Roman" w:hAnsi="Century Gothic"/>
        </w:rPr>
      </w:pPr>
    </w:p>
    <w:p w14:paraId="11E3C1CD" w14:textId="77777777" w:rsidR="000A31B0" w:rsidRPr="00E85EDA" w:rsidRDefault="000A31B0">
      <w:pPr>
        <w:tabs>
          <w:tab w:val="left" w:pos="5740"/>
          <w:tab w:val="left" w:pos="8620"/>
        </w:tabs>
        <w:spacing w:line="0" w:lineRule="atLeast"/>
        <w:rPr>
          <w:rFonts w:ascii="Century Gothic" w:eastAsia="Lucida Sans" w:hAnsi="Century Gothic"/>
          <w:sz w:val="21"/>
        </w:rPr>
      </w:pPr>
      <w:r w:rsidRPr="00E85EDA">
        <w:rPr>
          <w:rFonts w:ascii="Century Gothic" w:eastAsia="Lucida Sans" w:hAnsi="Century Gothic"/>
          <w:sz w:val="22"/>
        </w:rPr>
        <w:t>By:</w:t>
      </w:r>
      <w:r w:rsidRPr="00E85EDA">
        <w:rPr>
          <w:rFonts w:ascii="Century Gothic" w:eastAsia="Times New Roman" w:hAnsi="Century Gothic"/>
        </w:rPr>
        <w:tab/>
      </w:r>
      <w:r w:rsidRPr="00E85EDA">
        <w:rPr>
          <w:rFonts w:ascii="Century Gothic" w:eastAsia="Lucida Sans" w:hAnsi="Century Gothic"/>
          <w:sz w:val="22"/>
        </w:rPr>
        <w:t>Date:</w:t>
      </w:r>
      <w:r w:rsidRPr="00E85EDA">
        <w:rPr>
          <w:rFonts w:ascii="Century Gothic" w:eastAsia="Times New Roman" w:hAnsi="Century Gothic"/>
        </w:rPr>
        <w:tab/>
      </w:r>
      <w:r w:rsidRPr="00E85EDA">
        <w:rPr>
          <w:rFonts w:ascii="Century Gothic" w:eastAsia="Lucida Sans" w:hAnsi="Century Gothic"/>
          <w:sz w:val="21"/>
        </w:rPr>
        <w:t>,20</w:t>
      </w:r>
      <w:r w:rsidR="00E85EDA">
        <w:rPr>
          <w:rFonts w:ascii="Century Gothic" w:eastAsia="Lucida Sans" w:hAnsi="Century Gothic"/>
          <w:sz w:val="21"/>
        </w:rPr>
        <w:t>XX</w:t>
      </w:r>
    </w:p>
    <w:p w14:paraId="698EA1E6" w14:textId="67CE3017" w:rsidR="000A31B0" w:rsidRPr="00E85EDA" w:rsidRDefault="00260C65">
      <w:pPr>
        <w:spacing w:line="20" w:lineRule="exact"/>
        <w:rPr>
          <w:rFonts w:ascii="Century Gothic" w:eastAsia="Times New Roman" w:hAnsi="Century Gothic"/>
        </w:rPr>
      </w:pPr>
      <w:r w:rsidRPr="00E85EDA">
        <w:rPr>
          <w:rFonts w:ascii="Century Gothic" w:eastAsia="Lucida Sans" w:hAnsi="Century Gothic"/>
          <w:noProof/>
          <w:sz w:val="21"/>
        </w:rPr>
        <mc:AlternateContent>
          <mc:Choice Requires="wps">
            <w:drawing>
              <wp:anchor distT="0" distB="0" distL="114300" distR="114300" simplePos="0" relativeHeight="251659264" behindDoc="1" locked="0" layoutInCell="1" allowOverlap="1" wp14:anchorId="381239D1" wp14:editId="4450B8CC">
                <wp:simplePos x="0" y="0"/>
                <wp:positionH relativeFrom="column">
                  <wp:posOffset>198120</wp:posOffset>
                </wp:positionH>
                <wp:positionV relativeFrom="paragraph">
                  <wp:posOffset>44450</wp:posOffset>
                </wp:positionV>
                <wp:extent cx="2545080" cy="0"/>
                <wp:effectExtent l="7620" t="6985" r="9525" b="1206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DCB91"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5pt" to="3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RssAEAAEgDAAAOAAAAZHJzL2Uyb0RvYy54bWysU8Fu2zAMvQ/YPwi6L3aCNei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" strokeweight=".48pt"/>
            </w:pict>
          </mc:Fallback>
        </mc:AlternateContent>
      </w:r>
      <w:r w:rsidRPr="00E85EDA">
        <w:rPr>
          <w:rFonts w:ascii="Century Gothic" w:eastAsia="Lucida Sans" w:hAnsi="Century Gothic"/>
          <w:noProof/>
          <w:sz w:val="21"/>
        </w:rPr>
        <mc:AlternateContent>
          <mc:Choice Requires="wps">
            <w:drawing>
              <wp:anchor distT="0" distB="0" distL="114300" distR="114300" simplePos="0" relativeHeight="251660288" behindDoc="1" locked="0" layoutInCell="1" allowOverlap="1" wp14:anchorId="2E40CB69" wp14:editId="03275727">
                <wp:simplePos x="0" y="0"/>
                <wp:positionH relativeFrom="column">
                  <wp:posOffset>4015105</wp:posOffset>
                </wp:positionH>
                <wp:positionV relativeFrom="paragraph">
                  <wp:posOffset>44450</wp:posOffset>
                </wp:positionV>
                <wp:extent cx="1870075" cy="0"/>
                <wp:effectExtent l="5080" t="6985" r="10795"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A01BA"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5pt,3.5pt" to="46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" strokeweight=".48pt"/>
            </w:pict>
          </mc:Fallback>
        </mc:AlternateContent>
      </w:r>
    </w:p>
    <w:sectPr w:rsidR="000A31B0" w:rsidRPr="00E85EDA" w:rsidSect="0078102B">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5344EC44">
      <w:start w:val="1"/>
      <w:numFmt w:val="upperLetter"/>
      <w:lvlText w:val="%1."/>
      <w:lvlJc w:val="left"/>
    </w:lvl>
    <w:lvl w:ilvl="1" w:tplc="8AF20FEA">
      <w:start w:val="1"/>
      <w:numFmt w:val="bullet"/>
      <w:lvlText w:val=""/>
      <w:lvlJc w:val="left"/>
    </w:lvl>
    <w:lvl w:ilvl="2" w:tplc="D5F6B558">
      <w:start w:val="1"/>
      <w:numFmt w:val="bullet"/>
      <w:lvlText w:val=""/>
      <w:lvlJc w:val="left"/>
    </w:lvl>
    <w:lvl w:ilvl="3" w:tplc="A2342230">
      <w:start w:val="1"/>
      <w:numFmt w:val="bullet"/>
      <w:lvlText w:val=""/>
      <w:lvlJc w:val="left"/>
    </w:lvl>
    <w:lvl w:ilvl="4" w:tplc="02AE0566">
      <w:start w:val="1"/>
      <w:numFmt w:val="bullet"/>
      <w:lvlText w:val=""/>
      <w:lvlJc w:val="left"/>
    </w:lvl>
    <w:lvl w:ilvl="5" w:tplc="60CCF6AA">
      <w:start w:val="1"/>
      <w:numFmt w:val="bullet"/>
      <w:lvlText w:val=""/>
      <w:lvlJc w:val="left"/>
    </w:lvl>
    <w:lvl w:ilvl="6" w:tplc="6F822FF8">
      <w:start w:val="1"/>
      <w:numFmt w:val="bullet"/>
      <w:lvlText w:val=""/>
      <w:lvlJc w:val="left"/>
    </w:lvl>
    <w:lvl w:ilvl="7" w:tplc="8E4C7068">
      <w:start w:val="1"/>
      <w:numFmt w:val="bullet"/>
      <w:lvlText w:val=""/>
      <w:lvlJc w:val="left"/>
    </w:lvl>
    <w:lvl w:ilvl="8" w:tplc="A6708198">
      <w:start w:val="1"/>
      <w:numFmt w:val="bullet"/>
      <w:lvlText w:val=""/>
      <w:lvlJc w:val="left"/>
    </w:lvl>
  </w:abstractNum>
  <w:abstractNum w:abstractNumId="1" w15:restartNumberingAfterBreak="0">
    <w:nsid w:val="00000002"/>
    <w:multiLevelType w:val="hybridMultilevel"/>
    <w:tmpl w:val="3D1B58BA"/>
    <w:lvl w:ilvl="0" w:tplc="2FF41D3C">
      <w:start w:val="2"/>
      <w:numFmt w:val="upperLetter"/>
      <w:lvlText w:val="%1."/>
      <w:lvlJc w:val="left"/>
    </w:lvl>
    <w:lvl w:ilvl="1" w:tplc="03C04DF4">
      <w:start w:val="1"/>
      <w:numFmt w:val="bullet"/>
      <w:lvlText w:val=""/>
      <w:lvlJc w:val="left"/>
    </w:lvl>
    <w:lvl w:ilvl="2" w:tplc="0B10A590">
      <w:start w:val="1"/>
      <w:numFmt w:val="bullet"/>
      <w:lvlText w:val=""/>
      <w:lvlJc w:val="left"/>
    </w:lvl>
    <w:lvl w:ilvl="3" w:tplc="396680A6">
      <w:start w:val="1"/>
      <w:numFmt w:val="bullet"/>
      <w:lvlText w:val=""/>
      <w:lvlJc w:val="left"/>
    </w:lvl>
    <w:lvl w:ilvl="4" w:tplc="D8E2F762">
      <w:start w:val="1"/>
      <w:numFmt w:val="bullet"/>
      <w:lvlText w:val=""/>
      <w:lvlJc w:val="left"/>
    </w:lvl>
    <w:lvl w:ilvl="5" w:tplc="2D4AE11C">
      <w:start w:val="1"/>
      <w:numFmt w:val="bullet"/>
      <w:lvlText w:val=""/>
      <w:lvlJc w:val="left"/>
    </w:lvl>
    <w:lvl w:ilvl="6" w:tplc="AB50C662">
      <w:start w:val="1"/>
      <w:numFmt w:val="bullet"/>
      <w:lvlText w:val=""/>
      <w:lvlJc w:val="left"/>
    </w:lvl>
    <w:lvl w:ilvl="7" w:tplc="1E400256">
      <w:start w:val="1"/>
      <w:numFmt w:val="bullet"/>
      <w:lvlText w:val=""/>
      <w:lvlJc w:val="left"/>
    </w:lvl>
    <w:lvl w:ilvl="8" w:tplc="D464AB8A">
      <w:start w:val="1"/>
      <w:numFmt w:val="bullet"/>
      <w:lvlText w:val=""/>
      <w:lvlJc w:val="left"/>
    </w:lvl>
  </w:abstractNum>
  <w:abstractNum w:abstractNumId="2" w15:restartNumberingAfterBreak="0">
    <w:nsid w:val="00000003"/>
    <w:multiLevelType w:val="hybridMultilevel"/>
    <w:tmpl w:val="507ED7AA"/>
    <w:lvl w:ilvl="0" w:tplc="54ACD822">
      <w:start w:val="1"/>
      <w:numFmt w:val="lowerLetter"/>
      <w:lvlText w:val="%1)"/>
      <w:lvlJc w:val="left"/>
    </w:lvl>
    <w:lvl w:ilvl="1" w:tplc="08D078F6">
      <w:start w:val="1"/>
      <w:numFmt w:val="bullet"/>
      <w:lvlText w:val=""/>
      <w:lvlJc w:val="left"/>
    </w:lvl>
    <w:lvl w:ilvl="2" w:tplc="D736B1D6">
      <w:start w:val="1"/>
      <w:numFmt w:val="bullet"/>
      <w:lvlText w:val=""/>
      <w:lvlJc w:val="left"/>
    </w:lvl>
    <w:lvl w:ilvl="3" w:tplc="F45E467C">
      <w:start w:val="1"/>
      <w:numFmt w:val="bullet"/>
      <w:lvlText w:val=""/>
      <w:lvlJc w:val="left"/>
    </w:lvl>
    <w:lvl w:ilvl="4" w:tplc="6D2CC95E">
      <w:start w:val="1"/>
      <w:numFmt w:val="bullet"/>
      <w:lvlText w:val=""/>
      <w:lvlJc w:val="left"/>
    </w:lvl>
    <w:lvl w:ilvl="5" w:tplc="C4405804">
      <w:start w:val="1"/>
      <w:numFmt w:val="bullet"/>
      <w:lvlText w:val=""/>
      <w:lvlJc w:val="left"/>
    </w:lvl>
    <w:lvl w:ilvl="6" w:tplc="2862AE6A">
      <w:start w:val="1"/>
      <w:numFmt w:val="bullet"/>
      <w:lvlText w:val=""/>
      <w:lvlJc w:val="left"/>
    </w:lvl>
    <w:lvl w:ilvl="7" w:tplc="A874DD6C">
      <w:start w:val="1"/>
      <w:numFmt w:val="bullet"/>
      <w:lvlText w:val=""/>
      <w:lvlJc w:val="left"/>
    </w:lvl>
    <w:lvl w:ilvl="8" w:tplc="FE2474B8">
      <w:start w:val="1"/>
      <w:numFmt w:val="bullet"/>
      <w:lvlText w:val=""/>
      <w:lvlJc w:val="left"/>
    </w:lvl>
  </w:abstractNum>
  <w:abstractNum w:abstractNumId="3" w15:restartNumberingAfterBreak="0">
    <w:nsid w:val="00000004"/>
    <w:multiLevelType w:val="hybridMultilevel"/>
    <w:tmpl w:val="2EB141F2"/>
    <w:lvl w:ilvl="0" w:tplc="05A6123E">
      <w:start w:val="3"/>
      <w:numFmt w:val="upperLetter"/>
      <w:lvlText w:val="%1."/>
      <w:lvlJc w:val="left"/>
    </w:lvl>
    <w:lvl w:ilvl="1" w:tplc="3B2C6478">
      <w:start w:val="1"/>
      <w:numFmt w:val="bullet"/>
      <w:lvlText w:val=""/>
      <w:lvlJc w:val="left"/>
    </w:lvl>
    <w:lvl w:ilvl="2" w:tplc="E430A5D2">
      <w:start w:val="1"/>
      <w:numFmt w:val="bullet"/>
      <w:lvlText w:val=""/>
      <w:lvlJc w:val="left"/>
    </w:lvl>
    <w:lvl w:ilvl="3" w:tplc="E236E2FE">
      <w:start w:val="1"/>
      <w:numFmt w:val="bullet"/>
      <w:lvlText w:val=""/>
      <w:lvlJc w:val="left"/>
    </w:lvl>
    <w:lvl w:ilvl="4" w:tplc="DF16DDDE">
      <w:start w:val="1"/>
      <w:numFmt w:val="bullet"/>
      <w:lvlText w:val=""/>
      <w:lvlJc w:val="left"/>
    </w:lvl>
    <w:lvl w:ilvl="5" w:tplc="46047318">
      <w:start w:val="1"/>
      <w:numFmt w:val="bullet"/>
      <w:lvlText w:val=""/>
      <w:lvlJc w:val="left"/>
    </w:lvl>
    <w:lvl w:ilvl="6" w:tplc="EF043146">
      <w:start w:val="1"/>
      <w:numFmt w:val="bullet"/>
      <w:lvlText w:val=""/>
      <w:lvlJc w:val="left"/>
    </w:lvl>
    <w:lvl w:ilvl="7" w:tplc="C0E0CF10">
      <w:start w:val="1"/>
      <w:numFmt w:val="bullet"/>
      <w:lvlText w:val=""/>
      <w:lvlJc w:val="left"/>
    </w:lvl>
    <w:lvl w:ilvl="8" w:tplc="3E88782C">
      <w:start w:val="1"/>
      <w:numFmt w:val="bullet"/>
      <w:lvlText w:val=""/>
      <w:lvlJc w:val="left"/>
    </w:lvl>
  </w:abstractNum>
  <w:abstractNum w:abstractNumId="4" w15:restartNumberingAfterBreak="0">
    <w:nsid w:val="00000005"/>
    <w:multiLevelType w:val="hybridMultilevel"/>
    <w:tmpl w:val="41B71EFA"/>
    <w:lvl w:ilvl="0" w:tplc="4EF8FEB4">
      <w:start w:val="4"/>
      <w:numFmt w:val="upperLetter"/>
      <w:lvlText w:val="%1."/>
      <w:lvlJc w:val="left"/>
    </w:lvl>
    <w:lvl w:ilvl="1" w:tplc="E3EC6DE2">
      <w:start w:val="1"/>
      <w:numFmt w:val="bullet"/>
      <w:lvlText w:val=""/>
      <w:lvlJc w:val="left"/>
    </w:lvl>
    <w:lvl w:ilvl="2" w:tplc="E23A4E04">
      <w:start w:val="1"/>
      <w:numFmt w:val="bullet"/>
      <w:lvlText w:val=""/>
      <w:lvlJc w:val="left"/>
    </w:lvl>
    <w:lvl w:ilvl="3" w:tplc="633A3B0A">
      <w:start w:val="1"/>
      <w:numFmt w:val="bullet"/>
      <w:lvlText w:val=""/>
      <w:lvlJc w:val="left"/>
    </w:lvl>
    <w:lvl w:ilvl="4" w:tplc="4C6056B6">
      <w:start w:val="1"/>
      <w:numFmt w:val="bullet"/>
      <w:lvlText w:val=""/>
      <w:lvlJc w:val="left"/>
    </w:lvl>
    <w:lvl w:ilvl="5" w:tplc="FF8A007E">
      <w:start w:val="1"/>
      <w:numFmt w:val="bullet"/>
      <w:lvlText w:val=""/>
      <w:lvlJc w:val="left"/>
    </w:lvl>
    <w:lvl w:ilvl="6" w:tplc="481A6862">
      <w:start w:val="1"/>
      <w:numFmt w:val="bullet"/>
      <w:lvlText w:val=""/>
      <w:lvlJc w:val="left"/>
    </w:lvl>
    <w:lvl w:ilvl="7" w:tplc="0AEC3FBE">
      <w:start w:val="1"/>
      <w:numFmt w:val="bullet"/>
      <w:lvlText w:val=""/>
      <w:lvlJc w:val="left"/>
    </w:lvl>
    <w:lvl w:ilvl="8" w:tplc="BD60B16C">
      <w:start w:val="1"/>
      <w:numFmt w:val="bullet"/>
      <w:lvlText w:val=""/>
      <w:lvlJc w:val="left"/>
    </w:lvl>
  </w:abstractNum>
  <w:abstractNum w:abstractNumId="5" w15:restartNumberingAfterBreak="0">
    <w:nsid w:val="00000006"/>
    <w:multiLevelType w:val="hybridMultilevel"/>
    <w:tmpl w:val="79E2A9E2"/>
    <w:lvl w:ilvl="0" w:tplc="E1BEBE90">
      <w:start w:val="5"/>
      <w:numFmt w:val="upperLetter"/>
      <w:lvlText w:val="%1."/>
      <w:lvlJc w:val="left"/>
    </w:lvl>
    <w:lvl w:ilvl="1" w:tplc="15CC9738">
      <w:start w:val="1"/>
      <w:numFmt w:val="bullet"/>
      <w:lvlText w:val=""/>
      <w:lvlJc w:val="left"/>
    </w:lvl>
    <w:lvl w:ilvl="2" w:tplc="B002D554">
      <w:start w:val="1"/>
      <w:numFmt w:val="bullet"/>
      <w:lvlText w:val=""/>
      <w:lvlJc w:val="left"/>
    </w:lvl>
    <w:lvl w:ilvl="3" w:tplc="6DC22A26">
      <w:start w:val="1"/>
      <w:numFmt w:val="bullet"/>
      <w:lvlText w:val=""/>
      <w:lvlJc w:val="left"/>
    </w:lvl>
    <w:lvl w:ilvl="4" w:tplc="67F24A68">
      <w:start w:val="1"/>
      <w:numFmt w:val="bullet"/>
      <w:lvlText w:val=""/>
      <w:lvlJc w:val="left"/>
    </w:lvl>
    <w:lvl w:ilvl="5" w:tplc="0A301870">
      <w:start w:val="1"/>
      <w:numFmt w:val="bullet"/>
      <w:lvlText w:val=""/>
      <w:lvlJc w:val="left"/>
    </w:lvl>
    <w:lvl w:ilvl="6" w:tplc="D4F07176">
      <w:start w:val="1"/>
      <w:numFmt w:val="bullet"/>
      <w:lvlText w:val=""/>
      <w:lvlJc w:val="left"/>
    </w:lvl>
    <w:lvl w:ilvl="7" w:tplc="42C609A4">
      <w:start w:val="1"/>
      <w:numFmt w:val="bullet"/>
      <w:lvlText w:val=""/>
      <w:lvlJc w:val="left"/>
    </w:lvl>
    <w:lvl w:ilvl="8" w:tplc="5136EB16">
      <w:start w:val="1"/>
      <w:numFmt w:val="bullet"/>
      <w:lvlText w:val=""/>
      <w:lvlJc w:val="left"/>
    </w:lvl>
  </w:abstractNum>
  <w:abstractNum w:abstractNumId="6" w15:restartNumberingAfterBreak="0">
    <w:nsid w:val="00000007"/>
    <w:multiLevelType w:val="hybridMultilevel"/>
    <w:tmpl w:val="7545E146"/>
    <w:lvl w:ilvl="0" w:tplc="4260CF6C">
      <w:start w:val="1"/>
      <w:numFmt w:val="lowerLetter"/>
      <w:lvlText w:val="%1)"/>
      <w:lvlJc w:val="left"/>
    </w:lvl>
    <w:lvl w:ilvl="1" w:tplc="FF60A6EC">
      <w:start w:val="1"/>
      <w:numFmt w:val="bullet"/>
      <w:lvlText w:val=""/>
      <w:lvlJc w:val="left"/>
    </w:lvl>
    <w:lvl w:ilvl="2" w:tplc="45EE44E6">
      <w:start w:val="1"/>
      <w:numFmt w:val="bullet"/>
      <w:lvlText w:val=""/>
      <w:lvlJc w:val="left"/>
    </w:lvl>
    <w:lvl w:ilvl="3" w:tplc="779CFC1C">
      <w:start w:val="1"/>
      <w:numFmt w:val="bullet"/>
      <w:lvlText w:val=""/>
      <w:lvlJc w:val="left"/>
    </w:lvl>
    <w:lvl w:ilvl="4" w:tplc="5CE2A3F2">
      <w:start w:val="1"/>
      <w:numFmt w:val="bullet"/>
      <w:lvlText w:val=""/>
      <w:lvlJc w:val="left"/>
    </w:lvl>
    <w:lvl w:ilvl="5" w:tplc="0F82758A">
      <w:start w:val="1"/>
      <w:numFmt w:val="bullet"/>
      <w:lvlText w:val=""/>
      <w:lvlJc w:val="left"/>
    </w:lvl>
    <w:lvl w:ilvl="6" w:tplc="8B6886EE">
      <w:start w:val="1"/>
      <w:numFmt w:val="bullet"/>
      <w:lvlText w:val=""/>
      <w:lvlJc w:val="left"/>
    </w:lvl>
    <w:lvl w:ilvl="7" w:tplc="FBCA2980">
      <w:start w:val="1"/>
      <w:numFmt w:val="bullet"/>
      <w:lvlText w:val=""/>
      <w:lvlJc w:val="left"/>
    </w:lvl>
    <w:lvl w:ilvl="8" w:tplc="825EEE24">
      <w:start w:val="1"/>
      <w:numFmt w:val="bullet"/>
      <w:lvlText w:val=""/>
      <w:lvlJc w:val="left"/>
    </w:lvl>
  </w:abstractNum>
  <w:abstractNum w:abstractNumId="7" w15:restartNumberingAfterBreak="0">
    <w:nsid w:val="00000008"/>
    <w:multiLevelType w:val="hybridMultilevel"/>
    <w:tmpl w:val="515F007C"/>
    <w:lvl w:ilvl="0" w:tplc="736C7B66">
      <w:start w:val="6"/>
      <w:numFmt w:val="upperLetter"/>
      <w:lvlText w:val="%1."/>
      <w:lvlJc w:val="left"/>
    </w:lvl>
    <w:lvl w:ilvl="1" w:tplc="938CD236">
      <w:start w:val="1"/>
      <w:numFmt w:val="bullet"/>
      <w:lvlText w:val=""/>
      <w:lvlJc w:val="left"/>
    </w:lvl>
    <w:lvl w:ilvl="2" w:tplc="07BE52CE">
      <w:start w:val="1"/>
      <w:numFmt w:val="bullet"/>
      <w:lvlText w:val=""/>
      <w:lvlJc w:val="left"/>
    </w:lvl>
    <w:lvl w:ilvl="3" w:tplc="22E4EDF0">
      <w:start w:val="1"/>
      <w:numFmt w:val="bullet"/>
      <w:lvlText w:val=""/>
      <w:lvlJc w:val="left"/>
    </w:lvl>
    <w:lvl w:ilvl="4" w:tplc="B0646B82">
      <w:start w:val="1"/>
      <w:numFmt w:val="bullet"/>
      <w:lvlText w:val=""/>
      <w:lvlJc w:val="left"/>
    </w:lvl>
    <w:lvl w:ilvl="5" w:tplc="BE788D34">
      <w:start w:val="1"/>
      <w:numFmt w:val="bullet"/>
      <w:lvlText w:val=""/>
      <w:lvlJc w:val="left"/>
    </w:lvl>
    <w:lvl w:ilvl="6" w:tplc="8D4C1D22">
      <w:start w:val="1"/>
      <w:numFmt w:val="bullet"/>
      <w:lvlText w:val=""/>
      <w:lvlJc w:val="left"/>
    </w:lvl>
    <w:lvl w:ilvl="7" w:tplc="FFC4C81C">
      <w:start w:val="1"/>
      <w:numFmt w:val="bullet"/>
      <w:lvlText w:val=""/>
      <w:lvlJc w:val="left"/>
    </w:lvl>
    <w:lvl w:ilvl="8" w:tplc="52CA699E">
      <w:start w:val="1"/>
      <w:numFmt w:val="bullet"/>
      <w:lvlText w:val=""/>
      <w:lvlJc w:val="left"/>
    </w:lvl>
  </w:abstractNum>
  <w:abstractNum w:abstractNumId="8" w15:restartNumberingAfterBreak="0">
    <w:nsid w:val="00000009"/>
    <w:multiLevelType w:val="hybridMultilevel"/>
    <w:tmpl w:val="5BD062C2"/>
    <w:lvl w:ilvl="0" w:tplc="6B8C3812">
      <w:start w:val="7"/>
      <w:numFmt w:val="upperLetter"/>
      <w:lvlText w:val="%1."/>
      <w:lvlJc w:val="left"/>
    </w:lvl>
    <w:lvl w:ilvl="1" w:tplc="87F2C80C">
      <w:start w:val="1"/>
      <w:numFmt w:val="bullet"/>
      <w:lvlText w:val=""/>
      <w:lvlJc w:val="left"/>
    </w:lvl>
    <w:lvl w:ilvl="2" w:tplc="0630B30A">
      <w:start w:val="1"/>
      <w:numFmt w:val="bullet"/>
      <w:lvlText w:val=""/>
      <w:lvlJc w:val="left"/>
    </w:lvl>
    <w:lvl w:ilvl="3" w:tplc="0C624870">
      <w:start w:val="1"/>
      <w:numFmt w:val="bullet"/>
      <w:lvlText w:val=""/>
      <w:lvlJc w:val="left"/>
    </w:lvl>
    <w:lvl w:ilvl="4" w:tplc="628CEE4A">
      <w:start w:val="1"/>
      <w:numFmt w:val="bullet"/>
      <w:lvlText w:val=""/>
      <w:lvlJc w:val="left"/>
    </w:lvl>
    <w:lvl w:ilvl="5" w:tplc="27180618">
      <w:start w:val="1"/>
      <w:numFmt w:val="bullet"/>
      <w:lvlText w:val=""/>
      <w:lvlJc w:val="left"/>
    </w:lvl>
    <w:lvl w:ilvl="6" w:tplc="3AC89B4E">
      <w:start w:val="1"/>
      <w:numFmt w:val="bullet"/>
      <w:lvlText w:val=""/>
      <w:lvlJc w:val="left"/>
    </w:lvl>
    <w:lvl w:ilvl="7" w:tplc="75444640">
      <w:start w:val="1"/>
      <w:numFmt w:val="bullet"/>
      <w:lvlText w:val=""/>
      <w:lvlJc w:val="left"/>
    </w:lvl>
    <w:lvl w:ilvl="8" w:tplc="69E04376">
      <w:start w:val="1"/>
      <w:numFmt w:val="bullet"/>
      <w:lvlText w:val=""/>
      <w:lvlJc w:val="left"/>
    </w:lvl>
  </w:abstractNum>
  <w:num w:numId="1" w16cid:durableId="556474381">
    <w:abstractNumId w:val="0"/>
  </w:num>
  <w:num w:numId="2" w16cid:durableId="1405031267">
    <w:abstractNumId w:val="1"/>
  </w:num>
  <w:num w:numId="3" w16cid:durableId="1936787658">
    <w:abstractNumId w:val="2"/>
  </w:num>
  <w:num w:numId="4" w16cid:durableId="1468935758">
    <w:abstractNumId w:val="3"/>
  </w:num>
  <w:num w:numId="5" w16cid:durableId="728117263">
    <w:abstractNumId w:val="4"/>
  </w:num>
  <w:num w:numId="6" w16cid:durableId="2061199154">
    <w:abstractNumId w:val="5"/>
  </w:num>
  <w:num w:numId="7" w16cid:durableId="837036439">
    <w:abstractNumId w:val="6"/>
  </w:num>
  <w:num w:numId="8" w16cid:durableId="891700015">
    <w:abstractNumId w:val="7"/>
  </w:num>
  <w:num w:numId="9" w16cid:durableId="5024801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DA"/>
    <w:rsid w:val="000A31B0"/>
    <w:rsid w:val="00260C65"/>
    <w:rsid w:val="0078102B"/>
    <w:rsid w:val="00E8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DD7ED"/>
  <w15:chartTrackingRefBased/>
  <w15:docId w15:val="{BBD92135-69D0-4311-A2D9-949114BD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2022-06-22T17:22:00Z</dcterms:created>
  <dcterms:modified xsi:type="dcterms:W3CDTF">2022-06-22T17:54:00Z</dcterms:modified>
</cp:coreProperties>
</file>