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53A127" w14:textId="77777777" w:rsidR="00CC1A3C" w:rsidRDefault="002016BD" w:rsidP="002016BD">
      <w:pPr>
        <w:spacing w:line="276" w:lineRule="auto"/>
        <w:ind w:right="200"/>
        <w:jc w:val="center"/>
        <w:rPr>
          <w:rFonts w:ascii="Century Gothic" w:eastAsia="Arial" w:hAnsi="Century Gothic"/>
          <w:b/>
          <w:bCs/>
          <w:sz w:val="36"/>
          <w:szCs w:val="36"/>
          <w:u w:val="single"/>
        </w:rPr>
      </w:pPr>
      <w:r w:rsidRPr="002016BD">
        <w:rPr>
          <w:rFonts w:ascii="Century Gothic" w:eastAsia="Arial" w:hAnsi="Century Gothic"/>
          <w:b/>
          <w:bCs/>
          <w:sz w:val="36"/>
          <w:szCs w:val="36"/>
          <w:u w:val="single"/>
        </w:rPr>
        <w:t>VC TERM SHEET</w:t>
      </w:r>
    </w:p>
    <w:p w14:paraId="1F5A1F20" w14:textId="77777777" w:rsidR="002016BD" w:rsidRPr="00F50A29" w:rsidRDefault="002016BD" w:rsidP="002016BD">
      <w:pPr>
        <w:spacing w:line="276" w:lineRule="auto"/>
        <w:ind w:right="200"/>
        <w:jc w:val="center"/>
        <w:rPr>
          <w:rFonts w:ascii="Century Gothic" w:eastAsia="Arial" w:hAnsi="Century Gothic"/>
          <w:b/>
          <w:bCs/>
          <w:sz w:val="36"/>
          <w:szCs w:val="36"/>
          <w:u w:val="single"/>
        </w:rPr>
      </w:pPr>
    </w:p>
    <w:p w14:paraId="5F68CCD0" w14:textId="77777777" w:rsidR="00CC1A3C" w:rsidRPr="002016BD" w:rsidRDefault="00E962D4" w:rsidP="002016BD">
      <w:pPr>
        <w:spacing w:line="276" w:lineRule="auto"/>
        <w:rPr>
          <w:rFonts w:ascii="Century Gothic" w:eastAsia="Arial" w:hAnsi="Century Gothic"/>
          <w:sz w:val="24"/>
          <w:szCs w:val="24"/>
        </w:rPr>
      </w:pPr>
      <w:r w:rsidRPr="002016BD">
        <w:rPr>
          <w:rFonts w:ascii="Century Gothic" w:eastAsia="Arial" w:hAnsi="Century Gothic"/>
          <w:sz w:val="24"/>
          <w:szCs w:val="24"/>
        </w:rPr>
        <w:t>Between</w:t>
      </w:r>
      <w:r w:rsidR="002016BD" w:rsidRPr="002016BD">
        <w:rPr>
          <w:rFonts w:ascii="Century Gothic" w:eastAsia="Arial" w:hAnsi="Century Gothic"/>
          <w:sz w:val="24"/>
          <w:szCs w:val="24"/>
        </w:rPr>
        <w:t xml:space="preserve"> </w:t>
      </w:r>
      <w:r w:rsidRPr="002016BD">
        <w:rPr>
          <w:rFonts w:ascii="Century Gothic" w:eastAsia="Arial" w:hAnsi="Century Gothic"/>
          <w:sz w:val="24"/>
          <w:szCs w:val="24"/>
        </w:rPr>
        <w:t>[Investors] ("Investors")</w:t>
      </w:r>
      <w:r w:rsidR="002016BD" w:rsidRPr="002016BD">
        <w:rPr>
          <w:rFonts w:ascii="Century Gothic" w:eastAsia="Arial" w:hAnsi="Century Gothic"/>
          <w:sz w:val="24"/>
          <w:szCs w:val="24"/>
        </w:rPr>
        <w:t xml:space="preserve"> A</w:t>
      </w:r>
      <w:r w:rsidRPr="002016BD">
        <w:rPr>
          <w:rFonts w:ascii="Century Gothic" w:eastAsia="Arial" w:hAnsi="Century Gothic"/>
          <w:sz w:val="24"/>
          <w:szCs w:val="24"/>
        </w:rPr>
        <w:t>nd</w:t>
      </w:r>
      <w:r w:rsidR="002016BD" w:rsidRPr="002016BD">
        <w:rPr>
          <w:rFonts w:ascii="Century Gothic" w:eastAsia="Arial" w:hAnsi="Century Gothic"/>
          <w:sz w:val="24"/>
          <w:szCs w:val="24"/>
        </w:rPr>
        <w:t xml:space="preserve"> </w:t>
      </w:r>
      <w:r w:rsidRPr="002016BD">
        <w:rPr>
          <w:rFonts w:ascii="Century Gothic" w:eastAsia="Arial" w:hAnsi="Century Gothic"/>
          <w:sz w:val="24"/>
          <w:szCs w:val="24"/>
        </w:rPr>
        <w:t>[Founders] ("Founders")</w:t>
      </w:r>
      <w:r w:rsidR="002016BD" w:rsidRPr="002016BD">
        <w:rPr>
          <w:rFonts w:ascii="Century Gothic" w:eastAsia="Arial" w:hAnsi="Century Gothic"/>
          <w:sz w:val="24"/>
          <w:szCs w:val="24"/>
        </w:rPr>
        <w:t xml:space="preserve"> (</w:t>
      </w:r>
      <w:r w:rsidRPr="002016BD">
        <w:rPr>
          <w:rFonts w:ascii="Century Gothic" w:eastAsia="Arial" w:hAnsi="Century Gothic"/>
          <w:sz w:val="24"/>
          <w:szCs w:val="24"/>
        </w:rPr>
        <w:t>The Investors and the Founders are jointly referred to as the “Shareholders”)</w:t>
      </w:r>
      <w:r w:rsidR="002016BD" w:rsidRPr="002016BD">
        <w:rPr>
          <w:rFonts w:ascii="Century Gothic" w:eastAsia="Arial" w:hAnsi="Century Gothic"/>
          <w:sz w:val="24"/>
          <w:szCs w:val="24"/>
        </w:rPr>
        <w:t xml:space="preserve"> </w:t>
      </w:r>
      <w:r w:rsidRPr="002016BD">
        <w:rPr>
          <w:rFonts w:ascii="Century Gothic" w:eastAsia="Arial" w:hAnsi="Century Gothic"/>
          <w:sz w:val="24"/>
          <w:szCs w:val="24"/>
        </w:rPr>
        <w:t>and</w:t>
      </w:r>
      <w:r w:rsidR="002016BD" w:rsidRPr="002016BD">
        <w:rPr>
          <w:rFonts w:ascii="Century Gothic" w:eastAsia="Arial" w:hAnsi="Century Gothic"/>
          <w:sz w:val="24"/>
          <w:szCs w:val="24"/>
        </w:rPr>
        <w:t xml:space="preserve"> </w:t>
      </w:r>
      <w:r w:rsidRPr="002016BD">
        <w:rPr>
          <w:rFonts w:ascii="Century Gothic" w:eastAsia="Arial" w:hAnsi="Century Gothic"/>
          <w:sz w:val="24"/>
          <w:szCs w:val="24"/>
        </w:rPr>
        <w:t>[The Company] ("Company")</w:t>
      </w:r>
    </w:p>
    <w:p w14:paraId="52863E9F" w14:textId="77777777" w:rsidR="00CC1A3C" w:rsidRPr="002016BD" w:rsidRDefault="00E962D4" w:rsidP="002016BD">
      <w:pPr>
        <w:spacing w:line="276" w:lineRule="auto"/>
        <w:rPr>
          <w:rFonts w:ascii="Century Gothic" w:eastAsia="Arial" w:hAnsi="Century Gothic"/>
          <w:sz w:val="24"/>
          <w:szCs w:val="24"/>
        </w:rPr>
      </w:pPr>
      <w:r w:rsidRPr="002016BD">
        <w:rPr>
          <w:rFonts w:ascii="Century Gothic" w:eastAsia="Arial" w:hAnsi="Century Gothic"/>
          <w:sz w:val="24"/>
          <w:szCs w:val="24"/>
        </w:rPr>
        <w:t>(The Investors, the Founders and (where applicable) the Company are jointly referred to as the “Parties”)</w:t>
      </w:r>
    </w:p>
    <w:p w14:paraId="031D4BA8" w14:textId="77777777" w:rsidR="00CC1A3C" w:rsidRPr="002016BD" w:rsidRDefault="00CC1A3C" w:rsidP="002016BD">
      <w:pPr>
        <w:spacing w:line="276" w:lineRule="auto"/>
        <w:rPr>
          <w:rFonts w:ascii="Century Gothic" w:eastAsia="Times New Roman" w:hAnsi="Century Gothic"/>
          <w:sz w:val="24"/>
        </w:rPr>
      </w:pPr>
    </w:p>
    <w:p w14:paraId="15EC231B" w14:textId="77777777" w:rsidR="00CC1A3C" w:rsidRPr="001F03A0" w:rsidRDefault="00E962D4" w:rsidP="00F50A29">
      <w:pPr>
        <w:numPr>
          <w:ilvl w:val="0"/>
          <w:numId w:val="1"/>
        </w:numPr>
        <w:spacing w:line="276" w:lineRule="auto"/>
        <w:ind w:left="360" w:right="-160" w:hanging="360"/>
        <w:rPr>
          <w:rFonts w:ascii="Century Gothic" w:eastAsia="Arial" w:hAnsi="Century Gothic"/>
          <w:b/>
          <w:bCs/>
          <w:sz w:val="28"/>
          <w:szCs w:val="28"/>
        </w:rPr>
      </w:pPr>
      <w:r w:rsidRPr="002016BD">
        <w:rPr>
          <w:rFonts w:ascii="Century Gothic" w:eastAsia="Arial" w:hAnsi="Century Gothic"/>
          <w:b/>
          <w:bCs/>
          <w:sz w:val="28"/>
          <w:szCs w:val="28"/>
        </w:rPr>
        <w:t>The Investment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12"/>
        <w:gridCol w:w="1380"/>
        <w:gridCol w:w="7678"/>
      </w:tblGrid>
      <w:tr w:rsidR="00DF4FFD" w:rsidRPr="001556AB" w14:paraId="04255245" w14:textId="77777777" w:rsidTr="00F50A29">
        <w:trPr>
          <w:trHeight w:val="578"/>
        </w:trPr>
        <w:tc>
          <w:tcPr>
            <w:tcW w:w="416" w:type="pct"/>
            <w:shd w:val="clear" w:color="auto" w:fill="auto"/>
            <w:vAlign w:val="center"/>
          </w:tcPr>
          <w:p w14:paraId="1F0B89B2" w14:textId="77777777" w:rsidR="00DF4FFD" w:rsidRPr="001556AB" w:rsidRDefault="00DF4FFD" w:rsidP="00F50A29">
            <w:pPr>
              <w:spacing w:line="276" w:lineRule="auto"/>
              <w:ind w:right="15"/>
              <w:jc w:val="center"/>
              <w:rPr>
                <w:rFonts w:ascii="Century Gothic" w:eastAsia="Arial" w:hAnsi="Century Gothic"/>
                <w:b/>
                <w:w w:val="84"/>
              </w:rPr>
            </w:pPr>
            <w:r w:rsidRPr="001556AB">
              <w:rPr>
                <w:rFonts w:ascii="Century Gothic" w:eastAsia="Arial" w:hAnsi="Century Gothic"/>
                <w:b/>
                <w:w w:val="84"/>
              </w:rPr>
              <w:t>1.</w:t>
            </w:r>
          </w:p>
        </w:tc>
        <w:tc>
          <w:tcPr>
            <w:tcW w:w="514" w:type="pct"/>
            <w:shd w:val="clear" w:color="auto" w:fill="auto"/>
            <w:vAlign w:val="center"/>
          </w:tcPr>
          <w:p w14:paraId="18AE35B4" w14:textId="77777777" w:rsidR="00DF4FFD" w:rsidRPr="001556AB" w:rsidRDefault="00DF4FFD" w:rsidP="00DF4FFD">
            <w:pPr>
              <w:spacing w:line="276" w:lineRule="auto"/>
              <w:ind w:left="120"/>
              <w:rPr>
                <w:rFonts w:ascii="Century Gothic" w:eastAsia="Arial" w:hAnsi="Century Gothic"/>
                <w:b/>
              </w:rPr>
            </w:pPr>
            <w:r w:rsidRPr="001556AB">
              <w:rPr>
                <w:rFonts w:ascii="Century Gothic" w:eastAsia="Arial" w:hAnsi="Century Gothic"/>
                <w:b/>
              </w:rPr>
              <w:t>Investment</w:t>
            </w:r>
          </w:p>
          <w:p w14:paraId="6E4EEB2B" w14:textId="77777777" w:rsidR="00DF4FFD" w:rsidRPr="001556AB" w:rsidRDefault="00DF4FFD" w:rsidP="00DF4FFD">
            <w:pPr>
              <w:spacing w:line="276" w:lineRule="auto"/>
              <w:ind w:left="120"/>
              <w:rPr>
                <w:rFonts w:ascii="Century Gothic" w:eastAsia="Arial" w:hAnsi="Century Gothic"/>
                <w:b/>
              </w:rPr>
            </w:pPr>
            <w:r w:rsidRPr="001556AB">
              <w:rPr>
                <w:rFonts w:ascii="Century Gothic" w:eastAsia="Arial" w:hAnsi="Century Gothic"/>
                <w:b/>
              </w:rPr>
              <w:t>amount:</w:t>
            </w:r>
          </w:p>
        </w:tc>
        <w:tc>
          <w:tcPr>
            <w:tcW w:w="4070" w:type="pct"/>
            <w:shd w:val="clear" w:color="auto" w:fill="auto"/>
            <w:vAlign w:val="center"/>
          </w:tcPr>
          <w:p w14:paraId="64A0B3F9" w14:textId="77777777" w:rsidR="00DF4FFD" w:rsidRPr="001556AB" w:rsidRDefault="00DF4FFD" w:rsidP="00DF4FFD">
            <w:pPr>
              <w:spacing w:line="276" w:lineRule="auto"/>
              <w:ind w:left="180"/>
              <w:rPr>
                <w:rFonts w:ascii="Century Gothic" w:eastAsia="Arial" w:hAnsi="Century Gothic"/>
              </w:rPr>
            </w:pPr>
            <w:r w:rsidRPr="001556AB">
              <w:rPr>
                <w:rFonts w:ascii="Century Gothic" w:eastAsia="Arial" w:hAnsi="Century Gothic"/>
              </w:rPr>
              <w:t>[Total amount.] ("Investment")</w:t>
            </w:r>
          </w:p>
        </w:tc>
      </w:tr>
      <w:tr w:rsidR="00DF4FFD" w:rsidRPr="001556AB" w14:paraId="221DDC45" w14:textId="77777777" w:rsidTr="00F50A29">
        <w:trPr>
          <w:trHeight w:val="3602"/>
        </w:trPr>
        <w:tc>
          <w:tcPr>
            <w:tcW w:w="416" w:type="pct"/>
            <w:shd w:val="clear" w:color="auto" w:fill="auto"/>
            <w:vAlign w:val="center"/>
          </w:tcPr>
          <w:p w14:paraId="26D1C961" w14:textId="77777777" w:rsidR="00DF4FFD" w:rsidRPr="001556AB" w:rsidRDefault="00DF4FFD" w:rsidP="00F50A29">
            <w:pPr>
              <w:spacing w:line="276" w:lineRule="auto"/>
              <w:ind w:right="15"/>
              <w:jc w:val="center"/>
              <w:rPr>
                <w:rFonts w:ascii="Century Gothic" w:eastAsia="Arial" w:hAnsi="Century Gothic"/>
                <w:b/>
                <w:w w:val="84"/>
              </w:rPr>
            </w:pPr>
            <w:r w:rsidRPr="001556AB">
              <w:rPr>
                <w:rFonts w:ascii="Century Gothic" w:eastAsia="Arial" w:hAnsi="Century Gothic"/>
                <w:b/>
                <w:w w:val="84"/>
              </w:rPr>
              <w:t>2.</w:t>
            </w:r>
          </w:p>
        </w:tc>
        <w:tc>
          <w:tcPr>
            <w:tcW w:w="514" w:type="pct"/>
            <w:shd w:val="clear" w:color="auto" w:fill="auto"/>
            <w:vAlign w:val="center"/>
          </w:tcPr>
          <w:p w14:paraId="59275D70" w14:textId="77777777" w:rsidR="00DF4FFD" w:rsidRPr="001556AB" w:rsidRDefault="00DF4FFD" w:rsidP="00DF4FFD">
            <w:pPr>
              <w:spacing w:line="276" w:lineRule="auto"/>
              <w:ind w:left="120"/>
              <w:rPr>
                <w:rFonts w:ascii="Century Gothic" w:eastAsia="Arial" w:hAnsi="Century Gothic"/>
                <w:b/>
              </w:rPr>
            </w:pPr>
            <w:r w:rsidRPr="001556AB">
              <w:rPr>
                <w:rFonts w:ascii="Century Gothic" w:eastAsia="Arial" w:hAnsi="Century Gothic"/>
                <w:b/>
              </w:rPr>
              <w:t>Pre-money</w:t>
            </w:r>
          </w:p>
          <w:p w14:paraId="56386B4D" w14:textId="77777777" w:rsidR="00DF4FFD" w:rsidRPr="001556AB" w:rsidRDefault="00DF4FFD" w:rsidP="00DF4FFD">
            <w:pPr>
              <w:spacing w:line="276" w:lineRule="auto"/>
              <w:ind w:left="120"/>
              <w:rPr>
                <w:rFonts w:ascii="Century Gothic" w:eastAsia="Arial" w:hAnsi="Century Gothic"/>
                <w:b/>
              </w:rPr>
            </w:pPr>
            <w:r w:rsidRPr="001556AB">
              <w:rPr>
                <w:rFonts w:ascii="Century Gothic" w:eastAsia="Arial" w:hAnsi="Century Gothic"/>
                <w:b/>
              </w:rPr>
              <w:t>valuation:</w:t>
            </w:r>
          </w:p>
        </w:tc>
        <w:tc>
          <w:tcPr>
            <w:tcW w:w="4070" w:type="pct"/>
            <w:shd w:val="clear" w:color="auto" w:fill="auto"/>
            <w:vAlign w:val="center"/>
          </w:tcPr>
          <w:p w14:paraId="4D794C1A" w14:textId="28829050" w:rsidR="00DF4FFD" w:rsidRPr="001556AB" w:rsidRDefault="00DF4FFD" w:rsidP="00DF4FFD">
            <w:pPr>
              <w:spacing w:line="276" w:lineRule="auto"/>
              <w:ind w:left="180"/>
              <w:rPr>
                <w:rFonts w:ascii="Century Gothic" w:eastAsia="Arial" w:hAnsi="Century Gothic"/>
                <w:vertAlign w:val="superscript"/>
              </w:rPr>
            </w:pPr>
            <w:r w:rsidRPr="001556AB">
              <w:rPr>
                <w:rFonts w:ascii="Century Gothic" w:eastAsia="Arial" w:hAnsi="Century Gothic"/>
              </w:rPr>
              <w:t>[Amount.]</w:t>
            </w:r>
          </w:p>
          <w:p w14:paraId="41696733" w14:textId="77777777" w:rsidR="00DF4FFD" w:rsidRPr="001556AB" w:rsidRDefault="00DF4FFD" w:rsidP="00DF4FFD">
            <w:pPr>
              <w:spacing w:line="276" w:lineRule="auto"/>
              <w:ind w:left="180"/>
              <w:rPr>
                <w:rFonts w:ascii="Century Gothic" w:eastAsia="Arial" w:hAnsi="Century Gothic"/>
              </w:rPr>
            </w:pPr>
            <w:r w:rsidRPr="001556AB">
              <w:rPr>
                <w:rFonts w:ascii="Century Gothic" w:eastAsia="Arial" w:hAnsi="Century Gothic"/>
              </w:rPr>
              <w:t xml:space="preserve">The pre-money valuation (fully diluted, including incentive </w:t>
            </w:r>
            <w:proofErr w:type="spellStart"/>
            <w:r w:rsidRPr="001556AB">
              <w:rPr>
                <w:rFonts w:ascii="Century Gothic" w:eastAsia="Arial" w:hAnsi="Century Gothic"/>
              </w:rPr>
              <w:t>programme</w:t>
            </w:r>
            <w:proofErr w:type="spellEnd"/>
            <w:r w:rsidRPr="001556AB">
              <w:rPr>
                <w:rFonts w:ascii="Century Gothic" w:eastAsia="Arial" w:hAnsi="Century Gothic"/>
              </w:rPr>
              <w:t>(s) mentioned in clause 12,</w:t>
            </w:r>
          </w:p>
          <w:p w14:paraId="03A8DCA2" w14:textId="77777777" w:rsidR="00DF4FFD" w:rsidRPr="001556AB" w:rsidRDefault="00DF4FFD" w:rsidP="00DF4FFD">
            <w:pPr>
              <w:spacing w:line="276" w:lineRule="auto"/>
              <w:ind w:left="180"/>
              <w:rPr>
                <w:rFonts w:ascii="Century Gothic" w:eastAsia="Arial" w:hAnsi="Century Gothic"/>
              </w:rPr>
            </w:pPr>
            <w:r w:rsidRPr="001556AB">
              <w:rPr>
                <w:rFonts w:ascii="Century Gothic" w:eastAsia="Arial" w:hAnsi="Century Gothic"/>
              </w:rPr>
              <w:t xml:space="preserve">and fully converted) and the consequential pricing terms of the preference shares is subject </w:t>
            </w:r>
            <w:proofErr w:type="spellStart"/>
            <w:r w:rsidRPr="001556AB">
              <w:rPr>
                <w:rFonts w:ascii="Century Gothic" w:eastAsia="Arial" w:hAnsi="Century Gothic"/>
              </w:rPr>
              <w:t>to</w:t>
            </w:r>
            <w:r w:rsidRPr="001556AB">
              <w:rPr>
                <w:rFonts w:ascii="Century Gothic" w:eastAsia="Arial" w:hAnsi="Century Gothic"/>
                <w:w w:val="99"/>
              </w:rPr>
              <w:t>satisfactory</w:t>
            </w:r>
            <w:proofErr w:type="spellEnd"/>
            <w:r w:rsidRPr="001556AB">
              <w:rPr>
                <w:rFonts w:ascii="Century Gothic" w:eastAsia="Arial" w:hAnsi="Century Gothic"/>
                <w:w w:val="99"/>
              </w:rPr>
              <w:t xml:space="preserve"> due diligence and no material adverse change occurring in respect of the Company from</w:t>
            </w:r>
          </w:p>
          <w:p w14:paraId="0024E2CF" w14:textId="77777777" w:rsidR="00DF4FFD" w:rsidRPr="001556AB" w:rsidRDefault="00DF4FFD" w:rsidP="00DF4FFD">
            <w:pPr>
              <w:spacing w:line="276" w:lineRule="auto"/>
              <w:ind w:left="180"/>
              <w:rPr>
                <w:rFonts w:ascii="Century Gothic" w:eastAsia="Arial" w:hAnsi="Century Gothic"/>
              </w:rPr>
            </w:pPr>
            <w:proofErr w:type="gramStart"/>
            <w:r w:rsidRPr="001556AB">
              <w:rPr>
                <w:rFonts w:ascii="Century Gothic" w:eastAsia="Arial" w:hAnsi="Century Gothic"/>
              </w:rPr>
              <w:t>the  date</w:t>
            </w:r>
            <w:proofErr w:type="gramEnd"/>
            <w:r w:rsidRPr="001556AB">
              <w:rPr>
                <w:rFonts w:ascii="Century Gothic" w:eastAsia="Arial" w:hAnsi="Century Gothic"/>
              </w:rPr>
              <w:t xml:space="preserve">  of  signature  by  all  Parties  of  this  Term  Sheet  until  the  date  of  the  signing  of  final shareholders’  and  investment  agreements  by  the  Parties  (“Signing”)  and  the  execution  of  all transactions contemplated in said agreements (“Closing”).</w:t>
            </w:r>
          </w:p>
        </w:tc>
      </w:tr>
      <w:tr w:rsidR="00DF4FFD" w:rsidRPr="001556AB" w14:paraId="410F5429" w14:textId="77777777" w:rsidTr="00F50A29">
        <w:trPr>
          <w:trHeight w:val="1555"/>
        </w:trPr>
        <w:tc>
          <w:tcPr>
            <w:tcW w:w="416" w:type="pct"/>
            <w:shd w:val="clear" w:color="auto" w:fill="auto"/>
            <w:vAlign w:val="center"/>
          </w:tcPr>
          <w:p w14:paraId="6E97F7F7" w14:textId="77777777" w:rsidR="00DF4FFD" w:rsidRPr="001556AB" w:rsidRDefault="00DF4FFD" w:rsidP="00F50A29">
            <w:pPr>
              <w:spacing w:line="276" w:lineRule="auto"/>
              <w:ind w:right="15"/>
              <w:jc w:val="center"/>
              <w:rPr>
                <w:rFonts w:ascii="Century Gothic" w:eastAsia="Arial" w:hAnsi="Century Gothic"/>
                <w:b/>
                <w:w w:val="84"/>
              </w:rPr>
            </w:pPr>
            <w:r w:rsidRPr="001556AB">
              <w:rPr>
                <w:rFonts w:ascii="Century Gothic" w:eastAsia="Arial" w:hAnsi="Century Gothic"/>
                <w:b/>
                <w:w w:val="84"/>
              </w:rPr>
              <w:t>3.</w:t>
            </w:r>
          </w:p>
        </w:tc>
        <w:tc>
          <w:tcPr>
            <w:tcW w:w="514" w:type="pct"/>
            <w:shd w:val="clear" w:color="auto" w:fill="auto"/>
            <w:vAlign w:val="center"/>
          </w:tcPr>
          <w:p w14:paraId="5710B019" w14:textId="77777777" w:rsidR="00DF4FFD" w:rsidRPr="001556AB" w:rsidRDefault="00DF4FFD" w:rsidP="00DF4FFD">
            <w:pPr>
              <w:spacing w:line="276" w:lineRule="auto"/>
              <w:ind w:left="120"/>
              <w:rPr>
                <w:rFonts w:ascii="Century Gothic" w:eastAsia="Arial" w:hAnsi="Century Gothic"/>
                <w:b/>
              </w:rPr>
            </w:pPr>
            <w:r w:rsidRPr="001556AB">
              <w:rPr>
                <w:rFonts w:ascii="Century Gothic" w:eastAsia="Arial" w:hAnsi="Century Gothic"/>
                <w:b/>
              </w:rPr>
              <w:t>Company</w:t>
            </w:r>
          </w:p>
          <w:p w14:paraId="3640822E" w14:textId="77777777" w:rsidR="00DF4FFD" w:rsidRPr="001556AB" w:rsidRDefault="00DF4FFD" w:rsidP="00DF4FFD">
            <w:pPr>
              <w:spacing w:line="276" w:lineRule="auto"/>
              <w:ind w:left="120"/>
              <w:rPr>
                <w:rFonts w:ascii="Century Gothic" w:eastAsia="Arial" w:hAnsi="Century Gothic"/>
                <w:b/>
              </w:rPr>
            </w:pPr>
            <w:r w:rsidRPr="001556AB">
              <w:rPr>
                <w:rFonts w:ascii="Century Gothic" w:eastAsia="Arial" w:hAnsi="Century Gothic"/>
                <w:b/>
              </w:rPr>
              <w:t>structure prior</w:t>
            </w:r>
          </w:p>
          <w:p w14:paraId="63CEE30B" w14:textId="77777777" w:rsidR="00DF4FFD" w:rsidRPr="001556AB" w:rsidRDefault="00DF4FFD" w:rsidP="00DF4FFD">
            <w:pPr>
              <w:spacing w:line="276" w:lineRule="auto"/>
              <w:ind w:left="120"/>
              <w:rPr>
                <w:rFonts w:ascii="Century Gothic" w:eastAsia="Arial" w:hAnsi="Century Gothic"/>
                <w:b/>
              </w:rPr>
            </w:pPr>
            <w:r w:rsidRPr="001556AB">
              <w:rPr>
                <w:rFonts w:ascii="Century Gothic" w:eastAsia="Arial" w:hAnsi="Century Gothic"/>
                <w:b/>
              </w:rPr>
              <w:t>to Investment:</w:t>
            </w:r>
          </w:p>
        </w:tc>
        <w:tc>
          <w:tcPr>
            <w:tcW w:w="4070" w:type="pct"/>
            <w:shd w:val="clear" w:color="auto" w:fill="auto"/>
            <w:vAlign w:val="center"/>
          </w:tcPr>
          <w:p w14:paraId="12E91004" w14:textId="77777777" w:rsidR="00DF4FFD" w:rsidRPr="001556AB" w:rsidRDefault="00DF4FFD" w:rsidP="00DF4FFD">
            <w:pPr>
              <w:spacing w:line="276" w:lineRule="auto"/>
              <w:ind w:left="180"/>
              <w:rPr>
                <w:rFonts w:ascii="Century Gothic" w:eastAsia="Arial" w:hAnsi="Century Gothic"/>
              </w:rPr>
            </w:pPr>
            <w:r w:rsidRPr="001556AB">
              <w:rPr>
                <w:rFonts w:ascii="Century Gothic" w:eastAsia="Arial" w:hAnsi="Century Gothic"/>
              </w:rPr>
              <w:t>Share classes, warrants etc.</w:t>
            </w:r>
          </w:p>
          <w:p w14:paraId="121815F7" w14:textId="77777777" w:rsidR="00DF4FFD" w:rsidRPr="001556AB" w:rsidRDefault="00DF4FFD" w:rsidP="00DF4FFD">
            <w:pPr>
              <w:spacing w:line="276" w:lineRule="auto"/>
              <w:ind w:left="180"/>
              <w:rPr>
                <w:rFonts w:ascii="Century Gothic" w:eastAsia="Arial" w:hAnsi="Century Gothic"/>
              </w:rPr>
            </w:pPr>
            <w:r w:rsidRPr="001556AB">
              <w:rPr>
                <w:rFonts w:ascii="Century Gothic" w:eastAsia="Arial" w:hAnsi="Century Gothic"/>
              </w:rPr>
              <w:t>Pre-Investment cap table. If later tranches have been agreed pre-money valuation may vary in such tranches.</w:t>
            </w:r>
          </w:p>
        </w:tc>
      </w:tr>
      <w:tr w:rsidR="00DF4FFD" w:rsidRPr="001556AB" w14:paraId="39847F6C" w14:textId="77777777" w:rsidTr="00F50A29">
        <w:trPr>
          <w:trHeight w:val="1555"/>
        </w:trPr>
        <w:tc>
          <w:tcPr>
            <w:tcW w:w="416" w:type="pct"/>
            <w:shd w:val="clear" w:color="auto" w:fill="auto"/>
            <w:vAlign w:val="center"/>
          </w:tcPr>
          <w:p w14:paraId="041C81EA" w14:textId="77777777" w:rsidR="00DF4FFD" w:rsidRPr="001556AB" w:rsidRDefault="00DF4FFD" w:rsidP="00F50A29">
            <w:pPr>
              <w:spacing w:line="276" w:lineRule="auto"/>
              <w:jc w:val="center"/>
              <w:rPr>
                <w:rFonts w:ascii="Century Gothic" w:eastAsia="Times New Roman" w:hAnsi="Century Gothic"/>
              </w:rPr>
            </w:pPr>
          </w:p>
          <w:p w14:paraId="54B09964" w14:textId="77777777" w:rsidR="00DF4FFD" w:rsidRPr="001556AB" w:rsidRDefault="00DF4FFD" w:rsidP="00F50A29">
            <w:pPr>
              <w:spacing w:line="276" w:lineRule="auto"/>
              <w:ind w:right="15"/>
              <w:jc w:val="center"/>
              <w:rPr>
                <w:rFonts w:ascii="Century Gothic" w:eastAsia="Arial" w:hAnsi="Century Gothic"/>
                <w:b/>
                <w:w w:val="84"/>
              </w:rPr>
            </w:pPr>
            <w:r w:rsidRPr="001556AB">
              <w:rPr>
                <w:rFonts w:ascii="Century Gothic" w:eastAsia="Arial" w:hAnsi="Century Gothic"/>
                <w:b/>
              </w:rPr>
              <w:t>4.</w:t>
            </w:r>
          </w:p>
        </w:tc>
        <w:tc>
          <w:tcPr>
            <w:tcW w:w="514" w:type="pct"/>
            <w:shd w:val="clear" w:color="auto" w:fill="auto"/>
            <w:vAlign w:val="center"/>
          </w:tcPr>
          <w:p w14:paraId="15F971B0" w14:textId="77777777" w:rsidR="00DF4FFD" w:rsidRPr="001556AB" w:rsidRDefault="00DF4FFD" w:rsidP="00DF4FFD">
            <w:pPr>
              <w:spacing w:line="276" w:lineRule="auto"/>
              <w:ind w:left="120"/>
              <w:rPr>
                <w:rFonts w:ascii="Century Gothic" w:eastAsia="Arial" w:hAnsi="Century Gothic"/>
                <w:b/>
              </w:rPr>
            </w:pPr>
            <w:r w:rsidRPr="001556AB">
              <w:rPr>
                <w:rFonts w:ascii="Century Gothic" w:eastAsia="Arial" w:hAnsi="Century Gothic"/>
                <w:b/>
              </w:rPr>
              <w:t>Investment</w:t>
            </w:r>
          </w:p>
        </w:tc>
        <w:tc>
          <w:tcPr>
            <w:tcW w:w="4070" w:type="pct"/>
            <w:shd w:val="clear" w:color="auto" w:fill="auto"/>
            <w:vAlign w:val="center"/>
          </w:tcPr>
          <w:p w14:paraId="1D8B370B" w14:textId="77777777" w:rsidR="00DF4FFD" w:rsidRPr="001556AB" w:rsidRDefault="00DF4FFD" w:rsidP="00DF4FFD">
            <w:pPr>
              <w:tabs>
                <w:tab w:val="left" w:pos="61"/>
              </w:tabs>
              <w:spacing w:line="276" w:lineRule="auto"/>
              <w:ind w:left="45" w:right="500"/>
              <w:rPr>
                <w:rFonts w:ascii="Century Gothic" w:eastAsia="Arial" w:hAnsi="Century Gothic"/>
                <w:b/>
              </w:rPr>
            </w:pPr>
            <w:r w:rsidRPr="001556AB">
              <w:rPr>
                <w:rFonts w:ascii="Century Gothic" w:eastAsia="Arial" w:hAnsi="Century Gothic"/>
              </w:rPr>
              <w:t>Whether the Investment is comprised of one or more tranches ("Tranche 1", "Tranche 2", etc.)</w:t>
            </w:r>
            <w:r w:rsidRPr="001556AB">
              <w:rPr>
                <w:rFonts w:ascii="Century Gothic" w:eastAsia="Arial" w:hAnsi="Century Gothic"/>
                <w:b/>
              </w:rPr>
              <w:t xml:space="preserve"> structure, type of securities </w:t>
            </w:r>
            <w:r w:rsidRPr="001556AB">
              <w:rPr>
                <w:rFonts w:ascii="Century Gothic" w:eastAsia="Arial" w:hAnsi="Century Gothic"/>
              </w:rPr>
              <w:t>Subscription price for Tranche 1 ("Subscription Price 1"), Tranche 2 ("Subscription Price 2"), etc.</w:t>
            </w:r>
            <w:r w:rsidRPr="001556AB">
              <w:rPr>
                <w:rFonts w:ascii="Century Gothic" w:eastAsia="Arial" w:hAnsi="Century Gothic"/>
                <w:b/>
              </w:rPr>
              <w:t xml:space="preserve"> and subscription </w:t>
            </w:r>
            <w:r w:rsidRPr="001556AB">
              <w:rPr>
                <w:rFonts w:ascii="Century Gothic" w:eastAsia="Arial" w:hAnsi="Century Gothic"/>
              </w:rPr>
              <w:t xml:space="preserve">Whether payment of Tranche 2 etc. is subject to the Company’s fulfilment in due time of Milestones. </w:t>
            </w:r>
            <w:r w:rsidRPr="001556AB">
              <w:rPr>
                <w:rFonts w:ascii="Century Gothic" w:eastAsia="Arial" w:hAnsi="Century Gothic"/>
                <w:b/>
              </w:rPr>
              <w:t>prices:</w:t>
            </w:r>
          </w:p>
          <w:p w14:paraId="00CB6D21" w14:textId="77777777" w:rsidR="00DF4FFD" w:rsidRPr="001556AB" w:rsidRDefault="00DF4FFD" w:rsidP="00DF4FFD">
            <w:pPr>
              <w:tabs>
                <w:tab w:val="left" w:pos="61"/>
              </w:tabs>
              <w:spacing w:line="276" w:lineRule="auto"/>
              <w:ind w:left="45"/>
              <w:rPr>
                <w:rFonts w:ascii="Century Gothic" w:eastAsia="Arial" w:hAnsi="Century Gothic"/>
              </w:rPr>
            </w:pPr>
            <w:r w:rsidRPr="001556AB">
              <w:rPr>
                <w:rFonts w:ascii="Century Gothic" w:eastAsia="Arial" w:hAnsi="Century Gothic"/>
              </w:rPr>
              <w:t>Whether a new class of shares is issued and the main terms of such shares, see below.</w:t>
            </w:r>
          </w:p>
          <w:p w14:paraId="17262D15" w14:textId="77777777" w:rsidR="00DF4FFD" w:rsidRPr="001556AB" w:rsidRDefault="00DF4FFD" w:rsidP="00DF4FFD">
            <w:pPr>
              <w:tabs>
                <w:tab w:val="left" w:pos="61"/>
              </w:tabs>
              <w:spacing w:line="276" w:lineRule="auto"/>
              <w:ind w:left="45"/>
              <w:rPr>
                <w:rFonts w:ascii="Century Gothic" w:eastAsia="Arial" w:hAnsi="Century Gothic"/>
              </w:rPr>
            </w:pPr>
            <w:r w:rsidRPr="001556AB">
              <w:rPr>
                <w:rFonts w:ascii="Century Gothic" w:eastAsia="Arial" w:hAnsi="Century Gothic"/>
              </w:rPr>
              <w:t>Whether convertible loans are issued.</w:t>
            </w:r>
          </w:p>
          <w:p w14:paraId="2E9C4AE9" w14:textId="77777777" w:rsidR="00DF4FFD" w:rsidRPr="001556AB" w:rsidRDefault="00DF4FFD" w:rsidP="00DF4FFD">
            <w:pPr>
              <w:tabs>
                <w:tab w:val="left" w:pos="61"/>
              </w:tabs>
              <w:spacing w:line="276" w:lineRule="auto"/>
              <w:ind w:left="45"/>
              <w:rPr>
                <w:rFonts w:ascii="Century Gothic" w:eastAsia="Arial" w:hAnsi="Century Gothic"/>
              </w:rPr>
            </w:pPr>
            <w:r w:rsidRPr="001556AB">
              <w:rPr>
                <w:rFonts w:ascii="Century Gothic" w:eastAsia="Arial" w:hAnsi="Century Gothic"/>
              </w:rPr>
              <w:t>If convertible loans are issued:</w:t>
            </w:r>
          </w:p>
          <w:p w14:paraId="3CF2882D" w14:textId="77777777" w:rsidR="00DF4FFD" w:rsidRPr="001556AB" w:rsidRDefault="00DF4FFD" w:rsidP="00DF4FFD">
            <w:pPr>
              <w:tabs>
                <w:tab w:val="left" w:pos="61"/>
              </w:tabs>
              <w:spacing w:line="276" w:lineRule="auto"/>
              <w:ind w:left="45" w:right="80"/>
              <w:rPr>
                <w:rFonts w:ascii="Century Gothic" w:eastAsia="Arial" w:hAnsi="Century Gothic"/>
              </w:rPr>
            </w:pPr>
            <w:r w:rsidRPr="001556AB">
              <w:rPr>
                <w:rFonts w:ascii="Century Gothic" w:eastAsia="Arial" w:hAnsi="Century Gothic"/>
              </w:rPr>
              <w:t>The convertible loan shall include terms regarding interest, conversion price, adjustments in the event of increases of the share capital of the Company below market price etc., [anti-dilution rights], right to convert prior to a Liquidity Event etc., see below.</w:t>
            </w:r>
          </w:p>
          <w:p w14:paraId="3F5EF908" w14:textId="77777777" w:rsidR="00DF4FFD" w:rsidRPr="001556AB" w:rsidRDefault="00DF4FFD" w:rsidP="00DF4FFD">
            <w:pPr>
              <w:tabs>
                <w:tab w:val="left" w:pos="61"/>
              </w:tabs>
              <w:spacing w:line="276" w:lineRule="auto"/>
              <w:ind w:left="45"/>
              <w:rPr>
                <w:rFonts w:ascii="Century Gothic" w:eastAsia="Arial" w:hAnsi="Century Gothic"/>
              </w:rPr>
            </w:pPr>
            <w:r w:rsidRPr="001556AB">
              <w:rPr>
                <w:rFonts w:ascii="Century Gothic" w:eastAsia="Arial" w:hAnsi="Century Gothic"/>
              </w:rPr>
              <w:t>Post-Investment cap table.</w:t>
            </w:r>
          </w:p>
        </w:tc>
      </w:tr>
      <w:tr w:rsidR="00DF4FFD" w:rsidRPr="001556AB" w14:paraId="7F73E306" w14:textId="77777777" w:rsidTr="00F50A29">
        <w:trPr>
          <w:trHeight w:val="1555"/>
        </w:trPr>
        <w:tc>
          <w:tcPr>
            <w:tcW w:w="416" w:type="pct"/>
            <w:shd w:val="clear" w:color="auto" w:fill="auto"/>
            <w:vAlign w:val="center"/>
          </w:tcPr>
          <w:p w14:paraId="2B193212" w14:textId="77777777" w:rsidR="00DF4FFD" w:rsidRPr="001556AB" w:rsidRDefault="00DF4FFD" w:rsidP="00F50A29">
            <w:pPr>
              <w:spacing w:line="276" w:lineRule="auto"/>
              <w:jc w:val="center"/>
              <w:rPr>
                <w:rFonts w:ascii="Century Gothic" w:eastAsia="Times New Roman" w:hAnsi="Century Gothic"/>
              </w:rPr>
            </w:pPr>
            <w:r w:rsidRPr="001556AB">
              <w:rPr>
                <w:rFonts w:ascii="Century Gothic" w:eastAsia="Times New Roman" w:hAnsi="Century Gothic"/>
                <w:b/>
                <w:bCs/>
              </w:rPr>
              <w:lastRenderedPageBreak/>
              <w:t>5.</w:t>
            </w:r>
          </w:p>
        </w:tc>
        <w:tc>
          <w:tcPr>
            <w:tcW w:w="514" w:type="pct"/>
            <w:shd w:val="clear" w:color="auto" w:fill="auto"/>
            <w:vAlign w:val="center"/>
          </w:tcPr>
          <w:p w14:paraId="00A29C3B" w14:textId="77777777" w:rsidR="00DF4FFD" w:rsidRPr="001556AB" w:rsidRDefault="00DF4FFD" w:rsidP="00DF4FFD">
            <w:pPr>
              <w:spacing w:line="276" w:lineRule="auto"/>
              <w:rPr>
                <w:rFonts w:ascii="Century Gothic" w:eastAsia="Arial" w:hAnsi="Century Gothic"/>
                <w:b/>
              </w:rPr>
            </w:pPr>
            <w:r w:rsidRPr="001556AB">
              <w:rPr>
                <w:rFonts w:ascii="Century Gothic" w:eastAsia="Arial" w:hAnsi="Century Gothic"/>
                <w:b/>
              </w:rPr>
              <w:t xml:space="preserve"> Milestones</w:t>
            </w:r>
          </w:p>
        </w:tc>
        <w:tc>
          <w:tcPr>
            <w:tcW w:w="4070" w:type="pct"/>
            <w:shd w:val="clear" w:color="auto" w:fill="auto"/>
            <w:vAlign w:val="center"/>
          </w:tcPr>
          <w:p w14:paraId="7950460B" w14:textId="77777777" w:rsidR="00DF4FFD" w:rsidRPr="001556AB" w:rsidRDefault="00DF4FFD" w:rsidP="00DF4FFD">
            <w:pPr>
              <w:numPr>
                <w:ilvl w:val="0"/>
                <w:numId w:val="2"/>
              </w:numPr>
              <w:spacing w:line="276" w:lineRule="auto"/>
              <w:ind w:hanging="367"/>
              <w:rPr>
                <w:rFonts w:ascii="Century Gothic" w:eastAsia="Arial" w:hAnsi="Century Gothic"/>
                <w:b/>
              </w:rPr>
            </w:pPr>
            <w:r w:rsidRPr="001556AB">
              <w:rPr>
                <w:rFonts w:ascii="Century Gothic" w:eastAsia="Arial" w:hAnsi="Century Gothic"/>
              </w:rPr>
              <w:t>Specification of individual milestones (“Milestones”) and timing.</w:t>
            </w:r>
          </w:p>
          <w:p w14:paraId="179C0032" w14:textId="77777777" w:rsidR="00DF4FFD" w:rsidRPr="001556AB" w:rsidRDefault="00DF4FFD" w:rsidP="00DF4FFD">
            <w:pPr>
              <w:spacing w:line="276" w:lineRule="auto"/>
              <w:jc w:val="both"/>
              <w:rPr>
                <w:rFonts w:ascii="Century Gothic" w:eastAsia="Arial" w:hAnsi="Century Gothic"/>
              </w:rPr>
            </w:pPr>
            <w:r w:rsidRPr="001556AB">
              <w:rPr>
                <w:rFonts w:ascii="Century Gothic" w:eastAsia="Arial" w:hAnsi="Century Gothic"/>
              </w:rPr>
              <w:t>In the event the Parties disagree as to whether the Milestones have been achieved, the Party(</w:t>
            </w:r>
            <w:proofErr w:type="spellStart"/>
            <w:r w:rsidRPr="001556AB">
              <w:rPr>
                <w:rFonts w:ascii="Century Gothic" w:eastAsia="Arial" w:hAnsi="Century Gothic"/>
              </w:rPr>
              <w:t>ies</w:t>
            </w:r>
            <w:proofErr w:type="spellEnd"/>
            <w:r w:rsidRPr="001556AB">
              <w:rPr>
                <w:rFonts w:ascii="Century Gothic" w:eastAsia="Arial" w:hAnsi="Century Gothic"/>
              </w:rPr>
              <w:t>) disagreeing with the decision of the Company's board of directors (the “Board”) regarding such Milestone(s) shall be entitled to request that an independent expert is appointed with the view to reach a final decision as to whether the Milestones are met. The Parties agree to accept the decision of such expert. All costs related thereto shall be paid by the Party whose opinion is overruled by the expert.</w:t>
            </w:r>
          </w:p>
          <w:p w14:paraId="56C04844" w14:textId="77777777" w:rsidR="00DF4FFD" w:rsidRPr="001556AB" w:rsidRDefault="00DF4FFD" w:rsidP="00DF4FFD">
            <w:pPr>
              <w:spacing w:line="276" w:lineRule="auto"/>
              <w:rPr>
                <w:rFonts w:ascii="Century Gothic" w:eastAsia="Arial" w:hAnsi="Century Gothic"/>
              </w:rPr>
            </w:pPr>
            <w:r w:rsidRPr="001556AB">
              <w:rPr>
                <w:rFonts w:ascii="Century Gothic" w:eastAsia="Arial" w:hAnsi="Century Gothic"/>
              </w:rPr>
              <w:t>[Alternative:</w:t>
            </w:r>
          </w:p>
          <w:p w14:paraId="29A14B32" w14:textId="77777777" w:rsidR="00DF4FFD" w:rsidRPr="001556AB" w:rsidRDefault="00DF4FFD" w:rsidP="00DF4FFD">
            <w:pPr>
              <w:spacing w:line="276" w:lineRule="auto"/>
              <w:jc w:val="both"/>
              <w:rPr>
                <w:rFonts w:ascii="Century Gothic" w:eastAsia="Arial" w:hAnsi="Century Gothic"/>
              </w:rPr>
            </w:pPr>
            <w:r w:rsidRPr="001556AB">
              <w:rPr>
                <w:rFonts w:ascii="Century Gothic" w:eastAsia="Arial" w:hAnsi="Century Gothic"/>
              </w:rPr>
              <w:t xml:space="preserve">If doubt arises whether the individual Milestones have been met, a majority of [majority] of the Investors shall be sufficient to </w:t>
            </w:r>
            <w:proofErr w:type="gramStart"/>
            <w:r w:rsidRPr="001556AB">
              <w:rPr>
                <w:rFonts w:ascii="Century Gothic" w:eastAsia="Arial" w:hAnsi="Century Gothic"/>
              </w:rPr>
              <w:t>make a decision</w:t>
            </w:r>
            <w:proofErr w:type="gramEnd"/>
            <w:r w:rsidRPr="001556AB">
              <w:rPr>
                <w:rFonts w:ascii="Century Gothic" w:eastAsia="Arial" w:hAnsi="Century Gothic"/>
              </w:rPr>
              <w:t xml:space="preserve"> that all Parties shall accept.]</w:t>
            </w:r>
          </w:p>
          <w:p w14:paraId="2BCE859F" w14:textId="77777777" w:rsidR="00DF4FFD" w:rsidRPr="001556AB" w:rsidRDefault="00DF4FFD" w:rsidP="00DF4FFD">
            <w:pPr>
              <w:spacing w:line="276" w:lineRule="auto"/>
              <w:jc w:val="both"/>
              <w:rPr>
                <w:rFonts w:ascii="Century Gothic" w:eastAsia="Arial" w:hAnsi="Century Gothic"/>
              </w:rPr>
            </w:pPr>
            <w:r w:rsidRPr="001556AB">
              <w:rPr>
                <w:rFonts w:ascii="Century Gothic" w:eastAsia="Arial" w:hAnsi="Century Gothic"/>
              </w:rPr>
              <w:t>To the extent the Company fails to achieve Milestones as set out above, the Investors shall in their sole discretion have a right (but no obligation) to subscribe Tranche [2] at [Subscription Price 1].</w:t>
            </w:r>
          </w:p>
          <w:p w14:paraId="2CE8F10A" w14:textId="77777777" w:rsidR="00DF4FFD" w:rsidRPr="001556AB" w:rsidRDefault="00DF4FFD" w:rsidP="00DF4FFD">
            <w:pPr>
              <w:tabs>
                <w:tab w:val="left" w:pos="61"/>
              </w:tabs>
              <w:spacing w:line="276" w:lineRule="auto"/>
              <w:ind w:right="500"/>
              <w:rPr>
                <w:rFonts w:ascii="Century Gothic" w:eastAsia="Arial" w:hAnsi="Century Gothic"/>
              </w:rPr>
            </w:pPr>
          </w:p>
        </w:tc>
      </w:tr>
      <w:tr w:rsidR="00DF4FFD" w:rsidRPr="001556AB" w14:paraId="16421160" w14:textId="77777777" w:rsidTr="00F50A29">
        <w:trPr>
          <w:trHeight w:val="1555"/>
        </w:trPr>
        <w:tc>
          <w:tcPr>
            <w:tcW w:w="416" w:type="pct"/>
            <w:shd w:val="clear" w:color="auto" w:fill="auto"/>
            <w:vAlign w:val="center"/>
          </w:tcPr>
          <w:p w14:paraId="1BD94795" w14:textId="77777777" w:rsidR="00DF4FFD" w:rsidRPr="001556AB" w:rsidRDefault="00DF4FFD" w:rsidP="00F50A29">
            <w:pPr>
              <w:spacing w:line="276" w:lineRule="auto"/>
              <w:jc w:val="center"/>
              <w:rPr>
                <w:rFonts w:ascii="Century Gothic" w:eastAsia="Times New Roman" w:hAnsi="Century Gothic"/>
                <w:b/>
                <w:bCs/>
              </w:rPr>
            </w:pPr>
            <w:r w:rsidRPr="001556AB">
              <w:rPr>
                <w:rFonts w:ascii="Century Gothic" w:eastAsia="Times New Roman" w:hAnsi="Century Gothic"/>
                <w:b/>
                <w:bCs/>
              </w:rPr>
              <w:t>6.</w:t>
            </w:r>
          </w:p>
        </w:tc>
        <w:tc>
          <w:tcPr>
            <w:tcW w:w="514" w:type="pct"/>
            <w:shd w:val="clear" w:color="auto" w:fill="auto"/>
            <w:vAlign w:val="center"/>
          </w:tcPr>
          <w:p w14:paraId="799BCFE7" w14:textId="77777777" w:rsidR="00DF4FFD" w:rsidRPr="001556AB" w:rsidRDefault="00DF4FFD" w:rsidP="00DF4FFD">
            <w:pPr>
              <w:spacing w:line="276" w:lineRule="auto"/>
              <w:rPr>
                <w:rFonts w:ascii="Century Gothic" w:eastAsia="Arial" w:hAnsi="Century Gothic"/>
                <w:b/>
              </w:rPr>
            </w:pPr>
            <w:r w:rsidRPr="001556AB">
              <w:rPr>
                <w:rFonts w:ascii="Century Gothic" w:eastAsia="Arial" w:hAnsi="Century Gothic"/>
                <w:b/>
              </w:rPr>
              <w:t>Conditions</w:t>
            </w:r>
          </w:p>
        </w:tc>
        <w:tc>
          <w:tcPr>
            <w:tcW w:w="4070" w:type="pct"/>
            <w:shd w:val="clear" w:color="auto" w:fill="auto"/>
            <w:vAlign w:val="center"/>
          </w:tcPr>
          <w:p w14:paraId="6983DAA2" w14:textId="77777777" w:rsidR="00DF4FFD" w:rsidRPr="001556AB" w:rsidRDefault="00DF4FFD" w:rsidP="00DF4FFD">
            <w:pPr>
              <w:spacing w:line="276" w:lineRule="auto"/>
              <w:rPr>
                <w:rFonts w:ascii="Century Gothic" w:eastAsia="Arial" w:hAnsi="Century Gothic"/>
              </w:rPr>
            </w:pPr>
            <w:r w:rsidRPr="001556AB">
              <w:rPr>
                <w:rFonts w:ascii="Century Gothic" w:eastAsia="Arial" w:hAnsi="Century Gothic"/>
              </w:rPr>
              <w:t>The Investment is subject to</w:t>
            </w:r>
          </w:p>
          <w:p w14:paraId="026773AA" w14:textId="77777777" w:rsidR="00DF4FFD" w:rsidRPr="001556AB" w:rsidRDefault="00DF4FFD" w:rsidP="00DF4FFD">
            <w:pPr>
              <w:spacing w:line="276" w:lineRule="auto"/>
              <w:rPr>
                <w:rFonts w:ascii="Century Gothic" w:eastAsia="Arial" w:hAnsi="Century Gothic"/>
              </w:rPr>
            </w:pPr>
            <w:r w:rsidRPr="001556AB">
              <w:rPr>
                <w:rFonts w:ascii="Century Gothic" w:eastAsia="Arial" w:hAnsi="Century Gothic"/>
              </w:rPr>
              <w:t xml:space="preserve">approval from the Investors’ respective </w:t>
            </w:r>
            <w:proofErr w:type="gramStart"/>
            <w:r w:rsidRPr="001556AB">
              <w:rPr>
                <w:rFonts w:ascii="Century Gothic" w:eastAsia="Arial" w:hAnsi="Century Gothic"/>
              </w:rPr>
              <w:t>decision making</w:t>
            </w:r>
            <w:proofErr w:type="gramEnd"/>
            <w:r w:rsidRPr="001556AB">
              <w:rPr>
                <w:rFonts w:ascii="Century Gothic" w:eastAsia="Arial" w:hAnsi="Century Gothic"/>
              </w:rPr>
              <w:t xml:space="preserve"> bodies as well as completion by the Investors of satisfactory financial, technical, management, commercial, IPR, tax and legal due diligence reviews;</w:t>
            </w:r>
          </w:p>
          <w:p w14:paraId="55CCE911" w14:textId="77777777" w:rsidR="00DF4FFD" w:rsidRPr="001556AB" w:rsidRDefault="00DF4FFD" w:rsidP="00DF4FFD">
            <w:pPr>
              <w:tabs>
                <w:tab w:val="left" w:pos="3040"/>
              </w:tabs>
              <w:spacing w:line="276" w:lineRule="auto"/>
              <w:rPr>
                <w:rFonts w:ascii="Century Gothic" w:eastAsia="Arial" w:hAnsi="Century Gothic"/>
              </w:rPr>
            </w:pPr>
            <w:r w:rsidRPr="001556AB">
              <w:rPr>
                <w:rFonts w:ascii="Century Gothic" w:eastAsia="Arial" w:hAnsi="Century Gothic"/>
              </w:rPr>
              <w:t>management and key employees entering into employment agreements in form and substance satisfactory to the Investors;</w:t>
            </w:r>
          </w:p>
          <w:p w14:paraId="311626BE" w14:textId="77777777" w:rsidR="00DF4FFD" w:rsidRPr="001556AB" w:rsidRDefault="00DF4FFD" w:rsidP="00DF4FFD">
            <w:pPr>
              <w:tabs>
                <w:tab w:val="left" w:pos="3040"/>
              </w:tabs>
              <w:spacing w:line="276" w:lineRule="auto"/>
              <w:rPr>
                <w:rFonts w:ascii="Century Gothic" w:eastAsia="Arial" w:hAnsi="Century Gothic"/>
              </w:rPr>
            </w:pPr>
            <w:r w:rsidRPr="001556AB">
              <w:rPr>
                <w:rFonts w:ascii="Century Gothic" w:eastAsia="Arial" w:hAnsi="Century Gothic"/>
              </w:rPr>
              <w:t>agreement on the business plan;</w:t>
            </w:r>
          </w:p>
          <w:p w14:paraId="39D91147" w14:textId="77777777" w:rsidR="001556AB" w:rsidRPr="001556AB" w:rsidRDefault="00DF4FFD" w:rsidP="001556AB">
            <w:pPr>
              <w:spacing w:line="276" w:lineRule="auto"/>
              <w:rPr>
                <w:rFonts w:ascii="Century Gothic" w:eastAsia="Arial" w:hAnsi="Century Gothic"/>
              </w:rPr>
            </w:pPr>
            <w:r w:rsidRPr="001556AB">
              <w:rPr>
                <w:rFonts w:ascii="Century Gothic" w:eastAsia="Arial" w:hAnsi="Century Gothic"/>
              </w:rPr>
              <w:t xml:space="preserve">agreement on the structure of the </w:t>
            </w:r>
            <w:proofErr w:type="spellStart"/>
            <w:r w:rsidRPr="001556AB">
              <w:rPr>
                <w:rFonts w:ascii="Century Gothic" w:eastAsia="Arial" w:hAnsi="Century Gothic"/>
              </w:rPr>
              <w:t>organisation</w:t>
            </w:r>
            <w:proofErr w:type="spellEnd"/>
            <w:r w:rsidRPr="001556AB">
              <w:rPr>
                <w:rFonts w:ascii="Century Gothic" w:eastAsia="Arial" w:hAnsi="Century Gothic"/>
              </w:rPr>
              <w:t>, including the identification of the first</w:t>
            </w:r>
            <w:r w:rsidR="001556AB" w:rsidRPr="001556AB">
              <w:rPr>
                <w:rFonts w:ascii="Century Gothic" w:eastAsia="Arial" w:hAnsi="Century Gothic"/>
              </w:rPr>
              <w:t xml:space="preserve"> chairman of the Board;</w:t>
            </w:r>
          </w:p>
          <w:p w14:paraId="5778AADB" w14:textId="77777777" w:rsidR="001556AB" w:rsidRPr="001556AB" w:rsidRDefault="001556AB" w:rsidP="001556AB">
            <w:pPr>
              <w:tabs>
                <w:tab w:val="left" w:pos="3040"/>
              </w:tabs>
              <w:spacing w:line="276" w:lineRule="auto"/>
              <w:jc w:val="both"/>
              <w:rPr>
                <w:rFonts w:ascii="Century Gothic" w:eastAsia="Arial" w:hAnsi="Century Gothic"/>
              </w:rPr>
            </w:pPr>
            <w:r w:rsidRPr="001556AB">
              <w:rPr>
                <w:rFonts w:ascii="Century Gothic" w:eastAsia="Arial" w:hAnsi="Century Gothic"/>
              </w:rPr>
              <w:t>transfer of all relevant intellectual property rights (“IPR”) used by the Company from the Founders (and others) to the Company, such IPR to be further identified during the due diligence investigations; and</w:t>
            </w:r>
          </w:p>
          <w:p w14:paraId="4B3F7A23" w14:textId="77777777" w:rsidR="00DF4FFD" w:rsidRPr="001556AB" w:rsidRDefault="001556AB" w:rsidP="001556AB">
            <w:pPr>
              <w:tabs>
                <w:tab w:val="left" w:pos="3040"/>
              </w:tabs>
              <w:spacing w:line="276" w:lineRule="auto"/>
              <w:rPr>
                <w:rFonts w:ascii="Century Gothic" w:eastAsia="Arial" w:hAnsi="Century Gothic"/>
              </w:rPr>
            </w:pPr>
            <w:r w:rsidRPr="001556AB">
              <w:rPr>
                <w:rFonts w:ascii="Century Gothic" w:eastAsia="Arial" w:hAnsi="Century Gothic"/>
              </w:rPr>
              <w:t>Further conditions.</w:t>
            </w:r>
          </w:p>
          <w:p w14:paraId="5D3D5DBD" w14:textId="77777777" w:rsidR="00DF4FFD" w:rsidRPr="001556AB" w:rsidRDefault="00DF4FFD" w:rsidP="00DF4FFD">
            <w:pPr>
              <w:numPr>
                <w:ilvl w:val="0"/>
                <w:numId w:val="2"/>
              </w:numPr>
              <w:spacing w:line="276" w:lineRule="auto"/>
              <w:ind w:hanging="367"/>
              <w:rPr>
                <w:rFonts w:ascii="Century Gothic" w:eastAsia="Arial" w:hAnsi="Century Gothic"/>
              </w:rPr>
            </w:pPr>
          </w:p>
        </w:tc>
      </w:tr>
      <w:tr w:rsidR="001556AB" w:rsidRPr="001556AB" w14:paraId="6895DF97" w14:textId="77777777" w:rsidTr="00F50A29">
        <w:trPr>
          <w:trHeight w:val="1555"/>
        </w:trPr>
        <w:tc>
          <w:tcPr>
            <w:tcW w:w="416" w:type="pct"/>
            <w:shd w:val="clear" w:color="auto" w:fill="auto"/>
            <w:vAlign w:val="center"/>
          </w:tcPr>
          <w:p w14:paraId="7FA1510F" w14:textId="77777777" w:rsidR="001556AB" w:rsidRPr="001556AB" w:rsidRDefault="001556AB" w:rsidP="00F50A29">
            <w:pPr>
              <w:spacing w:line="276" w:lineRule="auto"/>
              <w:jc w:val="center"/>
              <w:rPr>
                <w:rFonts w:ascii="Century Gothic" w:eastAsia="Times New Roman" w:hAnsi="Century Gothic"/>
                <w:b/>
                <w:bCs/>
              </w:rPr>
            </w:pPr>
            <w:r w:rsidRPr="001556AB">
              <w:rPr>
                <w:rFonts w:ascii="Century Gothic" w:eastAsia="Times New Roman" w:hAnsi="Century Gothic"/>
                <w:b/>
                <w:bCs/>
              </w:rPr>
              <w:t>7.</w:t>
            </w:r>
          </w:p>
        </w:tc>
        <w:tc>
          <w:tcPr>
            <w:tcW w:w="514" w:type="pct"/>
            <w:shd w:val="clear" w:color="auto" w:fill="auto"/>
            <w:vAlign w:val="center"/>
          </w:tcPr>
          <w:p w14:paraId="6AAFADB3" w14:textId="77777777" w:rsidR="001556AB" w:rsidRPr="001556AB" w:rsidRDefault="001556AB" w:rsidP="001556AB">
            <w:pPr>
              <w:spacing w:line="276" w:lineRule="auto"/>
              <w:rPr>
                <w:rFonts w:ascii="Century Gothic" w:eastAsia="Arial" w:hAnsi="Century Gothic"/>
              </w:rPr>
            </w:pPr>
          </w:p>
          <w:p w14:paraId="70A7929A" w14:textId="77777777" w:rsidR="001556AB" w:rsidRPr="001556AB" w:rsidRDefault="001556AB" w:rsidP="001556AB">
            <w:pPr>
              <w:spacing w:line="276" w:lineRule="auto"/>
              <w:rPr>
                <w:rFonts w:ascii="Century Gothic" w:eastAsia="Arial" w:hAnsi="Century Gothic"/>
                <w:b/>
              </w:rPr>
            </w:pPr>
            <w:r w:rsidRPr="001556AB">
              <w:rPr>
                <w:rFonts w:ascii="Century Gothic" w:eastAsia="Arial" w:hAnsi="Century Gothic"/>
                <w:b/>
              </w:rPr>
              <w:t>Closing</w:t>
            </w:r>
          </w:p>
        </w:tc>
        <w:tc>
          <w:tcPr>
            <w:tcW w:w="4070" w:type="pct"/>
            <w:shd w:val="clear" w:color="auto" w:fill="auto"/>
            <w:vAlign w:val="center"/>
          </w:tcPr>
          <w:p w14:paraId="67B01155" w14:textId="77777777" w:rsidR="001556AB" w:rsidRPr="001556AB" w:rsidRDefault="001556AB" w:rsidP="00DF4FFD">
            <w:pPr>
              <w:spacing w:line="276" w:lineRule="auto"/>
              <w:rPr>
                <w:rFonts w:ascii="Century Gothic" w:eastAsia="Arial" w:hAnsi="Century Gothic"/>
              </w:rPr>
            </w:pPr>
            <w:r w:rsidRPr="001556AB">
              <w:rPr>
                <w:rFonts w:ascii="Century Gothic" w:eastAsia="Arial" w:hAnsi="Century Gothic"/>
              </w:rPr>
              <w:t>Main rule: Signing and Closing to occur simultaneously</w:t>
            </w:r>
          </w:p>
        </w:tc>
      </w:tr>
      <w:tr w:rsidR="001556AB" w:rsidRPr="001556AB" w14:paraId="471EF4DB" w14:textId="77777777" w:rsidTr="00F50A29">
        <w:trPr>
          <w:trHeight w:val="1555"/>
        </w:trPr>
        <w:tc>
          <w:tcPr>
            <w:tcW w:w="416" w:type="pct"/>
            <w:shd w:val="clear" w:color="auto" w:fill="auto"/>
            <w:vAlign w:val="center"/>
          </w:tcPr>
          <w:p w14:paraId="58AF8B68" w14:textId="77777777" w:rsidR="001556AB" w:rsidRPr="001556AB" w:rsidRDefault="001556AB" w:rsidP="00F50A29">
            <w:pPr>
              <w:spacing w:line="276" w:lineRule="auto"/>
              <w:jc w:val="center"/>
              <w:rPr>
                <w:rFonts w:ascii="Century Gothic" w:eastAsia="Times New Roman" w:hAnsi="Century Gothic"/>
                <w:b/>
                <w:bCs/>
              </w:rPr>
            </w:pPr>
            <w:r w:rsidRPr="001556AB">
              <w:rPr>
                <w:rFonts w:ascii="Century Gothic" w:eastAsia="Times New Roman" w:hAnsi="Century Gothic"/>
                <w:b/>
                <w:bCs/>
              </w:rPr>
              <w:t>8.</w:t>
            </w:r>
          </w:p>
        </w:tc>
        <w:tc>
          <w:tcPr>
            <w:tcW w:w="514" w:type="pct"/>
            <w:shd w:val="clear" w:color="auto" w:fill="auto"/>
            <w:vAlign w:val="center"/>
          </w:tcPr>
          <w:p w14:paraId="6183EFAB" w14:textId="77777777" w:rsidR="001556AB" w:rsidRPr="001556AB" w:rsidRDefault="001556AB" w:rsidP="001556AB">
            <w:pPr>
              <w:spacing w:line="276" w:lineRule="auto"/>
              <w:rPr>
                <w:rFonts w:ascii="Century Gothic" w:eastAsia="Arial" w:hAnsi="Century Gothic"/>
              </w:rPr>
            </w:pPr>
            <w:proofErr w:type="gramStart"/>
            <w:r w:rsidRPr="001556AB">
              <w:rPr>
                <w:rFonts w:ascii="Century Gothic" w:eastAsia="Arial" w:hAnsi="Century Gothic"/>
                <w:b/>
                <w:w w:val="97"/>
              </w:rPr>
              <w:t>.Further</w:t>
            </w:r>
            <w:proofErr w:type="gramEnd"/>
          </w:p>
        </w:tc>
        <w:tc>
          <w:tcPr>
            <w:tcW w:w="4070" w:type="pct"/>
            <w:shd w:val="clear" w:color="auto" w:fill="auto"/>
            <w:vAlign w:val="bottom"/>
          </w:tcPr>
          <w:p w14:paraId="1D8E59A0" w14:textId="77777777" w:rsidR="001556AB" w:rsidRPr="001556AB" w:rsidRDefault="001556AB" w:rsidP="001556AB">
            <w:pPr>
              <w:spacing w:line="276" w:lineRule="auto"/>
              <w:rPr>
                <w:rFonts w:ascii="Century Gothic" w:eastAsia="Arial" w:hAnsi="Century Gothic"/>
              </w:rPr>
            </w:pPr>
            <w:r w:rsidRPr="001556AB">
              <w:rPr>
                <w:rFonts w:ascii="Century Gothic" w:eastAsia="Arial" w:hAnsi="Century Gothic"/>
              </w:rPr>
              <w:t>No event, change or development which has or is reasonably likely to have a material</w:t>
            </w:r>
          </w:p>
          <w:p w14:paraId="7911152E" w14:textId="77777777" w:rsidR="001556AB" w:rsidRPr="001556AB" w:rsidRDefault="001556AB" w:rsidP="001556AB">
            <w:pPr>
              <w:spacing w:line="276" w:lineRule="auto"/>
              <w:rPr>
                <w:rFonts w:ascii="Century Gothic" w:eastAsia="Arial" w:hAnsi="Century Gothic"/>
              </w:rPr>
            </w:pPr>
            <w:r w:rsidRPr="001556AB">
              <w:rPr>
                <w:rFonts w:ascii="Century Gothic" w:eastAsia="Arial" w:hAnsi="Century Gothic"/>
              </w:rPr>
              <w:t>adverse effect on the Company shall have occurred from the date of Signing until the</w:t>
            </w:r>
          </w:p>
          <w:p w14:paraId="1F667F8C" w14:textId="77777777" w:rsidR="001556AB" w:rsidRPr="001556AB" w:rsidRDefault="001556AB" w:rsidP="001556AB">
            <w:pPr>
              <w:spacing w:line="276" w:lineRule="auto"/>
              <w:rPr>
                <w:rFonts w:ascii="Century Gothic" w:eastAsia="Arial" w:hAnsi="Century Gothic"/>
              </w:rPr>
            </w:pPr>
            <w:r w:rsidRPr="001556AB">
              <w:rPr>
                <w:rFonts w:ascii="Century Gothic" w:eastAsia="Arial" w:hAnsi="Century Gothic"/>
              </w:rPr>
              <w:t>date of Closing;</w:t>
            </w:r>
          </w:p>
          <w:p w14:paraId="3A37DED3" w14:textId="77777777" w:rsidR="001556AB" w:rsidRPr="001556AB" w:rsidRDefault="001556AB" w:rsidP="001556AB">
            <w:pPr>
              <w:spacing w:line="276" w:lineRule="auto"/>
              <w:rPr>
                <w:rFonts w:ascii="Century Gothic" w:eastAsia="Arial" w:hAnsi="Century Gothic"/>
              </w:rPr>
            </w:pPr>
            <w:r w:rsidRPr="001556AB">
              <w:rPr>
                <w:rFonts w:ascii="Century Gothic" w:eastAsia="Arial" w:hAnsi="Century Gothic"/>
              </w:rPr>
              <w:t>Representations and Warranties are true as of Closing, see below;</w:t>
            </w:r>
          </w:p>
          <w:p w14:paraId="0C6C0AA4" w14:textId="77777777" w:rsidR="001556AB" w:rsidRPr="001556AB" w:rsidRDefault="001556AB" w:rsidP="001556AB">
            <w:pPr>
              <w:spacing w:line="276" w:lineRule="auto"/>
              <w:rPr>
                <w:rFonts w:ascii="Century Gothic" w:eastAsia="Arial" w:hAnsi="Century Gothic"/>
              </w:rPr>
            </w:pPr>
            <w:r w:rsidRPr="001556AB">
              <w:rPr>
                <w:rFonts w:ascii="Century Gothic" w:eastAsia="Arial" w:hAnsi="Century Gothic"/>
              </w:rPr>
              <w:t>Fulfilment by the Founders and/or Company of such other conditions as may be set</w:t>
            </w:r>
          </w:p>
          <w:p w14:paraId="27E0DBB8" w14:textId="77777777" w:rsidR="001556AB" w:rsidRPr="001556AB" w:rsidRDefault="001556AB" w:rsidP="001556AB">
            <w:pPr>
              <w:spacing w:line="276" w:lineRule="auto"/>
              <w:rPr>
                <w:rFonts w:ascii="Century Gothic" w:eastAsia="Arial" w:hAnsi="Century Gothic"/>
              </w:rPr>
            </w:pPr>
            <w:r w:rsidRPr="001556AB">
              <w:rPr>
                <w:rFonts w:ascii="Century Gothic" w:eastAsia="Arial" w:hAnsi="Century Gothic"/>
              </w:rPr>
              <w:t>out in the final legal documentation; and</w:t>
            </w:r>
          </w:p>
          <w:p w14:paraId="7859E6C6" w14:textId="77777777" w:rsidR="001556AB" w:rsidRPr="001556AB" w:rsidRDefault="001556AB" w:rsidP="001556AB">
            <w:pPr>
              <w:tabs>
                <w:tab w:val="left" w:pos="3040"/>
              </w:tabs>
              <w:spacing w:line="276" w:lineRule="auto"/>
              <w:rPr>
                <w:rFonts w:ascii="Century Gothic" w:eastAsia="Arial" w:hAnsi="Century Gothic"/>
              </w:rPr>
            </w:pPr>
            <w:r w:rsidRPr="001556AB">
              <w:rPr>
                <w:rFonts w:ascii="Century Gothic" w:eastAsia="Arial" w:hAnsi="Century Gothic"/>
              </w:rPr>
              <w:t>Further conditions.</w:t>
            </w:r>
          </w:p>
          <w:p w14:paraId="2BF73E54" w14:textId="77777777" w:rsidR="001556AB" w:rsidRPr="001556AB" w:rsidRDefault="001556AB" w:rsidP="001556AB">
            <w:pPr>
              <w:spacing w:line="276" w:lineRule="auto"/>
              <w:ind w:left="240"/>
              <w:rPr>
                <w:rFonts w:ascii="Century Gothic" w:eastAsia="Arial" w:hAnsi="Century Gothic"/>
              </w:rPr>
            </w:pPr>
          </w:p>
        </w:tc>
      </w:tr>
      <w:tr w:rsidR="001556AB" w:rsidRPr="001556AB" w14:paraId="2BD5CB16" w14:textId="77777777" w:rsidTr="00F50A29">
        <w:trPr>
          <w:trHeight w:val="1555"/>
        </w:trPr>
        <w:tc>
          <w:tcPr>
            <w:tcW w:w="416" w:type="pct"/>
            <w:shd w:val="clear" w:color="auto" w:fill="auto"/>
            <w:vAlign w:val="center"/>
          </w:tcPr>
          <w:p w14:paraId="09A45552" w14:textId="77777777" w:rsidR="001556AB" w:rsidRPr="001556AB" w:rsidRDefault="001556AB" w:rsidP="00F50A29">
            <w:pPr>
              <w:spacing w:line="276" w:lineRule="auto"/>
              <w:jc w:val="center"/>
              <w:rPr>
                <w:rFonts w:ascii="Century Gothic" w:eastAsia="Times New Roman" w:hAnsi="Century Gothic"/>
                <w:b/>
                <w:bCs/>
              </w:rPr>
            </w:pPr>
            <w:r w:rsidRPr="001556AB">
              <w:rPr>
                <w:rFonts w:ascii="Century Gothic" w:eastAsia="Times New Roman" w:hAnsi="Century Gothic"/>
                <w:b/>
                <w:bCs/>
              </w:rPr>
              <w:lastRenderedPageBreak/>
              <w:t>9.</w:t>
            </w:r>
          </w:p>
        </w:tc>
        <w:tc>
          <w:tcPr>
            <w:tcW w:w="514" w:type="pct"/>
            <w:shd w:val="clear" w:color="auto" w:fill="auto"/>
            <w:vAlign w:val="center"/>
          </w:tcPr>
          <w:p w14:paraId="0069E384" w14:textId="77777777" w:rsidR="001556AB" w:rsidRPr="001556AB" w:rsidRDefault="001556AB" w:rsidP="001556AB">
            <w:pPr>
              <w:spacing w:line="276" w:lineRule="auto"/>
              <w:rPr>
                <w:rFonts w:ascii="Century Gothic" w:eastAsia="Arial" w:hAnsi="Century Gothic"/>
                <w:b/>
                <w:w w:val="97"/>
              </w:rPr>
            </w:pPr>
            <w:r w:rsidRPr="001556AB">
              <w:rPr>
                <w:rFonts w:ascii="Century Gothic" w:eastAsia="Arial" w:hAnsi="Century Gothic"/>
                <w:b/>
              </w:rPr>
              <w:t>Due diligence</w:t>
            </w:r>
          </w:p>
        </w:tc>
        <w:tc>
          <w:tcPr>
            <w:tcW w:w="4070" w:type="pct"/>
            <w:shd w:val="clear" w:color="auto" w:fill="auto"/>
            <w:vAlign w:val="bottom"/>
          </w:tcPr>
          <w:p w14:paraId="7949DF52" w14:textId="77777777" w:rsidR="001556AB" w:rsidRPr="001556AB" w:rsidRDefault="001556AB" w:rsidP="001556AB">
            <w:pPr>
              <w:tabs>
                <w:tab w:val="left" w:pos="412"/>
              </w:tabs>
              <w:spacing w:line="276" w:lineRule="auto"/>
              <w:rPr>
                <w:rFonts w:ascii="Century Gothic" w:eastAsia="Arial" w:hAnsi="Century Gothic"/>
                <w:b/>
              </w:rPr>
            </w:pPr>
            <w:r w:rsidRPr="001556AB">
              <w:rPr>
                <w:rFonts w:ascii="Century Gothic" w:eastAsia="Arial" w:hAnsi="Century Gothic"/>
              </w:rPr>
              <w:t>The Founders and the Company’s advisors shall participate to the extent necessary in order to enable the Investors to carry out the due diligence reviews, including but not limited to giving the Investors and their advisors full access to all information and any relevant employees of the Company.</w:t>
            </w:r>
          </w:p>
          <w:p w14:paraId="2209389D" w14:textId="77777777" w:rsidR="001556AB" w:rsidRPr="001556AB" w:rsidRDefault="001556AB" w:rsidP="001556AB">
            <w:pPr>
              <w:spacing w:line="276" w:lineRule="auto"/>
              <w:rPr>
                <w:rFonts w:ascii="Century Gothic" w:eastAsia="Times New Roman" w:hAnsi="Century Gothic"/>
              </w:rPr>
            </w:pPr>
          </w:p>
          <w:p w14:paraId="56CDAF95" w14:textId="77777777" w:rsidR="001556AB" w:rsidRPr="001556AB" w:rsidRDefault="001556AB" w:rsidP="001556AB">
            <w:pPr>
              <w:spacing w:line="276" w:lineRule="auto"/>
              <w:rPr>
                <w:rFonts w:ascii="Century Gothic" w:eastAsia="Arial" w:hAnsi="Century Gothic"/>
              </w:rPr>
            </w:pPr>
          </w:p>
        </w:tc>
      </w:tr>
    </w:tbl>
    <w:p w14:paraId="43DCCA4F" w14:textId="77777777" w:rsidR="001556AB" w:rsidRDefault="001556AB" w:rsidP="001556AB">
      <w:pPr>
        <w:spacing w:line="276" w:lineRule="auto"/>
        <w:rPr>
          <w:rFonts w:ascii="Century Gothic" w:eastAsia="Arial" w:hAnsi="Century Gothic"/>
          <w:sz w:val="28"/>
        </w:rPr>
      </w:pPr>
      <w:bookmarkStart w:id="0" w:name="page2"/>
      <w:bookmarkStart w:id="1" w:name="page3"/>
      <w:bookmarkEnd w:id="0"/>
      <w:bookmarkEnd w:id="1"/>
    </w:p>
    <w:p w14:paraId="19C20BD2" w14:textId="7A44B37C" w:rsidR="009C55E4" w:rsidRPr="00F50A29" w:rsidRDefault="00E962D4" w:rsidP="00F50A29">
      <w:pPr>
        <w:numPr>
          <w:ilvl w:val="0"/>
          <w:numId w:val="1"/>
        </w:numPr>
        <w:spacing w:line="276" w:lineRule="auto"/>
        <w:rPr>
          <w:rFonts w:ascii="Century Gothic" w:eastAsia="Arial" w:hAnsi="Century Gothic"/>
          <w:b/>
          <w:bCs/>
          <w:sz w:val="28"/>
        </w:rPr>
      </w:pPr>
      <w:r w:rsidRPr="001556AB">
        <w:rPr>
          <w:rFonts w:ascii="Century Gothic" w:eastAsia="Arial" w:hAnsi="Century Gothic"/>
          <w:b/>
          <w:bCs/>
          <w:sz w:val="28"/>
        </w:rPr>
        <w:t>Conditions</w:t>
      </w:r>
    </w:p>
    <w:tbl>
      <w:tblPr>
        <w:tblStyle w:val="TableGrid"/>
        <w:tblW w:w="5000" w:type="pct"/>
        <w:tblCellMar>
          <w:top w:w="72" w:type="dxa"/>
          <w:left w:w="72" w:type="dxa"/>
          <w:bottom w:w="72" w:type="dxa"/>
          <w:right w:w="72" w:type="dxa"/>
        </w:tblCellMar>
        <w:tblLook w:val="04A0" w:firstRow="1" w:lastRow="0" w:firstColumn="1" w:lastColumn="0" w:noHBand="0" w:noVBand="1"/>
      </w:tblPr>
      <w:tblGrid>
        <w:gridCol w:w="424"/>
        <w:gridCol w:w="1685"/>
        <w:gridCol w:w="7561"/>
      </w:tblGrid>
      <w:tr w:rsidR="001556AB" w:rsidRPr="009C55E4" w14:paraId="44CEC862" w14:textId="77777777" w:rsidTr="00F50A29">
        <w:trPr>
          <w:trHeight w:val="1555"/>
        </w:trPr>
        <w:tc>
          <w:tcPr>
            <w:tcW w:w="219" w:type="pct"/>
            <w:vAlign w:val="center"/>
          </w:tcPr>
          <w:p w14:paraId="444C33FB" w14:textId="77777777" w:rsidR="001556AB" w:rsidRPr="009C55E4" w:rsidRDefault="001556AB" w:rsidP="00F50A29">
            <w:pPr>
              <w:spacing w:line="276" w:lineRule="auto"/>
              <w:jc w:val="center"/>
              <w:rPr>
                <w:rFonts w:ascii="Century Gothic" w:eastAsia="Times New Roman" w:hAnsi="Century Gothic"/>
              </w:rPr>
            </w:pPr>
            <w:r w:rsidRPr="009C55E4">
              <w:rPr>
                <w:rFonts w:ascii="Century Gothic" w:eastAsia="Arial" w:hAnsi="Century Gothic"/>
                <w:b/>
              </w:rPr>
              <w:t>1.</w:t>
            </w:r>
          </w:p>
        </w:tc>
        <w:tc>
          <w:tcPr>
            <w:tcW w:w="871" w:type="pct"/>
            <w:vAlign w:val="center"/>
          </w:tcPr>
          <w:p w14:paraId="3A7302F8" w14:textId="77777777" w:rsidR="001556AB" w:rsidRPr="009C55E4" w:rsidRDefault="001556AB" w:rsidP="009C55E4">
            <w:pPr>
              <w:tabs>
                <w:tab w:val="left" w:pos="400"/>
                <w:tab w:val="left" w:pos="1940"/>
              </w:tabs>
              <w:spacing w:line="276" w:lineRule="auto"/>
              <w:ind w:left="60"/>
              <w:rPr>
                <w:rFonts w:ascii="Century Gothic" w:eastAsia="Arial" w:hAnsi="Century Gothic"/>
              </w:rPr>
            </w:pPr>
            <w:r w:rsidRPr="009C55E4">
              <w:rPr>
                <w:rFonts w:ascii="Century Gothic" w:eastAsia="Arial" w:hAnsi="Century Gothic"/>
                <w:b/>
              </w:rPr>
              <w:t>Use of</w:t>
            </w:r>
          </w:p>
          <w:p w14:paraId="6945B550" w14:textId="77777777" w:rsidR="001556AB" w:rsidRPr="009C55E4" w:rsidRDefault="001556AB" w:rsidP="009C55E4">
            <w:pPr>
              <w:spacing w:line="276" w:lineRule="auto"/>
              <w:rPr>
                <w:rFonts w:ascii="Century Gothic" w:eastAsia="Arial" w:hAnsi="Century Gothic"/>
                <w:b/>
              </w:rPr>
            </w:pPr>
            <w:r w:rsidRPr="009C55E4">
              <w:rPr>
                <w:rFonts w:ascii="Century Gothic" w:eastAsia="Arial" w:hAnsi="Century Gothic"/>
                <w:b/>
              </w:rPr>
              <w:t>proceeds:</w:t>
            </w:r>
          </w:p>
          <w:p w14:paraId="3249BA5F" w14:textId="77777777" w:rsidR="001556AB" w:rsidRPr="009C55E4" w:rsidRDefault="001556AB" w:rsidP="009C55E4">
            <w:pPr>
              <w:spacing w:line="276" w:lineRule="auto"/>
              <w:rPr>
                <w:rFonts w:ascii="Century Gothic" w:eastAsia="Times New Roman" w:hAnsi="Century Gothic"/>
              </w:rPr>
            </w:pPr>
          </w:p>
        </w:tc>
        <w:tc>
          <w:tcPr>
            <w:tcW w:w="3910" w:type="pct"/>
            <w:vAlign w:val="center"/>
          </w:tcPr>
          <w:p w14:paraId="517F8F19" w14:textId="77777777" w:rsidR="001556AB" w:rsidRPr="009C55E4" w:rsidRDefault="001556AB" w:rsidP="009C55E4">
            <w:pPr>
              <w:tabs>
                <w:tab w:val="left" w:pos="400"/>
                <w:tab w:val="left" w:pos="1940"/>
              </w:tabs>
              <w:spacing w:line="276" w:lineRule="auto"/>
              <w:ind w:left="60"/>
              <w:rPr>
                <w:rFonts w:ascii="Century Gothic" w:eastAsia="Arial" w:hAnsi="Century Gothic"/>
              </w:rPr>
            </w:pPr>
            <w:r w:rsidRPr="009C55E4">
              <w:rPr>
                <w:rFonts w:ascii="Century Gothic" w:eastAsia="Arial" w:hAnsi="Century Gothic"/>
              </w:rPr>
              <w:t>Description of use of proceeds.</w:t>
            </w:r>
          </w:p>
          <w:p w14:paraId="25A1A1F4" w14:textId="77777777" w:rsidR="001556AB" w:rsidRPr="009C55E4" w:rsidRDefault="001556AB" w:rsidP="009C55E4">
            <w:pPr>
              <w:spacing w:line="276" w:lineRule="auto"/>
              <w:rPr>
                <w:rFonts w:ascii="Century Gothic" w:eastAsia="Times New Roman" w:hAnsi="Century Gothic"/>
              </w:rPr>
            </w:pPr>
          </w:p>
        </w:tc>
      </w:tr>
      <w:tr w:rsidR="001556AB" w:rsidRPr="009C55E4" w14:paraId="1DBB339E" w14:textId="77777777" w:rsidTr="00F50A29">
        <w:trPr>
          <w:trHeight w:val="1555"/>
        </w:trPr>
        <w:tc>
          <w:tcPr>
            <w:tcW w:w="219" w:type="pct"/>
            <w:vAlign w:val="center"/>
          </w:tcPr>
          <w:p w14:paraId="4BEA4106" w14:textId="683A527D" w:rsidR="001556AB" w:rsidRPr="009C55E4" w:rsidRDefault="001556AB" w:rsidP="00F50A29">
            <w:pPr>
              <w:spacing w:line="276" w:lineRule="auto"/>
              <w:jc w:val="center"/>
              <w:rPr>
                <w:rFonts w:ascii="Century Gothic" w:eastAsia="Arial" w:hAnsi="Century Gothic"/>
                <w:b/>
              </w:rPr>
            </w:pPr>
            <w:r w:rsidRPr="009C55E4">
              <w:rPr>
                <w:rFonts w:ascii="Century Gothic" w:eastAsia="Arial" w:hAnsi="Century Gothic"/>
                <w:b/>
              </w:rPr>
              <w:t>2.</w:t>
            </w:r>
          </w:p>
        </w:tc>
        <w:tc>
          <w:tcPr>
            <w:tcW w:w="871" w:type="pct"/>
            <w:vAlign w:val="center"/>
          </w:tcPr>
          <w:p w14:paraId="74CD72D2" w14:textId="77777777" w:rsidR="001556AB" w:rsidRPr="009C55E4" w:rsidRDefault="001556AB" w:rsidP="009C55E4">
            <w:pPr>
              <w:tabs>
                <w:tab w:val="left" w:pos="400"/>
                <w:tab w:val="left" w:pos="1940"/>
              </w:tabs>
              <w:spacing w:line="276" w:lineRule="auto"/>
              <w:ind w:left="60"/>
              <w:rPr>
                <w:rFonts w:ascii="Century Gothic" w:eastAsia="Arial" w:hAnsi="Century Gothic"/>
                <w:b/>
              </w:rPr>
            </w:pPr>
            <w:r w:rsidRPr="009C55E4">
              <w:rPr>
                <w:rFonts w:ascii="Century Gothic" w:eastAsia="Arial" w:hAnsi="Century Gothic"/>
                <w:b/>
              </w:rPr>
              <w:t>Exit</w:t>
            </w:r>
          </w:p>
        </w:tc>
        <w:tc>
          <w:tcPr>
            <w:tcW w:w="3910" w:type="pct"/>
            <w:vAlign w:val="center"/>
          </w:tcPr>
          <w:p w14:paraId="08BAD4DC" w14:textId="77777777" w:rsidR="001556AB" w:rsidRPr="009C55E4" w:rsidRDefault="001556AB" w:rsidP="009C55E4">
            <w:pPr>
              <w:tabs>
                <w:tab w:val="left" w:pos="1080"/>
              </w:tabs>
              <w:spacing w:line="276" w:lineRule="auto"/>
              <w:rPr>
                <w:rFonts w:ascii="Century Gothic" w:eastAsia="Arial" w:hAnsi="Century Gothic"/>
                <w:b/>
              </w:rPr>
            </w:pPr>
            <w:r w:rsidRPr="009C55E4">
              <w:rPr>
                <w:rFonts w:ascii="Century Gothic" w:eastAsia="Arial" w:hAnsi="Century Gothic"/>
              </w:rPr>
              <w:t xml:space="preserve">The joint objective of the Shareholders is to increase the value of the shares of the Company and to </w:t>
            </w:r>
            <w:proofErr w:type="spellStart"/>
            <w:r w:rsidRPr="009C55E4">
              <w:rPr>
                <w:rFonts w:ascii="Century Gothic" w:eastAsia="Arial" w:hAnsi="Century Gothic"/>
              </w:rPr>
              <w:t>realise</w:t>
            </w:r>
            <w:proofErr w:type="spellEnd"/>
            <w:r w:rsidRPr="009C55E4">
              <w:rPr>
                <w:rFonts w:ascii="Century Gothic" w:eastAsia="Arial" w:hAnsi="Century Gothic"/>
              </w:rPr>
              <w:t xml:space="preserve"> such value at an Exit before [date].</w:t>
            </w:r>
          </w:p>
          <w:p w14:paraId="0284A510" w14:textId="77777777" w:rsidR="001556AB" w:rsidRPr="009C55E4" w:rsidRDefault="001556AB" w:rsidP="009C55E4">
            <w:pPr>
              <w:spacing w:line="276" w:lineRule="auto"/>
              <w:rPr>
                <w:rFonts w:ascii="Century Gothic" w:eastAsia="Arial" w:hAnsi="Century Gothic"/>
              </w:rPr>
            </w:pPr>
            <w:r w:rsidRPr="009C55E4">
              <w:rPr>
                <w:rFonts w:ascii="Century Gothic" w:eastAsia="Arial" w:hAnsi="Century Gothic"/>
              </w:rPr>
              <w:t xml:space="preserve">An Exit is an event whereby all or a material part of the value of the Company is </w:t>
            </w:r>
            <w:proofErr w:type="spellStart"/>
            <w:r w:rsidRPr="009C55E4">
              <w:rPr>
                <w:rFonts w:ascii="Century Gothic" w:eastAsia="Arial" w:hAnsi="Century Gothic"/>
              </w:rPr>
              <w:t>realised</w:t>
            </w:r>
            <w:proofErr w:type="spellEnd"/>
            <w:r w:rsidRPr="009C55E4">
              <w:rPr>
                <w:rFonts w:ascii="Century Gothic" w:eastAsia="Arial" w:hAnsi="Century Gothic"/>
              </w:rPr>
              <w:t xml:space="preserve"> in consideration for cash or securities. An Exit may be carried out in various ways, including but not limited </w:t>
            </w:r>
            <w:proofErr w:type="spellStart"/>
            <w:r w:rsidRPr="009C55E4">
              <w:rPr>
                <w:rFonts w:ascii="Century Gothic" w:eastAsia="Arial" w:hAnsi="Century Gothic"/>
              </w:rPr>
              <w:t>to:an</w:t>
            </w:r>
            <w:proofErr w:type="spellEnd"/>
            <w:r w:rsidRPr="009C55E4">
              <w:rPr>
                <w:rFonts w:ascii="Century Gothic" w:eastAsia="Arial" w:hAnsi="Century Gothic"/>
              </w:rPr>
              <w:t xml:space="preserve"> initial public offering of the Company's shares (“IPO”);</w:t>
            </w:r>
          </w:p>
          <w:p w14:paraId="35BCFF93" w14:textId="77777777" w:rsidR="001556AB" w:rsidRPr="009C55E4" w:rsidRDefault="001556AB" w:rsidP="009C55E4">
            <w:pPr>
              <w:spacing w:line="276" w:lineRule="auto"/>
              <w:rPr>
                <w:rFonts w:ascii="Century Gothic" w:eastAsia="Arial" w:hAnsi="Century Gothic"/>
              </w:rPr>
            </w:pPr>
            <w:r w:rsidRPr="009C55E4">
              <w:rPr>
                <w:rFonts w:ascii="Century Gothic" w:eastAsia="Arial" w:hAnsi="Century Gothic"/>
              </w:rPr>
              <w:t>a trade sale of all or substantially all of the Company’s shares (for cash or share consideration) including a sale pursuant to the tag-along or drag-along provisions, see below; a sale or licensing of the Company’s activities, including a sale or licensing of all or substantially all of the Company’s assets or IPR (with subsequent shareholder distribution);</w:t>
            </w:r>
          </w:p>
          <w:p w14:paraId="2EA57D0D" w14:textId="77777777" w:rsidR="001556AB" w:rsidRPr="009C55E4" w:rsidRDefault="001556AB" w:rsidP="009C55E4">
            <w:pPr>
              <w:tabs>
                <w:tab w:val="left" w:pos="3040"/>
              </w:tabs>
              <w:spacing w:line="276" w:lineRule="auto"/>
              <w:rPr>
                <w:rFonts w:ascii="Century Gothic" w:eastAsia="Arial" w:hAnsi="Century Gothic"/>
              </w:rPr>
            </w:pPr>
            <w:r w:rsidRPr="009C55E4">
              <w:rPr>
                <w:rFonts w:ascii="Century Gothic" w:eastAsia="Arial" w:hAnsi="Century Gothic"/>
              </w:rPr>
              <w:t>a merger; or a combination of the above.</w:t>
            </w:r>
          </w:p>
        </w:tc>
      </w:tr>
      <w:tr w:rsidR="001556AB" w:rsidRPr="009C55E4" w14:paraId="4ED412B3" w14:textId="77777777" w:rsidTr="00F50A29">
        <w:trPr>
          <w:trHeight w:val="1555"/>
        </w:trPr>
        <w:tc>
          <w:tcPr>
            <w:tcW w:w="219" w:type="pct"/>
            <w:vAlign w:val="center"/>
          </w:tcPr>
          <w:p w14:paraId="31B7EA59" w14:textId="77777777" w:rsidR="001556AB" w:rsidRPr="009C55E4" w:rsidRDefault="001556AB" w:rsidP="00F50A29">
            <w:pPr>
              <w:spacing w:line="276" w:lineRule="auto"/>
              <w:jc w:val="center"/>
              <w:rPr>
                <w:rFonts w:ascii="Century Gothic" w:eastAsia="Arial" w:hAnsi="Century Gothic"/>
                <w:b/>
              </w:rPr>
            </w:pPr>
            <w:r w:rsidRPr="009C55E4">
              <w:rPr>
                <w:rFonts w:ascii="Century Gothic" w:eastAsia="Arial" w:hAnsi="Century Gothic"/>
                <w:b/>
              </w:rPr>
              <w:t>3.</w:t>
            </w:r>
          </w:p>
        </w:tc>
        <w:tc>
          <w:tcPr>
            <w:tcW w:w="871" w:type="pct"/>
            <w:vAlign w:val="center"/>
          </w:tcPr>
          <w:p w14:paraId="77A629C7" w14:textId="77777777" w:rsidR="001556AB" w:rsidRPr="009C55E4" w:rsidRDefault="001556AB" w:rsidP="009C55E4">
            <w:pPr>
              <w:tabs>
                <w:tab w:val="left" w:pos="400"/>
                <w:tab w:val="left" w:pos="1940"/>
              </w:tabs>
              <w:spacing w:line="276" w:lineRule="auto"/>
              <w:ind w:left="60"/>
              <w:rPr>
                <w:rFonts w:ascii="Century Gothic" w:eastAsia="Arial" w:hAnsi="Century Gothic"/>
                <w:b/>
              </w:rPr>
            </w:pPr>
            <w:r w:rsidRPr="009C55E4">
              <w:rPr>
                <w:rFonts w:ascii="Century Gothic" w:eastAsia="Arial" w:hAnsi="Century Gothic"/>
                <w:b/>
              </w:rPr>
              <w:t>Liquidation</w:t>
            </w:r>
          </w:p>
        </w:tc>
        <w:tc>
          <w:tcPr>
            <w:tcW w:w="3910" w:type="pct"/>
            <w:vAlign w:val="center"/>
          </w:tcPr>
          <w:p w14:paraId="3C9DA224" w14:textId="77777777" w:rsidR="00584C5A" w:rsidRPr="009C55E4" w:rsidRDefault="001556AB" w:rsidP="009C55E4">
            <w:pPr>
              <w:tabs>
                <w:tab w:val="left" w:pos="1940"/>
              </w:tabs>
              <w:spacing w:line="276" w:lineRule="auto"/>
              <w:rPr>
                <w:rFonts w:ascii="Century Gothic" w:eastAsia="Arial" w:hAnsi="Century Gothic"/>
              </w:rPr>
            </w:pPr>
            <w:r w:rsidRPr="009C55E4">
              <w:rPr>
                <w:rFonts w:ascii="Century Gothic" w:eastAsia="Arial" w:hAnsi="Century Gothic"/>
              </w:rPr>
              <w:t xml:space="preserve">In </w:t>
            </w:r>
            <w:proofErr w:type="gramStart"/>
            <w:r w:rsidRPr="009C55E4">
              <w:rPr>
                <w:rFonts w:ascii="Century Gothic" w:eastAsia="Arial" w:hAnsi="Century Gothic"/>
              </w:rPr>
              <w:t>case  of</w:t>
            </w:r>
            <w:proofErr w:type="gramEnd"/>
            <w:r w:rsidRPr="009C55E4">
              <w:rPr>
                <w:rFonts w:ascii="Century Gothic" w:eastAsia="Arial" w:hAnsi="Century Gothic"/>
              </w:rPr>
              <w:t xml:space="preserve">  an  Exit,  liquidation,  dividend  payment,  dissolution  or  winding  up  of  the  Company</w:t>
            </w:r>
            <w:r w:rsidR="00584C5A" w:rsidRPr="009C55E4">
              <w:rPr>
                <w:rFonts w:ascii="Century Gothic" w:eastAsia="Arial" w:hAnsi="Century Gothic"/>
              </w:rPr>
              <w:t xml:space="preserve"> (“Liquidity Event”), the proceeds (cash, shares or other considerations) shall be distributed as follows:</w:t>
            </w:r>
          </w:p>
          <w:p w14:paraId="066219D2" w14:textId="77777777" w:rsidR="00584C5A" w:rsidRPr="009C55E4" w:rsidRDefault="00584C5A" w:rsidP="009C55E4">
            <w:pPr>
              <w:tabs>
                <w:tab w:val="left" w:pos="3040"/>
              </w:tabs>
              <w:spacing w:line="276" w:lineRule="auto"/>
              <w:rPr>
                <w:rFonts w:ascii="Century Gothic" w:eastAsia="Arial" w:hAnsi="Century Gothic"/>
              </w:rPr>
            </w:pPr>
            <w:r w:rsidRPr="009C55E4">
              <w:rPr>
                <w:rFonts w:ascii="Century Gothic" w:eastAsia="Arial" w:hAnsi="Century Gothic"/>
              </w:rPr>
              <w:t>Firstly, proceeds up to [x times] the subscription price per preference share plus interest hereon of [percentage] p.a. (“hurdle”) from the date of payment of the subscription price.</w:t>
            </w:r>
          </w:p>
          <w:p w14:paraId="7C853F7D" w14:textId="77777777" w:rsidR="00584C5A" w:rsidRPr="009C55E4" w:rsidRDefault="00584C5A" w:rsidP="009C55E4">
            <w:pPr>
              <w:tabs>
                <w:tab w:val="left" w:pos="3040"/>
              </w:tabs>
              <w:spacing w:line="276" w:lineRule="auto"/>
              <w:rPr>
                <w:rFonts w:ascii="Century Gothic" w:eastAsia="Arial" w:hAnsi="Century Gothic"/>
              </w:rPr>
            </w:pPr>
            <w:r w:rsidRPr="009C55E4">
              <w:rPr>
                <w:rFonts w:ascii="Century Gothic" w:eastAsia="Arial" w:hAnsi="Century Gothic"/>
              </w:rPr>
              <w:t>[Catch-up/no catch-up for ordinary shares].</w:t>
            </w:r>
          </w:p>
          <w:p w14:paraId="1EE19313" w14:textId="77777777" w:rsidR="001556AB" w:rsidRPr="009C55E4" w:rsidRDefault="00584C5A" w:rsidP="009C55E4">
            <w:pPr>
              <w:tabs>
                <w:tab w:val="left" w:pos="3040"/>
              </w:tabs>
              <w:spacing w:line="276" w:lineRule="auto"/>
              <w:rPr>
                <w:rFonts w:ascii="Century Gothic" w:eastAsia="Arial" w:hAnsi="Century Gothic"/>
              </w:rPr>
            </w:pPr>
            <w:r w:rsidRPr="009C55E4">
              <w:rPr>
                <w:rFonts w:ascii="Century Gothic" w:eastAsia="Arial" w:hAnsi="Century Gothic"/>
              </w:rPr>
              <w:t>Any remaining proceeds shall be distributed pro rata amongst all Shareholders (according to nominal share values).</w:t>
            </w:r>
          </w:p>
        </w:tc>
      </w:tr>
      <w:tr w:rsidR="00584C5A" w:rsidRPr="009C55E4" w14:paraId="4236C0C6" w14:textId="77777777" w:rsidTr="00F50A29">
        <w:trPr>
          <w:trHeight w:val="1555"/>
        </w:trPr>
        <w:tc>
          <w:tcPr>
            <w:tcW w:w="219" w:type="pct"/>
            <w:vAlign w:val="center"/>
          </w:tcPr>
          <w:p w14:paraId="38DE2BDA" w14:textId="77777777" w:rsidR="00584C5A" w:rsidRPr="009C55E4" w:rsidRDefault="00584C5A" w:rsidP="00F50A29">
            <w:pPr>
              <w:spacing w:line="276" w:lineRule="auto"/>
              <w:jc w:val="center"/>
              <w:rPr>
                <w:rFonts w:ascii="Century Gothic" w:eastAsia="Arial" w:hAnsi="Century Gothic"/>
                <w:b/>
              </w:rPr>
            </w:pPr>
            <w:r w:rsidRPr="009C55E4">
              <w:rPr>
                <w:rFonts w:ascii="Century Gothic" w:eastAsia="Arial" w:hAnsi="Century Gothic"/>
                <w:b/>
              </w:rPr>
              <w:t>4.</w:t>
            </w:r>
          </w:p>
        </w:tc>
        <w:tc>
          <w:tcPr>
            <w:tcW w:w="871" w:type="pct"/>
            <w:vAlign w:val="center"/>
          </w:tcPr>
          <w:p w14:paraId="3E452755" w14:textId="77777777" w:rsidR="00584C5A" w:rsidRPr="009C55E4" w:rsidRDefault="00584C5A" w:rsidP="009C55E4">
            <w:pPr>
              <w:tabs>
                <w:tab w:val="left" w:pos="400"/>
                <w:tab w:val="left" w:pos="1940"/>
              </w:tabs>
              <w:spacing w:line="276" w:lineRule="auto"/>
              <w:ind w:left="60"/>
              <w:rPr>
                <w:rFonts w:ascii="Century Gothic" w:eastAsia="Arial" w:hAnsi="Century Gothic"/>
                <w:b/>
              </w:rPr>
            </w:pPr>
            <w:r w:rsidRPr="009C55E4">
              <w:rPr>
                <w:rFonts w:ascii="Century Gothic" w:eastAsia="Arial" w:hAnsi="Century Gothic"/>
                <w:b/>
              </w:rPr>
              <w:t>Dividend</w:t>
            </w:r>
          </w:p>
        </w:tc>
        <w:tc>
          <w:tcPr>
            <w:tcW w:w="3910" w:type="pct"/>
            <w:vAlign w:val="center"/>
          </w:tcPr>
          <w:p w14:paraId="7E02B93F" w14:textId="77777777" w:rsidR="00584C5A" w:rsidRPr="009C55E4" w:rsidRDefault="00584C5A" w:rsidP="009C55E4">
            <w:pPr>
              <w:tabs>
                <w:tab w:val="left" w:pos="420"/>
              </w:tabs>
              <w:spacing w:line="276" w:lineRule="auto"/>
              <w:rPr>
                <w:rFonts w:ascii="Century Gothic" w:eastAsia="Arial" w:hAnsi="Century Gothic"/>
                <w:b/>
              </w:rPr>
            </w:pPr>
            <w:r w:rsidRPr="009C55E4">
              <w:rPr>
                <w:rFonts w:ascii="Century Gothic" w:eastAsia="Arial" w:hAnsi="Century Gothic"/>
              </w:rPr>
              <w:t>Considering the objective of the Investment, neither the Founders nor the Investors have any expectations of future dividend payments from the Company, except in connection with an Exit according to clause 2 (iii) above or partial divestiture of Company assets or upon liquidation of the Company.</w:t>
            </w:r>
          </w:p>
          <w:p w14:paraId="4989B021" w14:textId="77777777" w:rsidR="00584C5A" w:rsidRPr="009C55E4" w:rsidRDefault="00584C5A" w:rsidP="009C55E4">
            <w:pPr>
              <w:spacing w:line="276" w:lineRule="auto"/>
              <w:rPr>
                <w:rFonts w:ascii="Century Gothic" w:eastAsia="Arial" w:hAnsi="Century Gothic"/>
              </w:rPr>
            </w:pPr>
            <w:r w:rsidRPr="009C55E4">
              <w:rPr>
                <w:rFonts w:ascii="Century Gothic" w:eastAsia="Arial" w:hAnsi="Century Gothic"/>
              </w:rPr>
              <w:t>In case of any dividend payments from the Company, the Investors shall be entitled to a preference as if a Liquidity Event had occurred.</w:t>
            </w:r>
          </w:p>
        </w:tc>
      </w:tr>
      <w:tr w:rsidR="00584C5A" w:rsidRPr="009C55E4" w14:paraId="047287EA" w14:textId="77777777" w:rsidTr="00F50A29">
        <w:trPr>
          <w:trHeight w:val="1555"/>
        </w:trPr>
        <w:tc>
          <w:tcPr>
            <w:tcW w:w="219" w:type="pct"/>
            <w:vAlign w:val="center"/>
          </w:tcPr>
          <w:p w14:paraId="498E3D27" w14:textId="77777777" w:rsidR="00584C5A" w:rsidRPr="009C55E4" w:rsidRDefault="00584C5A" w:rsidP="00F50A29">
            <w:pPr>
              <w:spacing w:line="276" w:lineRule="auto"/>
              <w:jc w:val="center"/>
              <w:rPr>
                <w:rFonts w:ascii="Century Gothic" w:eastAsia="Arial" w:hAnsi="Century Gothic"/>
                <w:b/>
              </w:rPr>
            </w:pPr>
            <w:r w:rsidRPr="009C55E4">
              <w:rPr>
                <w:rFonts w:ascii="Century Gothic" w:eastAsia="Arial" w:hAnsi="Century Gothic"/>
                <w:b/>
              </w:rPr>
              <w:lastRenderedPageBreak/>
              <w:t>5.</w:t>
            </w:r>
          </w:p>
        </w:tc>
        <w:tc>
          <w:tcPr>
            <w:tcW w:w="871" w:type="pct"/>
            <w:vAlign w:val="center"/>
          </w:tcPr>
          <w:p w14:paraId="70CCD71C" w14:textId="77777777" w:rsidR="00584C5A" w:rsidRPr="009C55E4" w:rsidRDefault="00584C5A" w:rsidP="009C55E4">
            <w:pPr>
              <w:tabs>
                <w:tab w:val="left" w:pos="400"/>
                <w:tab w:val="left" w:pos="1940"/>
              </w:tabs>
              <w:spacing w:line="276" w:lineRule="auto"/>
              <w:ind w:left="60"/>
              <w:rPr>
                <w:rFonts w:ascii="Century Gothic" w:eastAsia="Arial" w:hAnsi="Century Gothic"/>
                <w:b/>
              </w:rPr>
            </w:pPr>
            <w:r w:rsidRPr="009C55E4">
              <w:rPr>
                <w:rFonts w:ascii="Century Gothic" w:eastAsia="Arial" w:hAnsi="Century Gothic"/>
                <w:b/>
              </w:rPr>
              <w:t xml:space="preserve">Mandatory Preferences </w:t>
            </w:r>
          </w:p>
        </w:tc>
        <w:tc>
          <w:tcPr>
            <w:tcW w:w="3910" w:type="pct"/>
            <w:vAlign w:val="center"/>
          </w:tcPr>
          <w:p w14:paraId="7D65341F" w14:textId="77777777" w:rsidR="00584C5A" w:rsidRPr="009C55E4" w:rsidRDefault="00584C5A" w:rsidP="009C55E4">
            <w:pPr>
              <w:tabs>
                <w:tab w:val="left" w:pos="420"/>
              </w:tabs>
              <w:spacing w:line="276" w:lineRule="auto"/>
              <w:rPr>
                <w:rFonts w:ascii="Century Gothic" w:eastAsia="Arial" w:hAnsi="Century Gothic"/>
                <w:b/>
              </w:rPr>
            </w:pPr>
            <w:r w:rsidRPr="009C55E4">
              <w:rPr>
                <w:rFonts w:ascii="Century Gothic" w:eastAsia="Arial" w:hAnsi="Century Gothic"/>
              </w:rPr>
              <w:t xml:space="preserve">All preference shares shall automatically be converted at a conversion price of [conversion price] into ordinary shares upon the closing of an IPO on </w:t>
            </w:r>
            <w:proofErr w:type="spellStart"/>
            <w:r w:rsidRPr="009C55E4">
              <w:rPr>
                <w:rFonts w:ascii="Century Gothic" w:eastAsia="Arial" w:hAnsi="Century Gothic"/>
              </w:rPr>
              <w:t>recognised</w:t>
            </w:r>
            <w:proofErr w:type="spellEnd"/>
            <w:r w:rsidRPr="009C55E4">
              <w:rPr>
                <w:rFonts w:ascii="Century Gothic" w:eastAsia="Arial" w:hAnsi="Century Gothic"/>
              </w:rPr>
              <w:t xml:space="preserve"> exchange(s) (with a list of the relevant exchange(s) to be agreed and set out in the definitive documents at Closing) with net proceeds in excess of [amount] and in which the share price is at least [x times] the [Subscription Price 1].</w:t>
            </w:r>
          </w:p>
          <w:p w14:paraId="2E8D7948" w14:textId="77777777" w:rsidR="00584C5A" w:rsidRPr="009C55E4" w:rsidRDefault="00584C5A" w:rsidP="009C55E4">
            <w:pPr>
              <w:tabs>
                <w:tab w:val="left" w:pos="420"/>
              </w:tabs>
              <w:spacing w:line="276" w:lineRule="auto"/>
              <w:rPr>
                <w:rFonts w:ascii="Century Gothic" w:eastAsia="Arial" w:hAnsi="Century Gothic"/>
              </w:rPr>
            </w:pPr>
          </w:p>
        </w:tc>
      </w:tr>
      <w:tr w:rsidR="00584C5A" w:rsidRPr="009C55E4" w14:paraId="49530615" w14:textId="77777777" w:rsidTr="00F50A29">
        <w:trPr>
          <w:trHeight w:val="1555"/>
        </w:trPr>
        <w:tc>
          <w:tcPr>
            <w:tcW w:w="219" w:type="pct"/>
            <w:vAlign w:val="center"/>
          </w:tcPr>
          <w:p w14:paraId="38D4DDCC" w14:textId="77777777" w:rsidR="00584C5A" w:rsidRPr="009C55E4" w:rsidRDefault="00584C5A" w:rsidP="00F50A29">
            <w:pPr>
              <w:spacing w:line="276" w:lineRule="auto"/>
              <w:jc w:val="center"/>
              <w:rPr>
                <w:rFonts w:ascii="Century Gothic" w:eastAsia="Arial" w:hAnsi="Century Gothic"/>
                <w:b/>
              </w:rPr>
            </w:pPr>
            <w:r w:rsidRPr="009C55E4">
              <w:rPr>
                <w:rFonts w:ascii="Century Gothic" w:eastAsia="Arial" w:hAnsi="Century Gothic"/>
                <w:b/>
              </w:rPr>
              <w:t>6.</w:t>
            </w:r>
          </w:p>
        </w:tc>
        <w:tc>
          <w:tcPr>
            <w:tcW w:w="871" w:type="pct"/>
            <w:vAlign w:val="center"/>
          </w:tcPr>
          <w:p w14:paraId="594DA104" w14:textId="77777777" w:rsidR="00584C5A" w:rsidRPr="009C55E4" w:rsidRDefault="00584C5A" w:rsidP="009C55E4">
            <w:pPr>
              <w:tabs>
                <w:tab w:val="left" w:pos="400"/>
                <w:tab w:val="left" w:pos="1940"/>
              </w:tabs>
              <w:spacing w:line="276" w:lineRule="auto"/>
              <w:ind w:left="60"/>
              <w:rPr>
                <w:rFonts w:ascii="Century Gothic" w:eastAsia="Arial" w:hAnsi="Century Gothic"/>
                <w:b/>
              </w:rPr>
            </w:pPr>
            <w:r w:rsidRPr="009C55E4">
              <w:rPr>
                <w:rFonts w:ascii="Century Gothic" w:eastAsia="Arial" w:hAnsi="Century Gothic"/>
                <w:b/>
              </w:rPr>
              <w:t>Mandatory</w:t>
            </w:r>
          </w:p>
          <w:p w14:paraId="1227025A" w14:textId="77777777" w:rsidR="00584C5A" w:rsidRPr="009C55E4" w:rsidRDefault="00584C5A" w:rsidP="009C55E4">
            <w:pPr>
              <w:tabs>
                <w:tab w:val="left" w:pos="400"/>
                <w:tab w:val="left" w:pos="1940"/>
              </w:tabs>
              <w:spacing w:line="276" w:lineRule="auto"/>
              <w:ind w:left="60"/>
              <w:rPr>
                <w:rFonts w:ascii="Century Gothic" w:eastAsia="Arial" w:hAnsi="Century Gothic"/>
                <w:b/>
              </w:rPr>
            </w:pPr>
            <w:r w:rsidRPr="009C55E4">
              <w:rPr>
                <w:rFonts w:ascii="Century Gothic" w:eastAsia="Arial" w:hAnsi="Century Gothic"/>
                <w:b/>
              </w:rPr>
              <w:t>redemption:</w:t>
            </w:r>
          </w:p>
        </w:tc>
        <w:tc>
          <w:tcPr>
            <w:tcW w:w="3910" w:type="pct"/>
            <w:vAlign w:val="center"/>
          </w:tcPr>
          <w:p w14:paraId="7D91FFBF" w14:textId="77777777" w:rsidR="00584C5A" w:rsidRPr="009C55E4" w:rsidRDefault="00584C5A" w:rsidP="009C55E4">
            <w:pPr>
              <w:tabs>
                <w:tab w:val="left" w:pos="420"/>
              </w:tabs>
              <w:spacing w:line="276" w:lineRule="auto"/>
              <w:rPr>
                <w:rFonts w:ascii="Century Gothic" w:eastAsia="Arial" w:hAnsi="Century Gothic"/>
                <w:b/>
              </w:rPr>
            </w:pPr>
            <w:r w:rsidRPr="009C55E4">
              <w:rPr>
                <w:rFonts w:ascii="Century Gothic" w:eastAsia="Arial" w:hAnsi="Century Gothic"/>
              </w:rPr>
              <w:t>If no Liquidity Event has occurred before [date] the Investors [subject to certain Investor majority] can to the extent permitted under applicable law require the Company to redeem the preference shares in three equal yearly instalments. The redemption amount shall be equal to [Subscription Price 1] plus an annual interest of [percentage] p.a. (“hurdle”).</w:t>
            </w:r>
          </w:p>
          <w:p w14:paraId="650D4669" w14:textId="77777777" w:rsidR="00584C5A" w:rsidRPr="009C55E4" w:rsidRDefault="00584C5A" w:rsidP="009C55E4">
            <w:pPr>
              <w:tabs>
                <w:tab w:val="left" w:pos="420"/>
              </w:tabs>
              <w:spacing w:line="276" w:lineRule="auto"/>
              <w:rPr>
                <w:rFonts w:ascii="Century Gothic" w:eastAsia="Arial" w:hAnsi="Century Gothic"/>
              </w:rPr>
            </w:pPr>
          </w:p>
        </w:tc>
      </w:tr>
      <w:tr w:rsidR="00584C5A" w:rsidRPr="009C55E4" w14:paraId="66FA3FBB" w14:textId="77777777" w:rsidTr="00F50A29">
        <w:trPr>
          <w:trHeight w:val="1555"/>
        </w:trPr>
        <w:tc>
          <w:tcPr>
            <w:tcW w:w="219" w:type="pct"/>
            <w:vAlign w:val="center"/>
          </w:tcPr>
          <w:p w14:paraId="111D289A" w14:textId="77777777" w:rsidR="00584C5A" w:rsidRPr="009C55E4" w:rsidRDefault="00584C5A" w:rsidP="00F50A29">
            <w:pPr>
              <w:spacing w:line="276" w:lineRule="auto"/>
              <w:jc w:val="center"/>
              <w:rPr>
                <w:rFonts w:ascii="Century Gothic" w:eastAsia="Arial" w:hAnsi="Century Gothic"/>
                <w:b/>
              </w:rPr>
            </w:pPr>
            <w:r w:rsidRPr="009C55E4">
              <w:rPr>
                <w:rFonts w:ascii="Century Gothic" w:eastAsia="Arial" w:hAnsi="Century Gothic"/>
                <w:b/>
              </w:rPr>
              <w:t>7.</w:t>
            </w:r>
          </w:p>
        </w:tc>
        <w:tc>
          <w:tcPr>
            <w:tcW w:w="871" w:type="pct"/>
            <w:vAlign w:val="center"/>
          </w:tcPr>
          <w:p w14:paraId="26AB4EAC" w14:textId="77777777" w:rsidR="00584C5A" w:rsidRPr="009C55E4" w:rsidRDefault="00584C5A" w:rsidP="009C55E4">
            <w:pPr>
              <w:tabs>
                <w:tab w:val="left" w:pos="400"/>
                <w:tab w:val="left" w:pos="1940"/>
              </w:tabs>
              <w:spacing w:line="276" w:lineRule="auto"/>
              <w:ind w:left="60"/>
              <w:rPr>
                <w:rFonts w:ascii="Century Gothic" w:eastAsia="Arial" w:hAnsi="Century Gothic"/>
                <w:b/>
              </w:rPr>
            </w:pPr>
            <w:r w:rsidRPr="009C55E4">
              <w:rPr>
                <w:rFonts w:ascii="Century Gothic" w:eastAsia="Arial" w:hAnsi="Century Gothic"/>
                <w:b/>
              </w:rPr>
              <w:t>Anti-dilution:</w:t>
            </w:r>
          </w:p>
        </w:tc>
        <w:tc>
          <w:tcPr>
            <w:tcW w:w="3910" w:type="pct"/>
            <w:vAlign w:val="center"/>
          </w:tcPr>
          <w:p w14:paraId="14F5F534" w14:textId="77777777" w:rsidR="00584C5A" w:rsidRPr="009C55E4" w:rsidRDefault="00584C5A" w:rsidP="009C55E4">
            <w:pPr>
              <w:spacing w:line="276" w:lineRule="auto"/>
              <w:rPr>
                <w:rFonts w:ascii="Century Gothic" w:eastAsia="Arial" w:hAnsi="Century Gothic"/>
              </w:rPr>
            </w:pPr>
            <w:r w:rsidRPr="009C55E4">
              <w:rPr>
                <w:rFonts w:ascii="Century Gothic" w:eastAsia="Arial" w:hAnsi="Century Gothic"/>
              </w:rPr>
              <w:t>Full ratchet:</w:t>
            </w:r>
          </w:p>
          <w:p w14:paraId="3ACC81C4" w14:textId="77777777" w:rsidR="00584C5A" w:rsidRPr="009C55E4" w:rsidRDefault="00584C5A" w:rsidP="009C55E4">
            <w:pPr>
              <w:spacing w:line="276" w:lineRule="auto"/>
              <w:rPr>
                <w:rFonts w:ascii="Century Gothic" w:eastAsia="Arial" w:hAnsi="Century Gothic"/>
              </w:rPr>
            </w:pPr>
            <w:r w:rsidRPr="009C55E4">
              <w:rPr>
                <w:rFonts w:ascii="Century Gothic" w:eastAsia="Arial" w:hAnsi="Century Gothic"/>
              </w:rPr>
              <w:t>If the Company issues any additional shares (including, but not limited to, all classes of shares, warrants,  rights  to  subscribe  for  shares  and  securities  convertible  into  any  share  class)  for  a consideration per share that is less than the subscription price per preference share (as adjusted for any change of nominal values of shares, e.g. share splits and similar events), the subscription price(as adjusted for share splits, consolidations of shares and similar events) of the preference shares issued subject to this Investment shall be adjusted on a full ratchet basis. The adjustment will be made through the issuance of additional preference shares to the holders of preference shares at par value (i.e. DKK 1 per preference share of nominally DKK 1), so that the ownership of the Investors after the dilutive issuance shall be set equal to the ownership that the Investors would have had if the subscription price paid by the Investors (based on the Investment amount added for the avoidance of doubt the amount paid to subscribe for the anti-dilution shares) had been the same as the price of the dilutive issuance (Attachment: Full ratchet – Example).</w:t>
            </w:r>
          </w:p>
          <w:p w14:paraId="529B06AE" w14:textId="77777777" w:rsidR="00584C5A" w:rsidRPr="009C55E4" w:rsidRDefault="00584C5A" w:rsidP="009C55E4">
            <w:pPr>
              <w:spacing w:line="276" w:lineRule="auto"/>
              <w:rPr>
                <w:rFonts w:ascii="Century Gothic" w:eastAsia="Arial" w:hAnsi="Century Gothic"/>
                <w:u w:val="single"/>
              </w:rPr>
            </w:pPr>
            <w:r w:rsidRPr="009C55E4">
              <w:rPr>
                <w:rFonts w:ascii="Century Gothic" w:eastAsia="Arial" w:hAnsi="Century Gothic"/>
                <w:u w:val="single"/>
              </w:rPr>
              <w:t>or</w:t>
            </w:r>
          </w:p>
          <w:p w14:paraId="205C302F" w14:textId="77777777" w:rsidR="00584C5A" w:rsidRPr="009C55E4" w:rsidRDefault="00584C5A" w:rsidP="009C55E4">
            <w:pPr>
              <w:spacing w:line="276" w:lineRule="auto"/>
              <w:rPr>
                <w:rFonts w:ascii="Century Gothic" w:eastAsia="Arial" w:hAnsi="Century Gothic"/>
              </w:rPr>
            </w:pPr>
            <w:r w:rsidRPr="009C55E4">
              <w:rPr>
                <w:rFonts w:ascii="Century Gothic" w:eastAsia="Arial" w:hAnsi="Century Gothic"/>
              </w:rPr>
              <w:t>Weighted average:</w:t>
            </w:r>
          </w:p>
          <w:p w14:paraId="0BB12EEE" w14:textId="77777777" w:rsidR="00584C5A" w:rsidRPr="009C55E4" w:rsidRDefault="00584C5A" w:rsidP="009C55E4">
            <w:pPr>
              <w:spacing w:line="276" w:lineRule="auto"/>
              <w:rPr>
                <w:rFonts w:ascii="Century Gothic" w:eastAsia="Arial" w:hAnsi="Century Gothic"/>
              </w:rPr>
            </w:pPr>
            <w:r w:rsidRPr="009C55E4">
              <w:rPr>
                <w:rFonts w:ascii="Century Gothic" w:eastAsia="Arial" w:hAnsi="Century Gothic"/>
              </w:rPr>
              <w:t xml:space="preserve">If the Company issues any additional shares (including, but not limited to all classes of shares, warrants, rights to subscribe for shares and securities convertible into any share class) for a consideration per share that is less than the subscription price per preference share (as adjusted for any change of nominal values of shares, e.g. share splits and similar events), the subscription price (as adjusted for share splits, consolidations of shares and similar events) of the preference shares issued subject to this Investment shall be adjusted on a weighted average basis. The adjustment will be made through the issuance of additional preference shares to the holders of preference shares at par value (i.e. DKK 1 per preference share of nominally DKK 1). Accordingly, the price per preference share shall be subject to an anti-dilution adjustment by which the pro rata share ownership of the Investors after the dilutive issue shall be set to equal the ownership that the Investors would have had if the dilutive issue had taken place at the same subscription price paid by the Investors (based on the Investment amount, </w:t>
            </w:r>
            <w:r w:rsidRPr="009C55E4">
              <w:rPr>
                <w:rFonts w:ascii="Century Gothic" w:eastAsia="Arial" w:hAnsi="Century Gothic"/>
              </w:rPr>
              <w:lastRenderedPageBreak/>
              <w:t>added for the avoidance of doubt the amount paid to subscribe for the anti-dilution shares) (Attachment: Weighted average – Example).</w:t>
            </w:r>
          </w:p>
          <w:p w14:paraId="27620840" w14:textId="77777777" w:rsidR="00584C5A" w:rsidRPr="009C55E4" w:rsidRDefault="00584C5A" w:rsidP="009C55E4">
            <w:pPr>
              <w:spacing w:line="276" w:lineRule="auto"/>
              <w:rPr>
                <w:rFonts w:ascii="Century Gothic" w:eastAsia="Arial" w:hAnsi="Century Gothic"/>
              </w:rPr>
            </w:pPr>
            <w:r w:rsidRPr="009C55E4">
              <w:rPr>
                <w:rFonts w:ascii="Century Gothic" w:eastAsia="Arial" w:hAnsi="Century Gothic"/>
              </w:rPr>
              <w:t>[If the Company subsequent to the Investment makes an issue of shares in which the Investors are entitled to participate and the Investors elect not to do so (i.e. do not wish to “pay to play”) for at least [percentage] of their allocation, the Investors will lose their anti-dilution rights in respect of any preference shares they hold.]</w:t>
            </w:r>
          </w:p>
          <w:p w14:paraId="76E34408" w14:textId="77777777" w:rsidR="00584C5A" w:rsidRPr="009C55E4" w:rsidRDefault="00584C5A" w:rsidP="009C55E4">
            <w:pPr>
              <w:spacing w:line="276" w:lineRule="auto"/>
              <w:rPr>
                <w:rFonts w:ascii="Century Gothic" w:eastAsia="Arial" w:hAnsi="Century Gothic"/>
              </w:rPr>
            </w:pPr>
            <w:r w:rsidRPr="009C55E4">
              <w:rPr>
                <w:rFonts w:ascii="Century Gothic" w:eastAsia="Arial" w:hAnsi="Century Gothic"/>
              </w:rPr>
              <w:t xml:space="preserve">Shares issued as a consequence of employee warrant </w:t>
            </w:r>
            <w:proofErr w:type="spellStart"/>
            <w:r w:rsidRPr="009C55E4">
              <w:rPr>
                <w:rFonts w:ascii="Century Gothic" w:eastAsia="Arial" w:hAnsi="Century Gothic"/>
              </w:rPr>
              <w:t>programmes</w:t>
            </w:r>
            <w:proofErr w:type="spellEnd"/>
            <w:r w:rsidRPr="009C55E4">
              <w:rPr>
                <w:rFonts w:ascii="Century Gothic" w:eastAsia="Arial" w:hAnsi="Century Gothic"/>
              </w:rPr>
              <w:t xml:space="preserve"> shall not trigger the above </w:t>
            </w:r>
            <w:proofErr w:type="spellStart"/>
            <w:r w:rsidRPr="009C55E4">
              <w:rPr>
                <w:rFonts w:ascii="Century Gothic" w:eastAsia="Arial" w:hAnsi="Century Gothic"/>
              </w:rPr>
              <w:t>anti dilution</w:t>
            </w:r>
            <w:proofErr w:type="spellEnd"/>
            <w:r w:rsidRPr="009C55E4">
              <w:rPr>
                <w:rFonts w:ascii="Century Gothic" w:eastAsia="Arial" w:hAnsi="Century Gothic"/>
              </w:rPr>
              <w:t xml:space="preserve"> [or “pay to play”] mechanisms.</w:t>
            </w:r>
          </w:p>
          <w:p w14:paraId="07B5DD5F" w14:textId="77777777" w:rsidR="00584C5A" w:rsidRPr="009C55E4" w:rsidRDefault="00584C5A" w:rsidP="009C55E4">
            <w:pPr>
              <w:tabs>
                <w:tab w:val="left" w:pos="420"/>
              </w:tabs>
              <w:spacing w:line="276" w:lineRule="auto"/>
              <w:rPr>
                <w:rFonts w:ascii="Century Gothic" w:eastAsia="Arial" w:hAnsi="Century Gothic"/>
              </w:rPr>
            </w:pPr>
          </w:p>
        </w:tc>
      </w:tr>
      <w:tr w:rsidR="00584C5A" w:rsidRPr="009C55E4" w14:paraId="61C608CE" w14:textId="77777777" w:rsidTr="00F50A29">
        <w:trPr>
          <w:trHeight w:val="1555"/>
        </w:trPr>
        <w:tc>
          <w:tcPr>
            <w:tcW w:w="219" w:type="pct"/>
            <w:vAlign w:val="center"/>
          </w:tcPr>
          <w:p w14:paraId="296BC7F2" w14:textId="77777777" w:rsidR="00584C5A" w:rsidRPr="009C55E4" w:rsidRDefault="00584C5A" w:rsidP="00F50A29">
            <w:pPr>
              <w:spacing w:line="276" w:lineRule="auto"/>
              <w:jc w:val="center"/>
              <w:rPr>
                <w:rFonts w:ascii="Century Gothic" w:eastAsia="Arial" w:hAnsi="Century Gothic"/>
                <w:b/>
              </w:rPr>
            </w:pPr>
            <w:r w:rsidRPr="009C55E4">
              <w:rPr>
                <w:rFonts w:ascii="Century Gothic" w:eastAsia="Arial" w:hAnsi="Century Gothic"/>
                <w:b/>
              </w:rPr>
              <w:lastRenderedPageBreak/>
              <w:t>8.</w:t>
            </w:r>
          </w:p>
        </w:tc>
        <w:tc>
          <w:tcPr>
            <w:tcW w:w="871" w:type="pct"/>
            <w:vAlign w:val="center"/>
          </w:tcPr>
          <w:p w14:paraId="26E24EAE" w14:textId="77777777" w:rsidR="00584C5A" w:rsidRPr="009C55E4" w:rsidRDefault="00584C5A" w:rsidP="009C55E4">
            <w:pPr>
              <w:tabs>
                <w:tab w:val="left" w:pos="400"/>
                <w:tab w:val="left" w:pos="1940"/>
              </w:tabs>
              <w:spacing w:line="276" w:lineRule="auto"/>
              <w:ind w:left="60"/>
              <w:rPr>
                <w:rFonts w:ascii="Century Gothic" w:eastAsia="Arial" w:hAnsi="Century Gothic"/>
                <w:b/>
              </w:rPr>
            </w:pPr>
            <w:r w:rsidRPr="009C55E4">
              <w:rPr>
                <w:rFonts w:ascii="Century Gothic" w:eastAsia="Arial" w:hAnsi="Century Gothic"/>
                <w:b/>
              </w:rPr>
              <w:t>Voting rights</w:t>
            </w:r>
          </w:p>
        </w:tc>
        <w:tc>
          <w:tcPr>
            <w:tcW w:w="3910" w:type="pct"/>
            <w:vAlign w:val="center"/>
          </w:tcPr>
          <w:p w14:paraId="52F132CA" w14:textId="77777777" w:rsidR="00584C5A" w:rsidRPr="009C55E4" w:rsidRDefault="00584C5A" w:rsidP="009C55E4">
            <w:pPr>
              <w:tabs>
                <w:tab w:val="left" w:pos="420"/>
              </w:tabs>
              <w:spacing w:line="276" w:lineRule="auto"/>
              <w:rPr>
                <w:rFonts w:ascii="Century Gothic" w:eastAsia="Arial" w:hAnsi="Century Gothic"/>
                <w:b/>
              </w:rPr>
            </w:pPr>
            <w:r w:rsidRPr="009C55E4">
              <w:rPr>
                <w:rFonts w:ascii="Century Gothic" w:eastAsia="Arial" w:hAnsi="Century Gothic"/>
              </w:rPr>
              <w:t>All shares will have the right to one vote each.</w:t>
            </w:r>
          </w:p>
          <w:p w14:paraId="0A365776" w14:textId="77777777" w:rsidR="00584C5A" w:rsidRPr="009C55E4" w:rsidRDefault="00584C5A" w:rsidP="009C55E4">
            <w:pPr>
              <w:spacing w:line="276" w:lineRule="auto"/>
              <w:rPr>
                <w:rFonts w:ascii="Century Gothic" w:eastAsia="Arial" w:hAnsi="Century Gothic"/>
              </w:rPr>
            </w:pPr>
          </w:p>
        </w:tc>
      </w:tr>
      <w:tr w:rsidR="00584C5A" w:rsidRPr="009C55E4" w14:paraId="16A4FC08" w14:textId="77777777" w:rsidTr="00F50A29">
        <w:trPr>
          <w:trHeight w:val="1555"/>
        </w:trPr>
        <w:tc>
          <w:tcPr>
            <w:tcW w:w="219" w:type="pct"/>
            <w:vAlign w:val="center"/>
          </w:tcPr>
          <w:p w14:paraId="054CB6DC" w14:textId="77777777" w:rsidR="00584C5A" w:rsidRPr="009C55E4" w:rsidRDefault="00584C5A" w:rsidP="00F50A29">
            <w:pPr>
              <w:spacing w:line="276" w:lineRule="auto"/>
              <w:jc w:val="center"/>
              <w:rPr>
                <w:rFonts w:ascii="Century Gothic" w:eastAsia="Arial" w:hAnsi="Century Gothic"/>
                <w:b/>
              </w:rPr>
            </w:pPr>
            <w:r w:rsidRPr="009C55E4">
              <w:rPr>
                <w:rFonts w:ascii="Century Gothic" w:eastAsia="Arial" w:hAnsi="Century Gothic"/>
                <w:b/>
              </w:rPr>
              <w:t>9.</w:t>
            </w:r>
          </w:p>
        </w:tc>
        <w:tc>
          <w:tcPr>
            <w:tcW w:w="871" w:type="pct"/>
            <w:vAlign w:val="center"/>
          </w:tcPr>
          <w:p w14:paraId="6B0FB83D" w14:textId="77777777" w:rsidR="00584C5A" w:rsidRPr="009C55E4" w:rsidRDefault="00584C5A" w:rsidP="009C55E4">
            <w:pPr>
              <w:tabs>
                <w:tab w:val="left" w:pos="400"/>
                <w:tab w:val="left" w:pos="1940"/>
              </w:tabs>
              <w:spacing w:line="276" w:lineRule="auto"/>
              <w:ind w:left="60"/>
              <w:rPr>
                <w:rFonts w:ascii="Century Gothic" w:eastAsia="Arial" w:hAnsi="Century Gothic"/>
                <w:b/>
              </w:rPr>
            </w:pPr>
            <w:r w:rsidRPr="009C55E4">
              <w:rPr>
                <w:rFonts w:ascii="Century Gothic" w:eastAsia="Arial" w:hAnsi="Century Gothic"/>
                <w:b/>
              </w:rPr>
              <w:t>Board:</w:t>
            </w:r>
          </w:p>
        </w:tc>
        <w:tc>
          <w:tcPr>
            <w:tcW w:w="3910" w:type="pct"/>
            <w:vAlign w:val="center"/>
          </w:tcPr>
          <w:p w14:paraId="551BDD57" w14:textId="77777777" w:rsidR="00584C5A" w:rsidRPr="009C55E4" w:rsidRDefault="00584C5A" w:rsidP="009C55E4">
            <w:pPr>
              <w:tabs>
                <w:tab w:val="left" w:pos="420"/>
              </w:tabs>
              <w:spacing w:line="276" w:lineRule="auto"/>
              <w:rPr>
                <w:rFonts w:ascii="Century Gothic" w:eastAsia="Arial" w:hAnsi="Century Gothic"/>
                <w:b/>
              </w:rPr>
            </w:pPr>
            <w:r w:rsidRPr="009C55E4">
              <w:rPr>
                <w:rFonts w:ascii="Century Gothic" w:eastAsia="Arial" w:hAnsi="Century Gothic"/>
              </w:rPr>
              <w:t>Identification of rights of appointment and number of Board members.</w:t>
            </w:r>
          </w:p>
          <w:p w14:paraId="29074313" w14:textId="77777777" w:rsidR="00584C5A" w:rsidRPr="009C55E4" w:rsidRDefault="00584C5A" w:rsidP="009C55E4">
            <w:pPr>
              <w:spacing w:line="276" w:lineRule="auto"/>
              <w:rPr>
                <w:rFonts w:ascii="Century Gothic" w:eastAsia="Arial" w:hAnsi="Century Gothic"/>
              </w:rPr>
            </w:pPr>
            <w:r w:rsidRPr="009C55E4">
              <w:rPr>
                <w:rFonts w:ascii="Century Gothic" w:eastAsia="Arial" w:hAnsi="Century Gothic"/>
              </w:rPr>
              <w:t xml:space="preserve">A Party/group of Parties with the right to appoint Board members shall </w:t>
            </w:r>
            <w:proofErr w:type="gramStart"/>
            <w:r w:rsidRPr="009C55E4">
              <w:rPr>
                <w:rFonts w:ascii="Century Gothic" w:eastAsia="Arial" w:hAnsi="Century Gothic"/>
              </w:rPr>
              <w:t>loose</w:t>
            </w:r>
            <w:proofErr w:type="gramEnd"/>
            <w:r w:rsidRPr="009C55E4">
              <w:rPr>
                <w:rFonts w:ascii="Century Gothic" w:eastAsia="Arial" w:hAnsi="Century Gothic"/>
              </w:rPr>
              <w:t xml:space="preserve"> this right if its/their combined shareholdings are reduced to less than [percentage].</w:t>
            </w:r>
          </w:p>
        </w:tc>
      </w:tr>
      <w:tr w:rsidR="00584C5A" w:rsidRPr="009C55E4" w14:paraId="4846FF10" w14:textId="77777777" w:rsidTr="00F50A29">
        <w:trPr>
          <w:trHeight w:val="1555"/>
        </w:trPr>
        <w:tc>
          <w:tcPr>
            <w:tcW w:w="219" w:type="pct"/>
            <w:vAlign w:val="center"/>
          </w:tcPr>
          <w:p w14:paraId="5265875C" w14:textId="77777777" w:rsidR="00584C5A" w:rsidRPr="009C55E4" w:rsidRDefault="00584C5A" w:rsidP="00F50A29">
            <w:pPr>
              <w:spacing w:line="276" w:lineRule="auto"/>
              <w:jc w:val="center"/>
              <w:rPr>
                <w:rFonts w:ascii="Century Gothic" w:eastAsia="Arial" w:hAnsi="Century Gothic"/>
                <w:b/>
              </w:rPr>
            </w:pPr>
            <w:r w:rsidRPr="009C55E4">
              <w:rPr>
                <w:rFonts w:ascii="Century Gothic" w:eastAsia="Arial" w:hAnsi="Century Gothic"/>
                <w:b/>
              </w:rPr>
              <w:t>10.</w:t>
            </w:r>
          </w:p>
        </w:tc>
        <w:tc>
          <w:tcPr>
            <w:tcW w:w="871" w:type="pct"/>
            <w:vAlign w:val="center"/>
          </w:tcPr>
          <w:p w14:paraId="1C06C711" w14:textId="77777777" w:rsidR="00584C5A" w:rsidRPr="009C55E4" w:rsidRDefault="00584C5A" w:rsidP="009C55E4">
            <w:pPr>
              <w:spacing w:line="276" w:lineRule="auto"/>
              <w:rPr>
                <w:rFonts w:ascii="Century Gothic" w:eastAsia="Arial" w:hAnsi="Century Gothic"/>
                <w:b/>
              </w:rPr>
            </w:pPr>
            <w:proofErr w:type="gramStart"/>
            <w:r w:rsidRPr="009C55E4">
              <w:rPr>
                <w:rFonts w:ascii="Century Gothic" w:eastAsia="Arial" w:hAnsi="Century Gothic"/>
                <w:b/>
              </w:rPr>
              <w:t>Execution  rights</w:t>
            </w:r>
            <w:proofErr w:type="gramEnd"/>
            <w:r w:rsidRPr="009C55E4">
              <w:rPr>
                <w:rFonts w:ascii="Century Gothic" w:eastAsia="Arial" w:hAnsi="Century Gothic"/>
                <w:b/>
              </w:rPr>
              <w:t>:</w:t>
            </w:r>
          </w:p>
          <w:p w14:paraId="4B0F8734" w14:textId="77777777" w:rsidR="00584C5A" w:rsidRPr="009C55E4" w:rsidRDefault="00584C5A" w:rsidP="009C55E4">
            <w:pPr>
              <w:tabs>
                <w:tab w:val="left" w:pos="400"/>
                <w:tab w:val="left" w:pos="1940"/>
              </w:tabs>
              <w:spacing w:line="276" w:lineRule="auto"/>
              <w:rPr>
                <w:rFonts w:ascii="Century Gothic" w:eastAsia="Arial" w:hAnsi="Century Gothic"/>
                <w:b/>
              </w:rPr>
            </w:pPr>
          </w:p>
        </w:tc>
        <w:tc>
          <w:tcPr>
            <w:tcW w:w="3910" w:type="pct"/>
            <w:vAlign w:val="center"/>
          </w:tcPr>
          <w:p w14:paraId="2DC2C04A" w14:textId="77777777" w:rsidR="00584C5A" w:rsidRPr="009C55E4" w:rsidRDefault="00584C5A" w:rsidP="009C55E4">
            <w:pPr>
              <w:spacing w:line="276" w:lineRule="auto"/>
              <w:rPr>
                <w:rFonts w:ascii="Century Gothic" w:eastAsia="Arial" w:hAnsi="Century Gothic"/>
              </w:rPr>
            </w:pPr>
            <w:r w:rsidRPr="009C55E4">
              <w:rPr>
                <w:rFonts w:ascii="Century Gothic" w:eastAsia="Arial" w:hAnsi="Century Gothic"/>
              </w:rPr>
              <w:t>Whether at the meetings members</w:t>
            </w:r>
            <w:r w:rsidR="00155546" w:rsidRPr="009C55E4">
              <w:rPr>
                <w:rFonts w:ascii="Century Gothic" w:eastAsia="Arial" w:hAnsi="Century Gothic"/>
              </w:rPr>
              <w:t xml:space="preserve"> of the Board at the general meeting the vote of or</w:t>
            </w:r>
            <w:r w:rsidRPr="009C55E4">
              <w:rPr>
                <w:rFonts w:ascii="Century Gothic" w:eastAsia="Arial" w:hAnsi="Century Gothic"/>
              </w:rPr>
              <w:t xml:space="preserve"> representing [percentage] of the preference shares have the right to demand that the remaining Shareholders vote in </w:t>
            </w:r>
            <w:proofErr w:type="spellStart"/>
            <w:r w:rsidRPr="009C55E4">
              <w:rPr>
                <w:rFonts w:ascii="Century Gothic" w:eastAsia="Arial" w:hAnsi="Century Gothic"/>
              </w:rPr>
              <w:t>favour</w:t>
            </w:r>
            <w:proofErr w:type="spellEnd"/>
            <w:r w:rsidRPr="009C55E4">
              <w:rPr>
                <w:rFonts w:ascii="Century Gothic" w:eastAsia="Arial" w:hAnsi="Century Gothic"/>
              </w:rPr>
              <w:t xml:space="preserve"> of the following decisions:</w:t>
            </w:r>
          </w:p>
          <w:p w14:paraId="2357AE07" w14:textId="77777777" w:rsidR="00155546" w:rsidRPr="009C55E4" w:rsidRDefault="00155546" w:rsidP="009C55E4">
            <w:pPr>
              <w:spacing w:line="276" w:lineRule="auto"/>
              <w:rPr>
                <w:rFonts w:ascii="Century Gothic" w:eastAsia="Arial" w:hAnsi="Century Gothic"/>
              </w:rPr>
            </w:pPr>
            <w:r w:rsidRPr="009C55E4">
              <w:rPr>
                <w:rFonts w:ascii="Century Gothic" w:eastAsia="Arial" w:hAnsi="Century Gothic"/>
              </w:rPr>
              <w:t xml:space="preserve">Capital increases, which in the Investor/Investors’ reasonable opinion are necessary for securing </w:t>
            </w:r>
            <w:proofErr w:type="spellStart"/>
            <w:r w:rsidRPr="009C55E4">
              <w:rPr>
                <w:rFonts w:ascii="Century Gothic" w:eastAsia="Arial" w:hAnsi="Century Gothic"/>
              </w:rPr>
              <w:t>realisation</w:t>
            </w:r>
            <w:proofErr w:type="spellEnd"/>
            <w:r w:rsidRPr="009C55E4">
              <w:rPr>
                <w:rFonts w:ascii="Century Gothic" w:eastAsia="Arial" w:hAnsi="Century Gothic"/>
              </w:rPr>
              <w:t xml:space="preserve"> of the business plan (as amended from time to time) or for securing the Company’s continued operation, and provided, that (i) all Shareholders shall have pre-emptive rights to subscribe for the new shares pro rata to their holding of shares in the Company immediately prior to the capital increase, and (ii) the capital increase is carried out on market terms.</w:t>
            </w:r>
          </w:p>
          <w:p w14:paraId="75BBFF88" w14:textId="77777777" w:rsidR="00584C5A" w:rsidRPr="009C55E4" w:rsidRDefault="00155546" w:rsidP="009C55E4">
            <w:pPr>
              <w:tabs>
                <w:tab w:val="left" w:pos="2680"/>
              </w:tabs>
              <w:spacing w:line="276" w:lineRule="auto"/>
              <w:rPr>
                <w:rFonts w:ascii="Century Gothic" w:eastAsia="Arial" w:hAnsi="Century Gothic"/>
              </w:rPr>
            </w:pPr>
            <w:r w:rsidRPr="009C55E4">
              <w:rPr>
                <w:rFonts w:ascii="Century Gothic" w:eastAsia="Arial" w:hAnsi="Century Gothic"/>
              </w:rPr>
              <w:t>Sale of the Company’s assets in an Exit.</w:t>
            </w:r>
          </w:p>
        </w:tc>
      </w:tr>
      <w:tr w:rsidR="00155546" w:rsidRPr="009C55E4" w14:paraId="459749B8" w14:textId="77777777" w:rsidTr="00F50A29">
        <w:trPr>
          <w:trHeight w:val="1555"/>
        </w:trPr>
        <w:tc>
          <w:tcPr>
            <w:tcW w:w="219" w:type="pct"/>
            <w:vAlign w:val="center"/>
          </w:tcPr>
          <w:p w14:paraId="66B3EFFD" w14:textId="77777777" w:rsidR="00155546" w:rsidRPr="009C55E4" w:rsidRDefault="00580138" w:rsidP="00F50A29">
            <w:pPr>
              <w:spacing w:line="276" w:lineRule="auto"/>
              <w:jc w:val="center"/>
              <w:rPr>
                <w:rFonts w:ascii="Century Gothic" w:eastAsia="Arial" w:hAnsi="Century Gothic"/>
                <w:b/>
              </w:rPr>
            </w:pPr>
            <w:r w:rsidRPr="009C55E4">
              <w:rPr>
                <w:rFonts w:ascii="Century Gothic" w:eastAsia="Arial" w:hAnsi="Century Gothic"/>
                <w:b/>
              </w:rPr>
              <w:t>11.</w:t>
            </w:r>
          </w:p>
        </w:tc>
        <w:tc>
          <w:tcPr>
            <w:tcW w:w="871" w:type="pct"/>
            <w:vAlign w:val="center"/>
          </w:tcPr>
          <w:p w14:paraId="200A9B52" w14:textId="77777777" w:rsidR="00155546" w:rsidRPr="009C55E4" w:rsidRDefault="00580138" w:rsidP="009C55E4">
            <w:pPr>
              <w:spacing w:line="276" w:lineRule="auto"/>
              <w:rPr>
                <w:rFonts w:ascii="Century Gothic" w:eastAsia="Arial" w:hAnsi="Century Gothic"/>
                <w:b/>
              </w:rPr>
            </w:pPr>
            <w:r w:rsidRPr="009C55E4">
              <w:rPr>
                <w:rFonts w:ascii="Century Gothic" w:eastAsia="Arial" w:hAnsi="Century Gothic"/>
                <w:b/>
              </w:rPr>
              <w:t>Protective provisions</w:t>
            </w:r>
          </w:p>
        </w:tc>
        <w:tc>
          <w:tcPr>
            <w:tcW w:w="3910" w:type="pct"/>
            <w:vAlign w:val="center"/>
          </w:tcPr>
          <w:p w14:paraId="51F56D88" w14:textId="77777777" w:rsidR="00580138" w:rsidRPr="009C55E4" w:rsidRDefault="00580138" w:rsidP="009C55E4">
            <w:pPr>
              <w:tabs>
                <w:tab w:val="left" w:pos="420"/>
              </w:tabs>
              <w:spacing w:line="276" w:lineRule="auto"/>
              <w:rPr>
                <w:rFonts w:ascii="Century Gothic" w:eastAsia="Arial" w:hAnsi="Century Gothic"/>
                <w:b/>
              </w:rPr>
            </w:pPr>
            <w:r w:rsidRPr="009C55E4">
              <w:rPr>
                <w:rFonts w:ascii="Century Gothic" w:eastAsia="Arial" w:hAnsi="Century Gothic"/>
              </w:rPr>
              <w:t xml:space="preserve">Any material general meeting decision [as defined in Appendix [number] attached hereto] shall </w:t>
            </w:r>
            <w:proofErr w:type="gramStart"/>
            <w:r w:rsidRPr="009C55E4">
              <w:rPr>
                <w:rFonts w:ascii="Century Gothic" w:eastAsia="Arial" w:hAnsi="Century Gothic"/>
              </w:rPr>
              <w:t>require  the</w:t>
            </w:r>
            <w:proofErr w:type="gramEnd"/>
            <w:r w:rsidRPr="009C55E4">
              <w:rPr>
                <w:rFonts w:ascii="Century Gothic" w:eastAsia="Arial" w:hAnsi="Century Gothic"/>
              </w:rPr>
              <w:t xml:space="preserve">  vote  of  Shareholders  representing  [percentage]  or  more  of  [the preference shares/ordinary shares]. Any material decision to be made in meetings of the Board shall be made with a majority of [number] Board members.</w:t>
            </w:r>
          </w:p>
          <w:p w14:paraId="4F77E4F4" w14:textId="77777777" w:rsidR="00155546" w:rsidRPr="009C55E4" w:rsidRDefault="00155546" w:rsidP="009C55E4">
            <w:pPr>
              <w:spacing w:line="276" w:lineRule="auto"/>
              <w:rPr>
                <w:rFonts w:ascii="Century Gothic" w:eastAsia="Arial" w:hAnsi="Century Gothic"/>
              </w:rPr>
            </w:pPr>
          </w:p>
        </w:tc>
      </w:tr>
      <w:tr w:rsidR="00580138" w:rsidRPr="009C55E4" w14:paraId="274F950A" w14:textId="77777777" w:rsidTr="00F50A29">
        <w:trPr>
          <w:trHeight w:val="1555"/>
        </w:trPr>
        <w:tc>
          <w:tcPr>
            <w:tcW w:w="219" w:type="pct"/>
            <w:vAlign w:val="center"/>
          </w:tcPr>
          <w:p w14:paraId="57F3F2F5" w14:textId="77777777" w:rsidR="00580138" w:rsidRPr="009C55E4" w:rsidRDefault="00580138" w:rsidP="00F50A29">
            <w:pPr>
              <w:spacing w:line="276" w:lineRule="auto"/>
              <w:jc w:val="center"/>
              <w:rPr>
                <w:rFonts w:ascii="Century Gothic" w:eastAsia="Arial" w:hAnsi="Century Gothic"/>
                <w:b/>
              </w:rPr>
            </w:pPr>
            <w:r w:rsidRPr="009C55E4">
              <w:rPr>
                <w:rFonts w:ascii="Century Gothic" w:eastAsia="Arial" w:hAnsi="Century Gothic"/>
                <w:b/>
              </w:rPr>
              <w:t>12.</w:t>
            </w:r>
          </w:p>
        </w:tc>
        <w:tc>
          <w:tcPr>
            <w:tcW w:w="871" w:type="pct"/>
            <w:vAlign w:val="center"/>
          </w:tcPr>
          <w:p w14:paraId="44BC760C" w14:textId="77777777" w:rsidR="00580138" w:rsidRPr="009C55E4" w:rsidRDefault="00580138" w:rsidP="009C55E4">
            <w:pPr>
              <w:spacing w:line="276" w:lineRule="auto"/>
              <w:rPr>
                <w:rFonts w:ascii="Century Gothic" w:eastAsia="Arial" w:hAnsi="Century Gothic"/>
                <w:b/>
              </w:rPr>
            </w:pPr>
            <w:r w:rsidRPr="009C55E4">
              <w:rPr>
                <w:rFonts w:ascii="Century Gothic" w:eastAsia="Arial" w:hAnsi="Century Gothic"/>
                <w:b/>
              </w:rPr>
              <w:t xml:space="preserve">Incentive </w:t>
            </w:r>
            <w:proofErr w:type="spellStart"/>
            <w:r w:rsidRPr="009C55E4">
              <w:rPr>
                <w:rFonts w:ascii="Century Gothic" w:eastAsia="Arial" w:hAnsi="Century Gothic"/>
                <w:b/>
              </w:rPr>
              <w:t>programme</w:t>
            </w:r>
            <w:proofErr w:type="spellEnd"/>
            <w:r w:rsidRPr="009C55E4">
              <w:rPr>
                <w:rFonts w:ascii="Century Gothic" w:eastAsia="Arial" w:hAnsi="Century Gothic"/>
                <w:b/>
              </w:rPr>
              <w:t>:</w:t>
            </w:r>
          </w:p>
        </w:tc>
        <w:tc>
          <w:tcPr>
            <w:tcW w:w="3910" w:type="pct"/>
            <w:vAlign w:val="center"/>
          </w:tcPr>
          <w:p w14:paraId="0D098A6C" w14:textId="77777777" w:rsidR="00580138" w:rsidRPr="009C55E4" w:rsidRDefault="00580138" w:rsidP="009C55E4">
            <w:pPr>
              <w:tabs>
                <w:tab w:val="left" w:pos="90"/>
              </w:tabs>
              <w:spacing w:line="276" w:lineRule="auto"/>
              <w:ind w:left="90"/>
              <w:rPr>
                <w:rFonts w:ascii="Century Gothic" w:eastAsia="Arial" w:hAnsi="Century Gothic"/>
                <w:b/>
              </w:rPr>
            </w:pPr>
            <w:r w:rsidRPr="009C55E4">
              <w:rPr>
                <w:rFonts w:ascii="Century Gothic" w:eastAsia="Arial" w:hAnsi="Century Gothic"/>
              </w:rPr>
              <w:t>The Parties agree that the management [and the key employees] of the Company as part of an</w:t>
            </w:r>
          </w:p>
          <w:p w14:paraId="420FFF77" w14:textId="77777777" w:rsidR="00580138" w:rsidRPr="009C55E4" w:rsidRDefault="00580138" w:rsidP="009C55E4">
            <w:pPr>
              <w:tabs>
                <w:tab w:val="left" w:pos="1940"/>
              </w:tabs>
              <w:spacing w:line="276" w:lineRule="auto"/>
              <w:ind w:left="90"/>
              <w:rPr>
                <w:rFonts w:ascii="Century Gothic" w:eastAsia="Arial" w:hAnsi="Century Gothic"/>
              </w:rPr>
            </w:pPr>
            <w:r w:rsidRPr="009C55E4">
              <w:rPr>
                <w:rFonts w:ascii="Century Gothic" w:eastAsia="Arial" w:hAnsi="Century Gothic"/>
              </w:rPr>
              <w:t xml:space="preserve">incentive </w:t>
            </w:r>
            <w:proofErr w:type="spellStart"/>
            <w:r w:rsidRPr="009C55E4">
              <w:rPr>
                <w:rFonts w:ascii="Century Gothic" w:eastAsia="Arial" w:hAnsi="Century Gothic"/>
              </w:rPr>
              <w:t>programme</w:t>
            </w:r>
            <w:proofErr w:type="spellEnd"/>
            <w:r w:rsidRPr="009C55E4">
              <w:rPr>
                <w:rFonts w:ascii="Century Gothic" w:eastAsia="Arial" w:hAnsi="Century Gothic"/>
              </w:rPr>
              <w:t xml:space="preserve"> shall be offered options/warrants to subscribe for [ordinary shares] in the Company. The options/warrants shall in no event exceed [percentage] of the outstanding share capital from time to time. The terms and conditions of said options/warrants shall be set out in the Investment Agreement.</w:t>
            </w:r>
          </w:p>
          <w:p w14:paraId="7AC854D7" w14:textId="77777777" w:rsidR="00580138" w:rsidRPr="009C55E4" w:rsidRDefault="00580138" w:rsidP="009C55E4">
            <w:pPr>
              <w:spacing w:line="276" w:lineRule="auto"/>
              <w:rPr>
                <w:rFonts w:ascii="Century Gothic" w:eastAsia="Times New Roman" w:hAnsi="Century Gothic"/>
              </w:rPr>
            </w:pPr>
          </w:p>
          <w:p w14:paraId="726BA96C" w14:textId="77777777" w:rsidR="00580138" w:rsidRPr="009C55E4" w:rsidRDefault="00580138" w:rsidP="009C55E4">
            <w:pPr>
              <w:tabs>
                <w:tab w:val="left" w:pos="420"/>
              </w:tabs>
              <w:spacing w:line="276" w:lineRule="auto"/>
              <w:rPr>
                <w:rFonts w:ascii="Century Gothic" w:eastAsia="Arial" w:hAnsi="Century Gothic"/>
              </w:rPr>
            </w:pPr>
          </w:p>
        </w:tc>
      </w:tr>
      <w:tr w:rsidR="00580138" w:rsidRPr="009C55E4" w14:paraId="053C7A2C" w14:textId="77777777" w:rsidTr="00F50A29">
        <w:trPr>
          <w:trHeight w:val="1555"/>
        </w:trPr>
        <w:tc>
          <w:tcPr>
            <w:tcW w:w="219" w:type="pct"/>
            <w:vAlign w:val="center"/>
          </w:tcPr>
          <w:p w14:paraId="33155D67" w14:textId="77777777" w:rsidR="00580138" w:rsidRPr="009C55E4" w:rsidRDefault="00580138" w:rsidP="00F50A29">
            <w:pPr>
              <w:spacing w:line="276" w:lineRule="auto"/>
              <w:jc w:val="center"/>
              <w:rPr>
                <w:rFonts w:ascii="Century Gothic" w:eastAsia="Arial" w:hAnsi="Century Gothic"/>
                <w:b/>
              </w:rPr>
            </w:pPr>
            <w:r w:rsidRPr="009C55E4">
              <w:rPr>
                <w:rFonts w:ascii="Century Gothic" w:eastAsia="Arial" w:hAnsi="Century Gothic"/>
                <w:b/>
              </w:rPr>
              <w:lastRenderedPageBreak/>
              <w:t>13.</w:t>
            </w:r>
          </w:p>
        </w:tc>
        <w:tc>
          <w:tcPr>
            <w:tcW w:w="871" w:type="pct"/>
            <w:vAlign w:val="center"/>
          </w:tcPr>
          <w:p w14:paraId="55ACF7CE" w14:textId="77777777" w:rsidR="00580138" w:rsidRPr="009C55E4" w:rsidRDefault="00580138" w:rsidP="009C55E4">
            <w:pPr>
              <w:tabs>
                <w:tab w:val="left" w:pos="420"/>
              </w:tabs>
              <w:spacing w:line="276" w:lineRule="auto"/>
              <w:rPr>
                <w:rFonts w:ascii="Century Gothic" w:eastAsia="Arial" w:hAnsi="Century Gothic"/>
                <w:b/>
              </w:rPr>
            </w:pPr>
            <w:r w:rsidRPr="009C55E4">
              <w:rPr>
                <w:rFonts w:ascii="Century Gothic" w:eastAsia="Arial" w:hAnsi="Century Gothic"/>
                <w:b/>
              </w:rPr>
              <w:t>Information</w:t>
            </w:r>
          </w:p>
          <w:p w14:paraId="67AB8D4C" w14:textId="77777777" w:rsidR="00580138" w:rsidRPr="009C55E4" w:rsidRDefault="00580138" w:rsidP="009C55E4">
            <w:pPr>
              <w:spacing w:line="276" w:lineRule="auto"/>
              <w:rPr>
                <w:rFonts w:ascii="Century Gothic" w:eastAsia="Arial" w:hAnsi="Century Gothic"/>
              </w:rPr>
            </w:pPr>
            <w:r w:rsidRPr="009C55E4">
              <w:rPr>
                <w:rFonts w:ascii="Century Gothic" w:eastAsia="Arial" w:hAnsi="Century Gothic"/>
                <w:b/>
              </w:rPr>
              <w:t>rights:</w:t>
            </w:r>
          </w:p>
          <w:p w14:paraId="3B58994A" w14:textId="77777777" w:rsidR="00580138" w:rsidRPr="009C55E4" w:rsidRDefault="00580138" w:rsidP="009C55E4">
            <w:pPr>
              <w:spacing w:line="276" w:lineRule="auto"/>
              <w:rPr>
                <w:rFonts w:ascii="Century Gothic" w:eastAsia="Arial" w:hAnsi="Century Gothic"/>
                <w:b/>
              </w:rPr>
            </w:pPr>
          </w:p>
        </w:tc>
        <w:tc>
          <w:tcPr>
            <w:tcW w:w="3910" w:type="pct"/>
            <w:vAlign w:val="center"/>
          </w:tcPr>
          <w:p w14:paraId="50FD8F50" w14:textId="77777777" w:rsidR="00580138" w:rsidRPr="009C55E4" w:rsidRDefault="00580138" w:rsidP="009C55E4">
            <w:pPr>
              <w:spacing w:line="276" w:lineRule="auto"/>
              <w:rPr>
                <w:rFonts w:ascii="Century Gothic" w:eastAsia="Arial" w:hAnsi="Century Gothic"/>
              </w:rPr>
            </w:pPr>
            <w:r w:rsidRPr="009C55E4">
              <w:rPr>
                <w:rFonts w:ascii="Century Gothic" w:eastAsia="Arial" w:hAnsi="Century Gothic"/>
              </w:rPr>
              <w:t xml:space="preserve">Management will deliver to the holders of at least [percentage] of the preference shares (i) monthly </w:t>
            </w:r>
            <w:proofErr w:type="gramStart"/>
            <w:r w:rsidRPr="009C55E4">
              <w:rPr>
                <w:rFonts w:ascii="Century Gothic" w:eastAsia="Arial" w:hAnsi="Century Gothic"/>
              </w:rPr>
              <w:t>statements  and</w:t>
            </w:r>
            <w:proofErr w:type="gramEnd"/>
            <w:r w:rsidRPr="009C55E4">
              <w:rPr>
                <w:rFonts w:ascii="Century Gothic" w:eastAsia="Arial" w:hAnsi="Century Gothic"/>
              </w:rPr>
              <w:t xml:space="preserve">  audited  annual  financial  statements  prepared  in  accordance  with  international</w:t>
            </w:r>
          </w:p>
          <w:p w14:paraId="2A6FCB54" w14:textId="77777777" w:rsidR="00580138" w:rsidRPr="009C55E4" w:rsidRDefault="00580138" w:rsidP="009C55E4">
            <w:pPr>
              <w:spacing w:line="276" w:lineRule="auto"/>
              <w:rPr>
                <w:rFonts w:ascii="Century Gothic" w:eastAsia="Arial" w:hAnsi="Century Gothic"/>
              </w:rPr>
            </w:pPr>
            <w:r w:rsidRPr="009C55E4">
              <w:rPr>
                <w:rFonts w:ascii="Century Gothic" w:eastAsia="Arial" w:hAnsi="Century Gothic"/>
              </w:rPr>
              <w:t>generally accepted accounting principles as soon as possible after the close of the relevant period, but in no case more than [30] days after the closing of the relevant period, and (ii) notice of any material adverse change or the commencement or threat of commencement of any material litigation or dispute, immediately upon the management becoming aware of such changes, commencement or threat.</w:t>
            </w:r>
          </w:p>
          <w:p w14:paraId="1DD81223" w14:textId="77777777" w:rsidR="00580138" w:rsidRPr="009C55E4" w:rsidRDefault="00580138" w:rsidP="009C55E4">
            <w:pPr>
              <w:tabs>
                <w:tab w:val="left" w:pos="90"/>
              </w:tabs>
              <w:spacing w:line="276" w:lineRule="auto"/>
              <w:ind w:left="90"/>
              <w:rPr>
                <w:rFonts w:ascii="Century Gothic" w:eastAsia="Arial" w:hAnsi="Century Gothic"/>
              </w:rPr>
            </w:pPr>
          </w:p>
        </w:tc>
      </w:tr>
      <w:tr w:rsidR="00580138" w:rsidRPr="009C55E4" w14:paraId="080BBA75" w14:textId="77777777" w:rsidTr="00F50A29">
        <w:trPr>
          <w:trHeight w:val="1555"/>
        </w:trPr>
        <w:tc>
          <w:tcPr>
            <w:tcW w:w="219" w:type="pct"/>
            <w:vAlign w:val="center"/>
          </w:tcPr>
          <w:p w14:paraId="7C2798F6" w14:textId="77777777" w:rsidR="00580138" w:rsidRPr="009C55E4" w:rsidRDefault="00580138" w:rsidP="00F50A29">
            <w:pPr>
              <w:spacing w:line="276" w:lineRule="auto"/>
              <w:jc w:val="center"/>
              <w:rPr>
                <w:rFonts w:ascii="Century Gothic" w:eastAsia="Arial" w:hAnsi="Century Gothic"/>
                <w:b/>
              </w:rPr>
            </w:pPr>
            <w:r w:rsidRPr="009C55E4">
              <w:rPr>
                <w:rFonts w:ascii="Century Gothic" w:eastAsia="Arial" w:hAnsi="Century Gothic"/>
                <w:b/>
              </w:rPr>
              <w:t>14.</w:t>
            </w:r>
          </w:p>
        </w:tc>
        <w:tc>
          <w:tcPr>
            <w:tcW w:w="871" w:type="pct"/>
            <w:vAlign w:val="center"/>
          </w:tcPr>
          <w:p w14:paraId="1624114D" w14:textId="77777777" w:rsidR="00580138" w:rsidRPr="009C55E4" w:rsidRDefault="00580138" w:rsidP="009C55E4">
            <w:pPr>
              <w:tabs>
                <w:tab w:val="left" w:pos="420"/>
              </w:tabs>
              <w:spacing w:line="276" w:lineRule="auto"/>
              <w:rPr>
                <w:rFonts w:ascii="Century Gothic" w:eastAsia="Arial" w:hAnsi="Century Gothic"/>
                <w:b/>
              </w:rPr>
            </w:pPr>
            <w:r w:rsidRPr="009C55E4">
              <w:rPr>
                <w:rFonts w:ascii="Century Gothic" w:eastAsia="Arial" w:hAnsi="Century Gothic"/>
                <w:b/>
              </w:rPr>
              <w:t>Pre-emptive rights:</w:t>
            </w:r>
          </w:p>
        </w:tc>
        <w:tc>
          <w:tcPr>
            <w:tcW w:w="3910" w:type="pct"/>
            <w:vAlign w:val="center"/>
          </w:tcPr>
          <w:p w14:paraId="00B87B3D" w14:textId="77777777" w:rsidR="00580138" w:rsidRPr="009C55E4" w:rsidRDefault="00580138" w:rsidP="009C55E4">
            <w:pPr>
              <w:tabs>
                <w:tab w:val="left" w:pos="420"/>
              </w:tabs>
              <w:spacing w:line="276" w:lineRule="auto"/>
              <w:rPr>
                <w:rFonts w:ascii="Century Gothic" w:eastAsia="Arial" w:hAnsi="Century Gothic"/>
                <w:b/>
              </w:rPr>
            </w:pPr>
            <w:proofErr w:type="gramStart"/>
            <w:r w:rsidRPr="009C55E4">
              <w:rPr>
                <w:rFonts w:ascii="Century Gothic" w:eastAsia="Arial" w:hAnsi="Century Gothic"/>
              </w:rPr>
              <w:t>Each  Shareholder</w:t>
            </w:r>
            <w:proofErr w:type="gramEnd"/>
            <w:r w:rsidRPr="009C55E4">
              <w:rPr>
                <w:rFonts w:ascii="Century Gothic" w:eastAsia="Arial" w:hAnsi="Century Gothic"/>
              </w:rPr>
              <w:t xml:space="preserve">  will  have  a  pre-emptive  right  to  maintain  its  proportionate  interest  in  the Company's share capital by way of subscription for the necessary percentage of any new issue of shares in the Company. In case one or more of the Shareholders reject such offer, the remaining Shareholders will have increased pre-emptive rights on a pro rata basis.</w:t>
            </w:r>
          </w:p>
          <w:p w14:paraId="405C727B" w14:textId="77777777" w:rsidR="00580138" w:rsidRPr="009C55E4" w:rsidRDefault="00580138" w:rsidP="009C55E4">
            <w:pPr>
              <w:spacing w:line="276" w:lineRule="auto"/>
              <w:rPr>
                <w:rFonts w:ascii="Century Gothic" w:eastAsia="Arial" w:hAnsi="Century Gothic"/>
              </w:rPr>
            </w:pPr>
            <w:r w:rsidRPr="009C55E4">
              <w:rPr>
                <w:rFonts w:ascii="Century Gothic" w:eastAsia="Arial" w:hAnsi="Century Gothic"/>
              </w:rPr>
              <w:t xml:space="preserve">Shares issued as a consequence of employee incentive </w:t>
            </w:r>
            <w:proofErr w:type="spellStart"/>
            <w:r w:rsidRPr="009C55E4">
              <w:rPr>
                <w:rFonts w:ascii="Century Gothic" w:eastAsia="Arial" w:hAnsi="Century Gothic"/>
              </w:rPr>
              <w:t>programmes</w:t>
            </w:r>
            <w:proofErr w:type="spellEnd"/>
            <w:r w:rsidRPr="009C55E4">
              <w:rPr>
                <w:rFonts w:ascii="Century Gothic" w:eastAsia="Arial" w:hAnsi="Century Gothic"/>
              </w:rPr>
              <w:t xml:space="preserve"> and/or execution of anti-dilution rights shall not trigger the pre-emptive rights.</w:t>
            </w:r>
          </w:p>
          <w:p w14:paraId="35A0AFAD" w14:textId="77777777" w:rsidR="00580138" w:rsidRPr="009C55E4" w:rsidRDefault="00580138" w:rsidP="009C55E4">
            <w:pPr>
              <w:spacing w:line="276" w:lineRule="auto"/>
              <w:rPr>
                <w:rFonts w:ascii="Century Gothic" w:eastAsia="Times New Roman" w:hAnsi="Century Gothic"/>
              </w:rPr>
            </w:pPr>
          </w:p>
          <w:p w14:paraId="708060BA" w14:textId="77777777" w:rsidR="00580138" w:rsidRPr="009C55E4" w:rsidRDefault="00580138" w:rsidP="009C55E4">
            <w:pPr>
              <w:spacing w:line="276" w:lineRule="auto"/>
              <w:rPr>
                <w:rFonts w:ascii="Century Gothic" w:eastAsia="Arial" w:hAnsi="Century Gothic"/>
              </w:rPr>
            </w:pPr>
          </w:p>
        </w:tc>
      </w:tr>
      <w:tr w:rsidR="00580138" w:rsidRPr="009C55E4" w14:paraId="47E6579E" w14:textId="77777777" w:rsidTr="00F50A29">
        <w:trPr>
          <w:trHeight w:val="1555"/>
        </w:trPr>
        <w:tc>
          <w:tcPr>
            <w:tcW w:w="219" w:type="pct"/>
            <w:vAlign w:val="center"/>
          </w:tcPr>
          <w:p w14:paraId="44FCC9C9" w14:textId="77777777" w:rsidR="00580138" w:rsidRPr="009C55E4" w:rsidRDefault="00580138" w:rsidP="00F50A29">
            <w:pPr>
              <w:spacing w:line="276" w:lineRule="auto"/>
              <w:jc w:val="center"/>
              <w:rPr>
                <w:rFonts w:ascii="Century Gothic" w:eastAsia="Arial" w:hAnsi="Century Gothic"/>
                <w:b/>
              </w:rPr>
            </w:pPr>
            <w:r w:rsidRPr="009C55E4">
              <w:rPr>
                <w:rFonts w:ascii="Century Gothic" w:eastAsia="Arial" w:hAnsi="Century Gothic"/>
                <w:b/>
              </w:rPr>
              <w:t>15.</w:t>
            </w:r>
          </w:p>
        </w:tc>
        <w:tc>
          <w:tcPr>
            <w:tcW w:w="871" w:type="pct"/>
            <w:vAlign w:val="center"/>
          </w:tcPr>
          <w:p w14:paraId="30D5EF19" w14:textId="77777777" w:rsidR="00580138" w:rsidRPr="009C55E4" w:rsidRDefault="00580138" w:rsidP="009C55E4">
            <w:pPr>
              <w:tabs>
                <w:tab w:val="left" w:pos="420"/>
              </w:tabs>
              <w:spacing w:line="276" w:lineRule="auto"/>
              <w:rPr>
                <w:rFonts w:ascii="Century Gothic" w:eastAsia="Arial" w:hAnsi="Century Gothic"/>
                <w:b/>
              </w:rPr>
            </w:pPr>
            <w:r w:rsidRPr="009C55E4">
              <w:rPr>
                <w:rFonts w:ascii="Century Gothic" w:eastAsia="Arial" w:hAnsi="Century Gothic"/>
                <w:b/>
              </w:rPr>
              <w:t>Right of first refusal:</w:t>
            </w:r>
          </w:p>
        </w:tc>
        <w:tc>
          <w:tcPr>
            <w:tcW w:w="3910" w:type="pct"/>
            <w:vAlign w:val="center"/>
          </w:tcPr>
          <w:p w14:paraId="1A426C13" w14:textId="77777777" w:rsidR="00580138" w:rsidRPr="009C55E4" w:rsidRDefault="00580138" w:rsidP="009C55E4">
            <w:pPr>
              <w:spacing w:line="276" w:lineRule="auto"/>
              <w:rPr>
                <w:rFonts w:ascii="Century Gothic" w:eastAsia="Arial" w:hAnsi="Century Gothic"/>
              </w:rPr>
            </w:pPr>
            <w:r w:rsidRPr="009C55E4">
              <w:rPr>
                <w:rFonts w:ascii="Century Gothic" w:eastAsia="Arial" w:hAnsi="Century Gothic"/>
              </w:rPr>
              <w:t>Upon any transfer of shares - with the exception of certain permitted transfers and sales according to the tag-along or drag-along provisions set forth below - either by assignment, gift, legal action, liquidation or bankruptcy, the other Parties shall have right of first refusal to the shares offered in proportion to their holding of shares in the Company. To the extent not all offered shares are acquired by the other Parties, the Parties accepting their pro rata share shall have a secondary right of refusal to any remaining shares on a pro rata basis.</w:t>
            </w:r>
          </w:p>
          <w:p w14:paraId="0138CE27" w14:textId="77777777" w:rsidR="00580138" w:rsidRPr="009C55E4" w:rsidRDefault="00580138" w:rsidP="009C55E4">
            <w:pPr>
              <w:tabs>
                <w:tab w:val="left" w:pos="420"/>
              </w:tabs>
              <w:spacing w:line="276" w:lineRule="auto"/>
              <w:rPr>
                <w:rFonts w:ascii="Century Gothic" w:eastAsia="Arial" w:hAnsi="Century Gothic"/>
                <w:b/>
              </w:rPr>
            </w:pPr>
          </w:p>
          <w:p w14:paraId="7B4958F3" w14:textId="77777777" w:rsidR="00580138" w:rsidRPr="009C55E4" w:rsidRDefault="00580138" w:rsidP="009C55E4">
            <w:pPr>
              <w:tabs>
                <w:tab w:val="left" w:pos="420"/>
              </w:tabs>
              <w:spacing w:line="276" w:lineRule="auto"/>
              <w:rPr>
                <w:rFonts w:ascii="Century Gothic" w:eastAsia="Arial" w:hAnsi="Century Gothic"/>
              </w:rPr>
            </w:pPr>
          </w:p>
        </w:tc>
      </w:tr>
      <w:tr w:rsidR="00580138" w:rsidRPr="009C55E4" w14:paraId="43671E44" w14:textId="77777777" w:rsidTr="00F50A29">
        <w:trPr>
          <w:trHeight w:val="1555"/>
        </w:trPr>
        <w:tc>
          <w:tcPr>
            <w:tcW w:w="219" w:type="pct"/>
            <w:vAlign w:val="center"/>
          </w:tcPr>
          <w:p w14:paraId="6ABC18A5" w14:textId="77777777" w:rsidR="00580138" w:rsidRPr="009C55E4" w:rsidRDefault="00580138" w:rsidP="00F50A29">
            <w:pPr>
              <w:spacing w:line="276" w:lineRule="auto"/>
              <w:jc w:val="center"/>
              <w:rPr>
                <w:rFonts w:ascii="Century Gothic" w:eastAsia="Arial" w:hAnsi="Century Gothic"/>
                <w:b/>
              </w:rPr>
            </w:pPr>
            <w:r w:rsidRPr="009C55E4">
              <w:rPr>
                <w:rFonts w:ascii="Century Gothic" w:eastAsia="Arial" w:hAnsi="Century Gothic"/>
                <w:b/>
              </w:rPr>
              <w:t>16.</w:t>
            </w:r>
          </w:p>
        </w:tc>
        <w:tc>
          <w:tcPr>
            <w:tcW w:w="871" w:type="pct"/>
            <w:vAlign w:val="center"/>
          </w:tcPr>
          <w:p w14:paraId="4D0A6063" w14:textId="77777777" w:rsidR="00580138" w:rsidRPr="009C55E4" w:rsidRDefault="00580138" w:rsidP="009C55E4">
            <w:pPr>
              <w:tabs>
                <w:tab w:val="left" w:pos="420"/>
              </w:tabs>
              <w:spacing w:line="276" w:lineRule="auto"/>
              <w:rPr>
                <w:rFonts w:ascii="Century Gothic" w:eastAsia="Arial" w:hAnsi="Century Gothic"/>
                <w:b/>
              </w:rPr>
            </w:pPr>
            <w:r w:rsidRPr="009C55E4">
              <w:rPr>
                <w:rFonts w:ascii="Century Gothic" w:eastAsia="Arial" w:hAnsi="Century Gothic"/>
                <w:b/>
              </w:rPr>
              <w:t>Assign men</w:t>
            </w:r>
            <w:r w:rsidRPr="009C55E4">
              <w:rPr>
                <w:rFonts w:ascii="Century Gothic" w:eastAsia="Arial" w:hAnsi="Century Gothic"/>
                <w:b/>
                <w:bCs/>
              </w:rPr>
              <w:t xml:space="preserve">tion </w:t>
            </w:r>
            <w:r w:rsidRPr="009C55E4">
              <w:rPr>
                <w:rFonts w:ascii="Century Gothic" w:eastAsia="Arial" w:hAnsi="Century Gothic"/>
                <w:b/>
              </w:rPr>
              <w:t>rights:</w:t>
            </w:r>
          </w:p>
        </w:tc>
        <w:tc>
          <w:tcPr>
            <w:tcW w:w="3910" w:type="pct"/>
            <w:vAlign w:val="center"/>
          </w:tcPr>
          <w:p w14:paraId="222085C4" w14:textId="77777777" w:rsidR="00580138" w:rsidRPr="009C55E4" w:rsidRDefault="00580138" w:rsidP="009C55E4">
            <w:pPr>
              <w:tabs>
                <w:tab w:val="left" w:pos="420"/>
              </w:tabs>
              <w:spacing w:line="276" w:lineRule="auto"/>
              <w:rPr>
                <w:rFonts w:ascii="Century Gothic" w:eastAsia="Arial" w:hAnsi="Century Gothic"/>
                <w:b/>
              </w:rPr>
            </w:pPr>
            <w:r w:rsidRPr="009C55E4">
              <w:rPr>
                <w:rFonts w:ascii="Century Gothic" w:eastAsia="Arial" w:hAnsi="Century Gothic"/>
              </w:rPr>
              <w:t>addition to customary assignment rights to 100% controlled entities for all Parties, the Investors may transfer or assign, in whole or in part, their rights and delegate their obligations under the agreements related to their shares in the Company to any of their affiliates which is controlled by, or is under common control by the Investors, provided that such an assignee agrees to be bound by the provisions of the shareholders’ agreement. Further, customary venture capital fund assignment rights shall apply.</w:t>
            </w:r>
          </w:p>
          <w:p w14:paraId="54B874D6" w14:textId="77777777" w:rsidR="00580138" w:rsidRPr="009C55E4" w:rsidRDefault="00580138" w:rsidP="009C55E4">
            <w:pPr>
              <w:spacing w:line="276" w:lineRule="auto"/>
              <w:rPr>
                <w:rFonts w:ascii="Century Gothic" w:eastAsia="Arial" w:hAnsi="Century Gothic"/>
              </w:rPr>
            </w:pPr>
          </w:p>
        </w:tc>
      </w:tr>
      <w:tr w:rsidR="00580138" w:rsidRPr="009C55E4" w14:paraId="4DC8079C" w14:textId="77777777" w:rsidTr="00F50A29">
        <w:trPr>
          <w:trHeight w:val="1555"/>
        </w:trPr>
        <w:tc>
          <w:tcPr>
            <w:tcW w:w="219" w:type="pct"/>
            <w:vAlign w:val="center"/>
          </w:tcPr>
          <w:p w14:paraId="6600FF73" w14:textId="77777777" w:rsidR="00580138" w:rsidRPr="009C55E4" w:rsidRDefault="00580138" w:rsidP="00F50A29">
            <w:pPr>
              <w:spacing w:line="276" w:lineRule="auto"/>
              <w:jc w:val="center"/>
              <w:rPr>
                <w:rFonts w:ascii="Century Gothic" w:eastAsia="Arial" w:hAnsi="Century Gothic"/>
                <w:b/>
              </w:rPr>
            </w:pPr>
            <w:r w:rsidRPr="009C55E4">
              <w:rPr>
                <w:rFonts w:ascii="Century Gothic" w:eastAsia="Arial" w:hAnsi="Century Gothic"/>
                <w:b/>
              </w:rPr>
              <w:lastRenderedPageBreak/>
              <w:t>17.</w:t>
            </w:r>
          </w:p>
        </w:tc>
        <w:tc>
          <w:tcPr>
            <w:tcW w:w="871" w:type="pct"/>
            <w:vAlign w:val="center"/>
          </w:tcPr>
          <w:p w14:paraId="4F54DC6E" w14:textId="77777777" w:rsidR="00580138" w:rsidRPr="009C55E4" w:rsidRDefault="00580138" w:rsidP="009C55E4">
            <w:pPr>
              <w:tabs>
                <w:tab w:val="left" w:pos="420"/>
              </w:tabs>
              <w:spacing w:line="276" w:lineRule="auto"/>
              <w:rPr>
                <w:rFonts w:ascii="Century Gothic" w:eastAsia="Arial" w:hAnsi="Century Gothic"/>
              </w:rPr>
            </w:pPr>
            <w:r w:rsidRPr="009C55E4">
              <w:rPr>
                <w:rFonts w:ascii="Century Gothic" w:eastAsia="Arial" w:hAnsi="Century Gothic"/>
                <w:b/>
              </w:rPr>
              <w:t>Obligation to hold shares:</w:t>
            </w:r>
          </w:p>
          <w:p w14:paraId="05995942" w14:textId="77777777" w:rsidR="00580138" w:rsidRPr="009C55E4" w:rsidRDefault="00580138" w:rsidP="009C55E4">
            <w:pPr>
              <w:tabs>
                <w:tab w:val="left" w:pos="420"/>
              </w:tabs>
              <w:spacing w:line="276" w:lineRule="auto"/>
              <w:rPr>
                <w:rFonts w:ascii="Century Gothic" w:eastAsia="Arial" w:hAnsi="Century Gothic"/>
                <w:b/>
              </w:rPr>
            </w:pPr>
          </w:p>
        </w:tc>
        <w:tc>
          <w:tcPr>
            <w:tcW w:w="3910" w:type="pct"/>
            <w:vAlign w:val="center"/>
          </w:tcPr>
          <w:p w14:paraId="6701DEAA" w14:textId="77777777" w:rsidR="00580138" w:rsidRPr="009C55E4" w:rsidRDefault="00580138" w:rsidP="009C55E4">
            <w:pPr>
              <w:tabs>
                <w:tab w:val="left" w:pos="420"/>
              </w:tabs>
              <w:spacing w:line="276" w:lineRule="auto"/>
              <w:rPr>
                <w:rFonts w:ascii="Century Gothic" w:eastAsia="Arial" w:hAnsi="Century Gothic"/>
                <w:b/>
              </w:rPr>
            </w:pPr>
            <w:r w:rsidRPr="009C55E4">
              <w:rPr>
                <w:rFonts w:ascii="Century Gothic" w:eastAsia="Arial" w:hAnsi="Century Gothic"/>
              </w:rPr>
              <w:t>The Founders undertake not to sell or transfer any of their shares in the Company for a period of [</w:t>
            </w:r>
            <w:proofErr w:type="gramStart"/>
            <w:r w:rsidRPr="009C55E4">
              <w:rPr>
                <w:rFonts w:ascii="Century Gothic" w:eastAsia="Arial" w:hAnsi="Century Gothic"/>
              </w:rPr>
              <w:t>number]  years</w:t>
            </w:r>
            <w:proofErr w:type="gramEnd"/>
            <w:r w:rsidRPr="009C55E4">
              <w:rPr>
                <w:rFonts w:ascii="Century Gothic" w:eastAsia="Arial" w:hAnsi="Century Gothic"/>
              </w:rPr>
              <w:t xml:space="preserve">  from  Closing  (“lock-up”).  </w:t>
            </w:r>
            <w:proofErr w:type="gramStart"/>
            <w:r w:rsidRPr="009C55E4">
              <w:rPr>
                <w:rFonts w:ascii="Century Gothic" w:eastAsia="Arial" w:hAnsi="Century Gothic"/>
              </w:rPr>
              <w:t>This  obligation</w:t>
            </w:r>
            <w:proofErr w:type="gramEnd"/>
            <w:r w:rsidRPr="009C55E4">
              <w:rPr>
                <w:rFonts w:ascii="Century Gothic" w:eastAsia="Arial" w:hAnsi="Century Gothic"/>
              </w:rPr>
              <w:t xml:space="preserve">  shall  terminate  upon  an  IPO  unless specifically agreed to in connection with an IPO. Likewise, if the Founders’ shareholding in the Company is held through a holding company, the Founders shall not sell any shares in such personal holding company for the same time period</w:t>
            </w:r>
          </w:p>
        </w:tc>
      </w:tr>
      <w:tr w:rsidR="00580138" w:rsidRPr="009C55E4" w14:paraId="4520F59C" w14:textId="77777777" w:rsidTr="00F50A29">
        <w:trPr>
          <w:trHeight w:val="1555"/>
        </w:trPr>
        <w:tc>
          <w:tcPr>
            <w:tcW w:w="219" w:type="pct"/>
            <w:vAlign w:val="center"/>
          </w:tcPr>
          <w:p w14:paraId="0DD8BC13" w14:textId="77777777" w:rsidR="00580138" w:rsidRPr="009C55E4" w:rsidRDefault="00580138" w:rsidP="00F50A29">
            <w:pPr>
              <w:spacing w:line="276" w:lineRule="auto"/>
              <w:jc w:val="center"/>
              <w:rPr>
                <w:rFonts w:ascii="Century Gothic" w:eastAsia="Arial" w:hAnsi="Century Gothic"/>
                <w:b/>
              </w:rPr>
            </w:pPr>
            <w:r w:rsidRPr="009C55E4">
              <w:rPr>
                <w:rFonts w:ascii="Century Gothic" w:eastAsia="Arial" w:hAnsi="Century Gothic"/>
                <w:b/>
              </w:rPr>
              <w:t>18</w:t>
            </w:r>
          </w:p>
        </w:tc>
        <w:tc>
          <w:tcPr>
            <w:tcW w:w="871" w:type="pct"/>
            <w:vAlign w:val="center"/>
          </w:tcPr>
          <w:p w14:paraId="4EB3D48E" w14:textId="77777777" w:rsidR="00580138" w:rsidRPr="009C55E4" w:rsidRDefault="009C55E4" w:rsidP="009C55E4">
            <w:pPr>
              <w:tabs>
                <w:tab w:val="left" w:pos="420"/>
              </w:tabs>
              <w:spacing w:line="276" w:lineRule="auto"/>
              <w:rPr>
                <w:rFonts w:ascii="Century Gothic" w:eastAsia="Arial" w:hAnsi="Century Gothic"/>
                <w:b/>
              </w:rPr>
            </w:pPr>
            <w:r w:rsidRPr="009C55E4">
              <w:rPr>
                <w:rFonts w:ascii="Century Gothic" w:eastAsia="Arial" w:hAnsi="Century Gothic"/>
                <w:b/>
              </w:rPr>
              <w:t>Forced Exist IPO</w:t>
            </w:r>
          </w:p>
        </w:tc>
        <w:tc>
          <w:tcPr>
            <w:tcW w:w="3910" w:type="pct"/>
            <w:vAlign w:val="center"/>
          </w:tcPr>
          <w:p w14:paraId="63EE3981" w14:textId="77777777" w:rsidR="00580138" w:rsidRPr="009C55E4" w:rsidRDefault="009C55E4" w:rsidP="009C55E4">
            <w:pPr>
              <w:spacing w:line="276" w:lineRule="auto"/>
              <w:rPr>
                <w:rFonts w:ascii="Century Gothic" w:eastAsia="Arial" w:hAnsi="Century Gothic"/>
              </w:rPr>
            </w:pPr>
            <w:r w:rsidRPr="009C55E4">
              <w:rPr>
                <w:rFonts w:ascii="Century Gothic" w:eastAsia="Arial" w:hAnsi="Century Gothic"/>
              </w:rPr>
              <w:t xml:space="preserve">It is the intention of the Parties to pursue an IPO or another Exit when and if this is commercially attractive. The Parties agree to use their best efforts to </w:t>
            </w:r>
            <w:proofErr w:type="gramStart"/>
            <w:r w:rsidRPr="009C55E4">
              <w:rPr>
                <w:rFonts w:ascii="Century Gothic" w:eastAsia="Arial" w:hAnsi="Century Gothic"/>
              </w:rPr>
              <w:t>effect</w:t>
            </w:r>
            <w:proofErr w:type="gramEnd"/>
            <w:r w:rsidRPr="009C55E4">
              <w:rPr>
                <w:rFonts w:ascii="Century Gothic" w:eastAsia="Arial" w:hAnsi="Century Gothic"/>
              </w:rPr>
              <w:t xml:space="preserve"> an IPO or other Exit prior to [date]. The Parties further agree that in the event that an IPO or other Exit has not been </w:t>
            </w:r>
            <w:proofErr w:type="gramStart"/>
            <w:r w:rsidRPr="009C55E4">
              <w:rPr>
                <w:rFonts w:ascii="Century Gothic" w:eastAsia="Arial" w:hAnsi="Century Gothic"/>
              </w:rPr>
              <w:t>effected</w:t>
            </w:r>
            <w:proofErr w:type="gramEnd"/>
            <w:r w:rsidRPr="009C55E4">
              <w:rPr>
                <w:rFonts w:ascii="Century Gothic" w:eastAsia="Arial" w:hAnsi="Century Gothic"/>
              </w:rPr>
              <w:t xml:space="preserve"> prior to [date], the Investors shall be entitled to require the Board of the Company to engage an internationally </w:t>
            </w:r>
            <w:proofErr w:type="spellStart"/>
            <w:r w:rsidRPr="009C55E4">
              <w:rPr>
                <w:rFonts w:ascii="Century Gothic" w:eastAsia="Arial" w:hAnsi="Century Gothic"/>
              </w:rPr>
              <w:t>recognised</w:t>
            </w:r>
            <w:proofErr w:type="spellEnd"/>
            <w:r w:rsidRPr="009C55E4">
              <w:rPr>
                <w:rFonts w:ascii="Century Gothic" w:eastAsia="Arial" w:hAnsi="Century Gothic"/>
              </w:rPr>
              <w:t xml:space="preserve"> investment bank in order to initiate and effect an IPO or a transfer of all of the shares or assets in the Company to a third party. This clause 18 shall not be subject to the tag-along and drag-along rights set out below.</w:t>
            </w:r>
          </w:p>
        </w:tc>
      </w:tr>
      <w:tr w:rsidR="009C55E4" w:rsidRPr="009C55E4" w14:paraId="6D89D7CA" w14:textId="77777777" w:rsidTr="00F50A29">
        <w:trPr>
          <w:trHeight w:val="1555"/>
        </w:trPr>
        <w:tc>
          <w:tcPr>
            <w:tcW w:w="219" w:type="pct"/>
            <w:vAlign w:val="center"/>
          </w:tcPr>
          <w:p w14:paraId="1C7B4328" w14:textId="77777777" w:rsidR="009C55E4" w:rsidRPr="009C55E4" w:rsidRDefault="009C55E4" w:rsidP="00F50A29">
            <w:pPr>
              <w:spacing w:line="276" w:lineRule="auto"/>
              <w:jc w:val="center"/>
              <w:rPr>
                <w:rFonts w:ascii="Century Gothic" w:eastAsia="Arial" w:hAnsi="Century Gothic"/>
                <w:b/>
              </w:rPr>
            </w:pPr>
            <w:r w:rsidRPr="009C55E4">
              <w:rPr>
                <w:rFonts w:ascii="Century Gothic" w:eastAsia="Arial" w:hAnsi="Century Gothic"/>
                <w:b/>
              </w:rPr>
              <w:t>19</w:t>
            </w:r>
          </w:p>
        </w:tc>
        <w:tc>
          <w:tcPr>
            <w:tcW w:w="871" w:type="pct"/>
            <w:vAlign w:val="center"/>
          </w:tcPr>
          <w:p w14:paraId="3FCC1512" w14:textId="77777777" w:rsidR="009C55E4" w:rsidRPr="009C55E4" w:rsidRDefault="009C55E4" w:rsidP="009C55E4">
            <w:pPr>
              <w:tabs>
                <w:tab w:val="left" w:pos="400"/>
              </w:tabs>
              <w:spacing w:line="276" w:lineRule="auto"/>
              <w:rPr>
                <w:rFonts w:ascii="Century Gothic" w:eastAsia="Arial" w:hAnsi="Century Gothic"/>
                <w:b/>
              </w:rPr>
            </w:pPr>
            <w:r w:rsidRPr="009C55E4">
              <w:rPr>
                <w:rFonts w:ascii="Century Gothic" w:eastAsia="Arial" w:hAnsi="Century Gothic"/>
                <w:b/>
              </w:rPr>
              <w:t>Tag-along</w:t>
            </w:r>
          </w:p>
          <w:p w14:paraId="13512E94" w14:textId="77777777" w:rsidR="009C55E4" w:rsidRPr="009C55E4" w:rsidRDefault="009C55E4" w:rsidP="009C55E4">
            <w:pPr>
              <w:spacing w:line="276" w:lineRule="auto"/>
              <w:rPr>
                <w:rFonts w:ascii="Century Gothic" w:eastAsia="Arial" w:hAnsi="Century Gothic"/>
                <w:b/>
              </w:rPr>
            </w:pPr>
            <w:r w:rsidRPr="009C55E4">
              <w:rPr>
                <w:rFonts w:ascii="Century Gothic" w:eastAsia="Arial" w:hAnsi="Century Gothic"/>
                <w:b/>
              </w:rPr>
              <w:t>rights:</w:t>
            </w:r>
          </w:p>
          <w:p w14:paraId="2C74B1D8" w14:textId="77777777" w:rsidR="009C55E4" w:rsidRPr="009C55E4" w:rsidRDefault="009C55E4" w:rsidP="009C55E4">
            <w:pPr>
              <w:tabs>
                <w:tab w:val="left" w:pos="420"/>
              </w:tabs>
              <w:spacing w:line="276" w:lineRule="auto"/>
              <w:rPr>
                <w:rFonts w:ascii="Century Gothic" w:eastAsia="Arial" w:hAnsi="Century Gothic"/>
                <w:b/>
              </w:rPr>
            </w:pPr>
          </w:p>
        </w:tc>
        <w:tc>
          <w:tcPr>
            <w:tcW w:w="3910" w:type="pct"/>
            <w:vAlign w:val="center"/>
          </w:tcPr>
          <w:p w14:paraId="13D7694A"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t>All Parties grant each other the right (as for the Founders; after the expiration of any lock-up period, see above) to participate in any sale of the Company’s share capital in the same proportion and on the same terms and conditions as offered to the selling Party.</w:t>
            </w:r>
          </w:p>
          <w:p w14:paraId="49EEE9BD" w14:textId="77777777" w:rsidR="009C55E4" w:rsidRPr="009C55E4" w:rsidRDefault="009C55E4" w:rsidP="009C55E4">
            <w:pPr>
              <w:spacing w:line="276" w:lineRule="auto"/>
              <w:rPr>
                <w:rFonts w:ascii="Century Gothic" w:eastAsia="Arial" w:hAnsi="Century Gothic"/>
              </w:rPr>
            </w:pPr>
          </w:p>
        </w:tc>
      </w:tr>
      <w:tr w:rsidR="009C55E4" w:rsidRPr="009C55E4" w14:paraId="4FD62042" w14:textId="77777777" w:rsidTr="00F50A29">
        <w:trPr>
          <w:trHeight w:val="1555"/>
        </w:trPr>
        <w:tc>
          <w:tcPr>
            <w:tcW w:w="219" w:type="pct"/>
            <w:vAlign w:val="center"/>
          </w:tcPr>
          <w:p w14:paraId="5C28624F" w14:textId="77777777" w:rsidR="009C55E4" w:rsidRPr="009C55E4" w:rsidRDefault="009C55E4" w:rsidP="00F50A29">
            <w:pPr>
              <w:spacing w:line="276" w:lineRule="auto"/>
              <w:jc w:val="center"/>
              <w:rPr>
                <w:rFonts w:ascii="Century Gothic" w:eastAsia="Arial" w:hAnsi="Century Gothic"/>
                <w:b/>
              </w:rPr>
            </w:pPr>
            <w:r w:rsidRPr="009C55E4">
              <w:rPr>
                <w:rFonts w:ascii="Century Gothic" w:eastAsia="Arial" w:hAnsi="Century Gothic"/>
                <w:b/>
              </w:rPr>
              <w:t>20</w:t>
            </w:r>
          </w:p>
        </w:tc>
        <w:tc>
          <w:tcPr>
            <w:tcW w:w="871" w:type="pct"/>
            <w:vAlign w:val="center"/>
          </w:tcPr>
          <w:p w14:paraId="14504958" w14:textId="77777777" w:rsidR="009C55E4" w:rsidRPr="009C55E4" w:rsidRDefault="009C55E4" w:rsidP="009C55E4">
            <w:pPr>
              <w:tabs>
                <w:tab w:val="left" w:pos="400"/>
              </w:tabs>
              <w:spacing w:line="276" w:lineRule="auto"/>
              <w:rPr>
                <w:rFonts w:ascii="Century Gothic" w:eastAsia="Arial" w:hAnsi="Century Gothic"/>
                <w:b/>
              </w:rPr>
            </w:pPr>
            <w:r w:rsidRPr="009C55E4">
              <w:rPr>
                <w:rFonts w:ascii="Century Gothic" w:eastAsia="Arial" w:hAnsi="Century Gothic"/>
                <w:b/>
              </w:rPr>
              <w:t>Investors’ drag- along rights</w:t>
            </w:r>
          </w:p>
        </w:tc>
        <w:tc>
          <w:tcPr>
            <w:tcW w:w="3910" w:type="pct"/>
            <w:vAlign w:val="center"/>
          </w:tcPr>
          <w:p w14:paraId="671A63DF" w14:textId="77777777" w:rsidR="009C55E4" w:rsidRPr="009C55E4" w:rsidRDefault="009C55E4" w:rsidP="009C55E4">
            <w:pPr>
              <w:tabs>
                <w:tab w:val="left" w:pos="420"/>
              </w:tabs>
              <w:spacing w:line="276" w:lineRule="auto"/>
              <w:rPr>
                <w:rFonts w:ascii="Century Gothic" w:eastAsia="Arial" w:hAnsi="Century Gothic"/>
              </w:rPr>
            </w:pPr>
            <w:r w:rsidRPr="009C55E4">
              <w:rPr>
                <w:rFonts w:ascii="Century Gothic" w:eastAsia="Arial" w:hAnsi="Century Gothic"/>
              </w:rPr>
              <w:t>Investors [subject to certain Investor majority] shall have the right to cause all Shareholders to sell for consideration in cash or listed shares) their shares to a bona fide third party on the same terms, provided that an offer is made for the whole Company.</w:t>
            </w:r>
          </w:p>
          <w:p w14:paraId="7A7656F9" w14:textId="77777777" w:rsidR="009C55E4" w:rsidRPr="009C55E4" w:rsidRDefault="009C55E4" w:rsidP="009C55E4">
            <w:pPr>
              <w:tabs>
                <w:tab w:val="left" w:pos="420"/>
              </w:tabs>
              <w:spacing w:line="276" w:lineRule="auto"/>
              <w:rPr>
                <w:rFonts w:ascii="Century Gothic" w:eastAsia="Arial" w:hAnsi="Century Gothic"/>
                <w:b/>
              </w:rPr>
            </w:pPr>
          </w:p>
          <w:p w14:paraId="28F37D0E" w14:textId="77777777" w:rsidR="009C55E4" w:rsidRPr="009C55E4" w:rsidRDefault="009C55E4" w:rsidP="009C55E4">
            <w:pPr>
              <w:spacing w:line="276" w:lineRule="auto"/>
              <w:rPr>
                <w:rFonts w:ascii="Century Gothic" w:eastAsia="Times New Roman" w:hAnsi="Century Gothic"/>
              </w:rPr>
            </w:pPr>
          </w:p>
          <w:p w14:paraId="20113976" w14:textId="77777777" w:rsidR="009C55E4" w:rsidRPr="009C55E4" w:rsidRDefault="009C55E4" w:rsidP="009C55E4">
            <w:pPr>
              <w:spacing w:line="276" w:lineRule="auto"/>
              <w:rPr>
                <w:rFonts w:ascii="Century Gothic" w:eastAsia="Arial" w:hAnsi="Century Gothic"/>
              </w:rPr>
            </w:pPr>
          </w:p>
        </w:tc>
      </w:tr>
      <w:tr w:rsidR="009C55E4" w:rsidRPr="009C55E4" w14:paraId="2349F1AE" w14:textId="77777777" w:rsidTr="00F50A29">
        <w:trPr>
          <w:trHeight w:val="1555"/>
        </w:trPr>
        <w:tc>
          <w:tcPr>
            <w:tcW w:w="219" w:type="pct"/>
            <w:vAlign w:val="center"/>
          </w:tcPr>
          <w:p w14:paraId="64A06D40" w14:textId="77777777" w:rsidR="009C55E4" w:rsidRPr="009C55E4" w:rsidRDefault="009C55E4" w:rsidP="00F50A29">
            <w:pPr>
              <w:spacing w:line="276" w:lineRule="auto"/>
              <w:jc w:val="center"/>
              <w:rPr>
                <w:rFonts w:ascii="Century Gothic" w:eastAsia="Arial" w:hAnsi="Century Gothic"/>
                <w:b/>
              </w:rPr>
            </w:pPr>
            <w:r w:rsidRPr="009C55E4">
              <w:rPr>
                <w:rFonts w:ascii="Century Gothic" w:eastAsia="Arial" w:hAnsi="Century Gothic"/>
                <w:b/>
              </w:rPr>
              <w:t>21</w:t>
            </w:r>
          </w:p>
        </w:tc>
        <w:tc>
          <w:tcPr>
            <w:tcW w:w="871" w:type="pct"/>
            <w:vAlign w:val="center"/>
          </w:tcPr>
          <w:p w14:paraId="798C11F4" w14:textId="77777777" w:rsidR="009C55E4" w:rsidRPr="009C55E4" w:rsidRDefault="009C55E4" w:rsidP="009C55E4">
            <w:pPr>
              <w:tabs>
                <w:tab w:val="left" w:pos="400"/>
              </w:tabs>
              <w:spacing w:line="276" w:lineRule="auto"/>
              <w:ind w:left="60"/>
              <w:rPr>
                <w:rFonts w:ascii="Century Gothic" w:eastAsia="Arial" w:hAnsi="Century Gothic"/>
                <w:b/>
              </w:rPr>
            </w:pPr>
            <w:r w:rsidRPr="009C55E4">
              <w:rPr>
                <w:rFonts w:ascii="Century Gothic" w:eastAsia="Arial" w:hAnsi="Century Gothic"/>
                <w:b/>
              </w:rPr>
              <w:t>Right of</w:t>
            </w:r>
          </w:p>
          <w:p w14:paraId="0D99B874" w14:textId="77777777" w:rsidR="009C55E4" w:rsidRPr="009C55E4" w:rsidRDefault="009C55E4" w:rsidP="009C55E4">
            <w:pPr>
              <w:spacing w:line="276" w:lineRule="auto"/>
              <w:rPr>
                <w:rFonts w:ascii="Century Gothic" w:eastAsia="Arial" w:hAnsi="Century Gothic"/>
                <w:b/>
              </w:rPr>
            </w:pPr>
            <w:r w:rsidRPr="009C55E4">
              <w:rPr>
                <w:rFonts w:ascii="Century Gothic" w:eastAsia="Arial" w:hAnsi="Century Gothic"/>
                <w:b/>
              </w:rPr>
              <w:t>amendment:</w:t>
            </w:r>
          </w:p>
          <w:p w14:paraId="5D45E287" w14:textId="77777777" w:rsidR="009C55E4" w:rsidRPr="009C55E4" w:rsidRDefault="009C55E4" w:rsidP="009C55E4">
            <w:pPr>
              <w:tabs>
                <w:tab w:val="left" w:pos="400"/>
              </w:tabs>
              <w:spacing w:line="276" w:lineRule="auto"/>
              <w:rPr>
                <w:rFonts w:ascii="Century Gothic" w:eastAsia="Arial" w:hAnsi="Century Gothic"/>
                <w:b/>
              </w:rPr>
            </w:pPr>
          </w:p>
        </w:tc>
        <w:tc>
          <w:tcPr>
            <w:tcW w:w="3910" w:type="pct"/>
            <w:vAlign w:val="center"/>
          </w:tcPr>
          <w:p w14:paraId="5D102B36"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t>Parties holding [percentage] or more of the shares of the Company may cancel the shareholders' agreement or change or amend the provisions of the shareholders' agreement with effect for all Parties provided always that such amendments do not unreasonably (In Danish: "</w:t>
            </w:r>
            <w:proofErr w:type="spellStart"/>
            <w:r w:rsidRPr="009C55E4">
              <w:rPr>
                <w:rFonts w:ascii="Century Gothic" w:eastAsia="Arial" w:hAnsi="Century Gothic"/>
              </w:rPr>
              <w:t>utilbørligt</w:t>
            </w:r>
            <w:proofErr w:type="spellEnd"/>
            <w:r w:rsidRPr="009C55E4">
              <w:rPr>
                <w:rFonts w:ascii="Century Gothic" w:eastAsia="Arial" w:hAnsi="Century Gothic"/>
              </w:rPr>
              <w:t>") increase, or reduce, or amend the rights or obligations of any individual Shareholder or group of Shareholders, see the Danish Companies Act’s section 80, or constitute resolutions that would require qualified majority according to section 79 of the Danish Companies Act.</w:t>
            </w:r>
          </w:p>
          <w:p w14:paraId="50568C1C" w14:textId="77777777" w:rsidR="009C55E4" w:rsidRPr="009C55E4" w:rsidRDefault="009C55E4" w:rsidP="009C55E4">
            <w:pPr>
              <w:tabs>
                <w:tab w:val="left" w:pos="420"/>
              </w:tabs>
              <w:spacing w:line="276" w:lineRule="auto"/>
              <w:rPr>
                <w:rFonts w:ascii="Century Gothic" w:eastAsia="Arial" w:hAnsi="Century Gothic"/>
              </w:rPr>
            </w:pPr>
          </w:p>
        </w:tc>
      </w:tr>
      <w:tr w:rsidR="009C55E4" w:rsidRPr="009C55E4" w14:paraId="02196F79" w14:textId="77777777" w:rsidTr="00F50A29">
        <w:trPr>
          <w:trHeight w:val="1555"/>
        </w:trPr>
        <w:tc>
          <w:tcPr>
            <w:tcW w:w="219" w:type="pct"/>
            <w:vAlign w:val="center"/>
          </w:tcPr>
          <w:p w14:paraId="66C95C14" w14:textId="77777777" w:rsidR="009C55E4" w:rsidRPr="009C55E4" w:rsidRDefault="009C55E4" w:rsidP="00F50A29">
            <w:pPr>
              <w:spacing w:line="276" w:lineRule="auto"/>
              <w:jc w:val="center"/>
              <w:rPr>
                <w:rFonts w:ascii="Century Gothic" w:eastAsia="Arial" w:hAnsi="Century Gothic"/>
                <w:b/>
              </w:rPr>
            </w:pPr>
            <w:r w:rsidRPr="009C55E4">
              <w:rPr>
                <w:rFonts w:ascii="Century Gothic" w:eastAsia="Arial" w:hAnsi="Century Gothic"/>
                <w:b/>
              </w:rPr>
              <w:t>22.</w:t>
            </w:r>
          </w:p>
        </w:tc>
        <w:tc>
          <w:tcPr>
            <w:tcW w:w="871" w:type="pct"/>
            <w:vAlign w:val="center"/>
          </w:tcPr>
          <w:p w14:paraId="55DE4A20" w14:textId="77777777" w:rsidR="009C55E4" w:rsidRPr="009C55E4" w:rsidRDefault="009C55E4" w:rsidP="009C55E4">
            <w:pPr>
              <w:spacing w:line="276" w:lineRule="auto"/>
              <w:ind w:left="60"/>
              <w:rPr>
                <w:rFonts w:ascii="Century Gothic" w:eastAsia="Arial" w:hAnsi="Century Gothic"/>
                <w:b/>
              </w:rPr>
            </w:pPr>
            <w:r w:rsidRPr="009C55E4">
              <w:rPr>
                <w:rFonts w:ascii="Century Gothic" w:eastAsia="Arial" w:hAnsi="Century Gothic"/>
                <w:b/>
              </w:rPr>
              <w:t>Non-</w:t>
            </w:r>
          </w:p>
          <w:p w14:paraId="4BCE85D1" w14:textId="77777777" w:rsidR="009C55E4" w:rsidRPr="009C55E4" w:rsidRDefault="009C55E4" w:rsidP="009C55E4">
            <w:pPr>
              <w:tabs>
                <w:tab w:val="left" w:pos="400"/>
              </w:tabs>
              <w:spacing w:line="276" w:lineRule="auto"/>
              <w:ind w:left="60"/>
              <w:rPr>
                <w:rFonts w:ascii="Century Gothic" w:eastAsia="Arial" w:hAnsi="Century Gothic"/>
                <w:b/>
              </w:rPr>
            </w:pPr>
            <w:r w:rsidRPr="009C55E4">
              <w:rPr>
                <w:rFonts w:ascii="Century Gothic" w:eastAsia="Arial" w:hAnsi="Century Gothic"/>
                <w:b/>
              </w:rPr>
              <w:t>competition:</w:t>
            </w:r>
          </w:p>
        </w:tc>
        <w:tc>
          <w:tcPr>
            <w:tcW w:w="3910" w:type="pct"/>
            <w:vAlign w:val="center"/>
          </w:tcPr>
          <w:p w14:paraId="4CF074BF"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t>The Founders and certain key employees of the Company are or will be bound by agreements</w:t>
            </w:r>
            <w:r>
              <w:rPr>
                <w:rFonts w:ascii="Century Gothic" w:eastAsia="Arial" w:hAnsi="Century Gothic"/>
              </w:rPr>
              <w:t xml:space="preserve"> </w:t>
            </w:r>
            <w:r w:rsidRPr="009C55E4">
              <w:rPr>
                <w:rFonts w:ascii="Century Gothic" w:eastAsia="Arial" w:hAnsi="Century Gothic"/>
              </w:rPr>
              <w:t>restricting their ability to compete with the Company, hold any ownership interest in any competitor</w:t>
            </w:r>
            <w:r>
              <w:rPr>
                <w:rFonts w:ascii="Century Gothic" w:eastAsia="Arial" w:hAnsi="Century Gothic"/>
              </w:rPr>
              <w:t xml:space="preserve"> </w:t>
            </w:r>
            <w:r w:rsidRPr="009C55E4">
              <w:rPr>
                <w:rFonts w:ascii="Century Gothic" w:eastAsia="Arial" w:hAnsi="Century Gothic"/>
              </w:rPr>
              <w:t>of the Company, solicit any employees of the Company or disclose confidential information of the</w:t>
            </w:r>
          </w:p>
          <w:p w14:paraId="3FBBAAB7"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t>Company.</w:t>
            </w:r>
          </w:p>
          <w:p w14:paraId="1D90F477"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t>As set out above, it shall be a condition to Closing that management [and the key employees] enters</w:t>
            </w:r>
            <w:r>
              <w:rPr>
                <w:rFonts w:ascii="Century Gothic" w:eastAsia="Arial" w:hAnsi="Century Gothic"/>
              </w:rPr>
              <w:t xml:space="preserve"> </w:t>
            </w:r>
            <w:proofErr w:type="gramStart"/>
            <w:r w:rsidRPr="009C55E4">
              <w:rPr>
                <w:rFonts w:ascii="Century Gothic" w:eastAsia="Arial" w:hAnsi="Century Gothic"/>
              </w:rPr>
              <w:t>into  employment</w:t>
            </w:r>
            <w:proofErr w:type="gramEnd"/>
            <w:r w:rsidRPr="009C55E4">
              <w:rPr>
                <w:rFonts w:ascii="Century Gothic" w:eastAsia="Arial" w:hAnsi="Century Gothic"/>
              </w:rPr>
              <w:t xml:space="preserve">  agreements  in  form  and  substance  satisfactory  to  the  Investors,  including</w:t>
            </w:r>
          </w:p>
          <w:p w14:paraId="5CFF45BB"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lastRenderedPageBreak/>
              <w:t xml:space="preserve">assignment to the Company of all rights and inventions, including IPR, related to the </w:t>
            </w:r>
            <w:proofErr w:type="spellStart"/>
            <w:r w:rsidRPr="009C55E4">
              <w:rPr>
                <w:rFonts w:ascii="Century Gothic" w:eastAsia="Arial" w:hAnsi="Century Gothic"/>
              </w:rPr>
              <w:t>Company’stechnology</w:t>
            </w:r>
            <w:proofErr w:type="spellEnd"/>
            <w:r w:rsidRPr="009C55E4">
              <w:rPr>
                <w:rFonts w:ascii="Century Gothic" w:eastAsia="Arial" w:hAnsi="Century Gothic"/>
              </w:rPr>
              <w:t>.</w:t>
            </w:r>
          </w:p>
          <w:p w14:paraId="4823023B"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t>If a manager leaves the Company voluntarily or is terminated for cause, such manager will be</w:t>
            </w:r>
            <w:r>
              <w:rPr>
                <w:rFonts w:ascii="Century Gothic" w:eastAsia="Arial" w:hAnsi="Century Gothic"/>
              </w:rPr>
              <w:t xml:space="preserve"> </w:t>
            </w:r>
            <w:r w:rsidRPr="009C55E4">
              <w:rPr>
                <w:rFonts w:ascii="Century Gothic" w:eastAsia="Arial" w:hAnsi="Century Gothic"/>
              </w:rPr>
              <w:t>subject to a one-year non-compete and non-solicitation agreement. The Company may choose to</w:t>
            </w:r>
            <w:r>
              <w:rPr>
                <w:rFonts w:ascii="Century Gothic" w:eastAsia="Arial" w:hAnsi="Century Gothic"/>
              </w:rPr>
              <w:t xml:space="preserve"> </w:t>
            </w:r>
            <w:r w:rsidRPr="009C55E4">
              <w:rPr>
                <w:rFonts w:ascii="Century Gothic" w:eastAsia="Arial" w:hAnsi="Century Gothic"/>
              </w:rPr>
              <w:t>waive its rights related to this non-competition agreement on a case-by-case basis.</w:t>
            </w:r>
          </w:p>
        </w:tc>
      </w:tr>
      <w:tr w:rsidR="009C55E4" w:rsidRPr="009C55E4" w14:paraId="6BE398FA" w14:textId="77777777" w:rsidTr="00F50A29">
        <w:trPr>
          <w:trHeight w:val="1555"/>
        </w:trPr>
        <w:tc>
          <w:tcPr>
            <w:tcW w:w="219" w:type="pct"/>
            <w:vAlign w:val="center"/>
          </w:tcPr>
          <w:p w14:paraId="24D626DC" w14:textId="77777777" w:rsidR="009C55E4" w:rsidRPr="009C55E4" w:rsidRDefault="009C55E4" w:rsidP="00F50A29">
            <w:pPr>
              <w:spacing w:line="276" w:lineRule="auto"/>
              <w:jc w:val="center"/>
              <w:rPr>
                <w:rFonts w:ascii="Century Gothic" w:eastAsia="Arial" w:hAnsi="Century Gothic"/>
                <w:b/>
              </w:rPr>
            </w:pPr>
            <w:r w:rsidRPr="009C55E4">
              <w:rPr>
                <w:rFonts w:ascii="Century Gothic" w:eastAsia="Arial" w:hAnsi="Century Gothic"/>
                <w:b/>
              </w:rPr>
              <w:lastRenderedPageBreak/>
              <w:t>23.</w:t>
            </w:r>
          </w:p>
        </w:tc>
        <w:tc>
          <w:tcPr>
            <w:tcW w:w="871" w:type="pct"/>
            <w:vAlign w:val="center"/>
          </w:tcPr>
          <w:p w14:paraId="469D9EB7" w14:textId="77777777" w:rsidR="009C55E4" w:rsidRPr="009C55E4" w:rsidRDefault="009C55E4" w:rsidP="009C55E4">
            <w:pPr>
              <w:spacing w:line="276" w:lineRule="auto"/>
              <w:ind w:left="60"/>
              <w:rPr>
                <w:rFonts w:ascii="Century Gothic" w:eastAsia="Arial" w:hAnsi="Century Gothic"/>
                <w:b/>
              </w:rPr>
            </w:pPr>
            <w:r w:rsidRPr="009C55E4">
              <w:rPr>
                <w:rFonts w:ascii="Century Gothic" w:eastAsia="Arial" w:hAnsi="Century Gothic"/>
                <w:b/>
              </w:rPr>
              <w:t>Key main</w:t>
            </w:r>
          </w:p>
          <w:p w14:paraId="27DEA654" w14:textId="77777777" w:rsidR="009C55E4" w:rsidRPr="009C55E4" w:rsidRDefault="009C55E4" w:rsidP="009C55E4">
            <w:pPr>
              <w:spacing w:line="276" w:lineRule="auto"/>
              <w:ind w:left="60"/>
              <w:rPr>
                <w:rFonts w:ascii="Century Gothic" w:eastAsia="Arial" w:hAnsi="Century Gothic"/>
                <w:b/>
              </w:rPr>
            </w:pPr>
            <w:r w:rsidRPr="009C55E4">
              <w:rPr>
                <w:rFonts w:ascii="Century Gothic" w:eastAsia="Arial" w:hAnsi="Century Gothic"/>
                <w:b/>
              </w:rPr>
              <w:t>clauses:</w:t>
            </w:r>
          </w:p>
        </w:tc>
        <w:tc>
          <w:tcPr>
            <w:tcW w:w="3910" w:type="pct"/>
            <w:vAlign w:val="center"/>
          </w:tcPr>
          <w:p w14:paraId="239FA1CF"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t>The shareholders’ agreement shall include key man clauses defining good and bad leaver scenarios</w:t>
            </w:r>
          </w:p>
          <w:p w14:paraId="3E0F4C01"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t xml:space="preserve">according to which the departure of any key man under certain circumstances may trigger that shares and options owned by such key man are transferred to the other Shareholders. If so </w:t>
            </w:r>
            <w:proofErr w:type="spellStart"/>
            <w:r w:rsidRPr="009C55E4">
              <w:rPr>
                <w:rFonts w:ascii="Century Gothic" w:eastAsia="Arial" w:hAnsi="Century Gothic"/>
              </w:rPr>
              <w:t>requiredby</w:t>
            </w:r>
            <w:proofErr w:type="spellEnd"/>
            <w:r w:rsidRPr="009C55E4">
              <w:rPr>
                <w:rFonts w:ascii="Century Gothic" w:eastAsia="Arial" w:hAnsi="Century Gothic"/>
              </w:rPr>
              <w:t xml:space="preserve"> the other Parties the bad leavers will be subject to an obligation to sell shares at a price of not more than [percentage] of the market value, as determined by independent valuators, provided that the bad leaver and the other Parties cannot agree on a price for the bad leaver’s shares.</w:t>
            </w:r>
          </w:p>
        </w:tc>
      </w:tr>
      <w:tr w:rsidR="009C55E4" w:rsidRPr="009C55E4" w14:paraId="518A07F9" w14:textId="77777777" w:rsidTr="00F50A29">
        <w:trPr>
          <w:trHeight w:val="1555"/>
        </w:trPr>
        <w:tc>
          <w:tcPr>
            <w:tcW w:w="219" w:type="pct"/>
            <w:vAlign w:val="center"/>
          </w:tcPr>
          <w:p w14:paraId="1570AE20" w14:textId="77777777" w:rsidR="009C55E4" w:rsidRPr="009C55E4" w:rsidRDefault="009C55E4" w:rsidP="00F50A29">
            <w:pPr>
              <w:spacing w:line="276" w:lineRule="auto"/>
              <w:jc w:val="center"/>
              <w:rPr>
                <w:rFonts w:ascii="Century Gothic" w:eastAsia="Arial" w:hAnsi="Century Gothic"/>
                <w:b/>
              </w:rPr>
            </w:pPr>
            <w:r w:rsidRPr="009C55E4">
              <w:rPr>
                <w:rFonts w:ascii="Century Gothic" w:eastAsia="Arial" w:hAnsi="Century Gothic"/>
                <w:b/>
              </w:rPr>
              <w:t>24</w:t>
            </w:r>
          </w:p>
        </w:tc>
        <w:tc>
          <w:tcPr>
            <w:tcW w:w="871" w:type="pct"/>
            <w:vAlign w:val="center"/>
          </w:tcPr>
          <w:p w14:paraId="1ED4CC7B" w14:textId="77777777" w:rsidR="009C55E4" w:rsidRPr="009C55E4" w:rsidRDefault="009C55E4" w:rsidP="009C55E4">
            <w:pPr>
              <w:spacing w:line="276" w:lineRule="auto"/>
              <w:rPr>
                <w:rFonts w:ascii="Century Gothic" w:eastAsia="Arial" w:hAnsi="Century Gothic"/>
                <w:b/>
              </w:rPr>
            </w:pPr>
            <w:r w:rsidRPr="009C55E4">
              <w:rPr>
                <w:rFonts w:ascii="Century Gothic" w:eastAsia="Arial" w:hAnsi="Century Gothic"/>
                <w:b/>
              </w:rPr>
              <w:t>Representations</w:t>
            </w:r>
          </w:p>
          <w:p w14:paraId="64B54FC4"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b/>
              </w:rPr>
              <w:t>and warranties:</w:t>
            </w:r>
          </w:p>
          <w:p w14:paraId="1AC1FE2D" w14:textId="77777777" w:rsidR="009C55E4" w:rsidRPr="009C55E4" w:rsidRDefault="009C55E4" w:rsidP="009C55E4">
            <w:pPr>
              <w:spacing w:line="276" w:lineRule="auto"/>
              <w:ind w:left="60"/>
              <w:rPr>
                <w:rFonts w:ascii="Century Gothic" w:eastAsia="Arial" w:hAnsi="Century Gothic"/>
                <w:b/>
              </w:rPr>
            </w:pPr>
          </w:p>
        </w:tc>
        <w:tc>
          <w:tcPr>
            <w:tcW w:w="3910" w:type="pct"/>
            <w:vAlign w:val="center"/>
          </w:tcPr>
          <w:p w14:paraId="1F40D460" w14:textId="77777777" w:rsidR="009C55E4" w:rsidRPr="009C55E4" w:rsidRDefault="009C55E4" w:rsidP="009C55E4">
            <w:pPr>
              <w:spacing w:line="276" w:lineRule="auto"/>
              <w:rPr>
                <w:rFonts w:ascii="Century Gothic" w:eastAsia="Arial" w:hAnsi="Century Gothic"/>
                <w:b/>
              </w:rPr>
            </w:pPr>
            <w:r w:rsidRPr="009C55E4">
              <w:rPr>
                <w:rFonts w:ascii="Century Gothic" w:eastAsia="Arial" w:hAnsi="Century Gothic"/>
              </w:rPr>
              <w:t>The Founders will make customary representations and warranties as per Closing to the Investors representations and warranties. Special attention will be drawn to the Company’s IPR, material commercial agreements and compliance with laws and regulations.</w:t>
            </w:r>
          </w:p>
          <w:p w14:paraId="15201A0E" w14:textId="77777777" w:rsidR="009C55E4" w:rsidRPr="009C55E4" w:rsidRDefault="009C55E4" w:rsidP="009C55E4">
            <w:pPr>
              <w:spacing w:line="276" w:lineRule="auto"/>
              <w:rPr>
                <w:rFonts w:ascii="Century Gothic" w:eastAsia="Arial" w:hAnsi="Century Gothic"/>
              </w:rPr>
            </w:pPr>
            <w:r w:rsidRPr="009C55E4">
              <w:rPr>
                <w:rFonts w:ascii="Century Gothic" w:eastAsia="Arial" w:hAnsi="Century Gothic"/>
              </w:rPr>
              <w:t xml:space="preserve">The right of the Investors to raise claims based on representations and warranties issued by the Founders shall expire [number] months after Closing, except for liability with respect to title which shall be unlimited in time and tax which shall expire 6 months after the end of the applicable statutory limitation period. Except for cases of gross negligence, fraud or </w:t>
            </w:r>
            <w:proofErr w:type="spellStart"/>
            <w:r w:rsidRPr="009C55E4">
              <w:rPr>
                <w:rFonts w:ascii="Century Gothic" w:eastAsia="Arial" w:hAnsi="Century Gothic"/>
              </w:rPr>
              <w:t>wilful</w:t>
            </w:r>
            <w:proofErr w:type="spellEnd"/>
            <w:r w:rsidRPr="009C55E4">
              <w:rPr>
                <w:rFonts w:ascii="Century Gothic" w:eastAsia="Arial" w:hAnsi="Century Gothic"/>
              </w:rPr>
              <w:t xml:space="preserve"> misconduct the aggregate liability of the Founders cannot exceed DKK [Investment amount]. Liabilities will be subject to customary de minimis, basket and cap provisions. </w:t>
            </w:r>
            <w:proofErr w:type="gramStart"/>
            <w:r w:rsidRPr="009C55E4">
              <w:rPr>
                <w:rFonts w:ascii="Century Gothic" w:eastAsia="Arial" w:hAnsi="Century Gothic"/>
              </w:rPr>
              <w:t>concerning  the</w:t>
            </w:r>
            <w:proofErr w:type="gramEnd"/>
            <w:r w:rsidRPr="009C55E4">
              <w:rPr>
                <w:rFonts w:ascii="Century Gothic" w:eastAsia="Arial" w:hAnsi="Century Gothic"/>
              </w:rPr>
              <w:t xml:space="preserve">  Company  subject  to  specific  disclosures  with  respect  to  the  individual</w:t>
            </w:r>
          </w:p>
          <w:p w14:paraId="0B9440E3" w14:textId="77777777" w:rsidR="009C55E4" w:rsidRPr="009C55E4" w:rsidRDefault="009C55E4" w:rsidP="009C55E4">
            <w:pPr>
              <w:spacing w:line="276" w:lineRule="auto"/>
              <w:rPr>
                <w:rFonts w:ascii="Century Gothic" w:eastAsia="Arial" w:hAnsi="Century Gothic"/>
              </w:rPr>
            </w:pPr>
          </w:p>
        </w:tc>
      </w:tr>
    </w:tbl>
    <w:p w14:paraId="3760CE8C" w14:textId="77777777" w:rsidR="00CC1A3C" w:rsidRPr="002016BD" w:rsidRDefault="00CC1A3C" w:rsidP="002016BD">
      <w:pPr>
        <w:spacing w:line="276" w:lineRule="auto"/>
        <w:rPr>
          <w:rFonts w:ascii="Century Gothic" w:eastAsia="Times New Roman" w:hAnsi="Century Gothic"/>
        </w:rPr>
      </w:pPr>
      <w:bookmarkStart w:id="2" w:name="page4"/>
      <w:bookmarkEnd w:id="2"/>
    </w:p>
    <w:p w14:paraId="17E0AAB3" w14:textId="77777777" w:rsidR="00CC1A3C" w:rsidRDefault="00E962D4" w:rsidP="001F03A0">
      <w:pPr>
        <w:numPr>
          <w:ilvl w:val="0"/>
          <w:numId w:val="1"/>
        </w:numPr>
        <w:spacing w:line="276" w:lineRule="auto"/>
        <w:ind w:left="60"/>
        <w:rPr>
          <w:rFonts w:ascii="Century Gothic" w:eastAsia="Arial" w:hAnsi="Century Gothic"/>
          <w:b/>
          <w:bCs/>
          <w:sz w:val="28"/>
          <w:szCs w:val="28"/>
        </w:rPr>
      </w:pPr>
      <w:bookmarkStart w:id="3" w:name="page5"/>
      <w:bookmarkStart w:id="4" w:name="page6"/>
      <w:bookmarkStart w:id="5" w:name="page7"/>
      <w:bookmarkStart w:id="6" w:name="page8"/>
      <w:bookmarkEnd w:id="3"/>
      <w:bookmarkEnd w:id="4"/>
      <w:bookmarkEnd w:id="5"/>
      <w:bookmarkEnd w:id="6"/>
      <w:r w:rsidRPr="001F03A0">
        <w:rPr>
          <w:rFonts w:ascii="Century Gothic" w:eastAsia="Arial" w:hAnsi="Century Gothic"/>
          <w:b/>
          <w:bCs/>
          <w:sz w:val="28"/>
          <w:szCs w:val="28"/>
        </w:rPr>
        <w:t>Legally binding</w:t>
      </w:r>
      <w:r w:rsidR="009C55E4" w:rsidRPr="001F03A0">
        <w:rPr>
          <w:rFonts w:ascii="Century Gothic" w:eastAsia="Arial" w:hAnsi="Century Gothic"/>
          <w:b/>
          <w:bCs/>
          <w:sz w:val="28"/>
          <w:szCs w:val="28"/>
        </w:rPr>
        <w:t xml:space="preserve"> </w:t>
      </w:r>
      <w:r w:rsidRPr="001F03A0">
        <w:rPr>
          <w:rFonts w:ascii="Century Gothic" w:eastAsia="Arial" w:hAnsi="Century Gothic"/>
          <w:b/>
          <w:bCs/>
          <w:sz w:val="28"/>
          <w:szCs w:val="28"/>
        </w:rPr>
        <w:t>terms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30"/>
        <w:gridCol w:w="1544"/>
        <w:gridCol w:w="7546"/>
      </w:tblGrid>
      <w:tr w:rsidR="001F03A0" w:rsidRPr="001F03A0" w14:paraId="6E5F70B8" w14:textId="77777777" w:rsidTr="00F50A29">
        <w:trPr>
          <w:trHeight w:val="1555"/>
        </w:trPr>
        <w:tc>
          <w:tcPr>
            <w:tcW w:w="430" w:type="dxa"/>
            <w:vAlign w:val="center"/>
          </w:tcPr>
          <w:p w14:paraId="210166B4" w14:textId="77777777" w:rsidR="001F03A0" w:rsidRPr="001F03A0" w:rsidRDefault="001F03A0" w:rsidP="00F50A29">
            <w:pPr>
              <w:spacing w:line="276" w:lineRule="auto"/>
              <w:jc w:val="center"/>
              <w:rPr>
                <w:rFonts w:ascii="Century Gothic" w:eastAsia="Arial" w:hAnsi="Century Gothic"/>
                <w:b/>
                <w:bCs/>
              </w:rPr>
            </w:pPr>
            <w:r w:rsidRPr="001F03A0">
              <w:rPr>
                <w:rFonts w:ascii="Century Gothic" w:eastAsia="Arial" w:hAnsi="Century Gothic"/>
                <w:b/>
                <w:bCs/>
              </w:rPr>
              <w:t>1</w:t>
            </w:r>
          </w:p>
        </w:tc>
        <w:tc>
          <w:tcPr>
            <w:tcW w:w="1413" w:type="dxa"/>
            <w:vAlign w:val="center"/>
          </w:tcPr>
          <w:p w14:paraId="4DCDBA6B" w14:textId="77777777" w:rsidR="001F03A0" w:rsidRPr="001F03A0" w:rsidRDefault="001F03A0" w:rsidP="00DC7F1D">
            <w:pPr>
              <w:spacing w:line="276" w:lineRule="auto"/>
              <w:rPr>
                <w:rFonts w:ascii="Century Gothic" w:eastAsia="Arial" w:hAnsi="Century Gothic"/>
                <w:b/>
                <w:bCs/>
              </w:rPr>
            </w:pPr>
            <w:r w:rsidRPr="001F03A0">
              <w:rPr>
                <w:rFonts w:ascii="Century Gothic" w:eastAsia="Arial" w:hAnsi="Century Gothic"/>
                <w:b/>
              </w:rPr>
              <w:t>Validity:</w:t>
            </w:r>
          </w:p>
        </w:tc>
        <w:tc>
          <w:tcPr>
            <w:tcW w:w="7546" w:type="dxa"/>
            <w:vAlign w:val="center"/>
          </w:tcPr>
          <w:p w14:paraId="68756918" w14:textId="77777777" w:rsidR="001F03A0" w:rsidRPr="001F03A0" w:rsidRDefault="001F03A0" w:rsidP="00DC7F1D">
            <w:pPr>
              <w:tabs>
                <w:tab w:val="left" w:pos="412"/>
              </w:tabs>
              <w:spacing w:line="276" w:lineRule="auto"/>
              <w:rPr>
                <w:rFonts w:ascii="Century Gothic" w:eastAsia="Arial" w:hAnsi="Century Gothic"/>
                <w:b/>
              </w:rPr>
            </w:pPr>
            <w:r w:rsidRPr="001F03A0">
              <w:rPr>
                <w:rFonts w:ascii="Century Gothic" w:eastAsia="Arial" w:hAnsi="Century Gothic"/>
              </w:rPr>
              <w:t>This Term Sheet is solely an expression of the Parties’ serious intentions and shall not constitute any legally binding obligations for the Parties with exception of the provisions below regarding expenses, confidentiality, exclusivity and governing law and venue.</w:t>
            </w:r>
          </w:p>
          <w:p w14:paraId="7B4DAFD5" w14:textId="77777777" w:rsidR="001F03A0" w:rsidRPr="001F03A0" w:rsidRDefault="001F03A0" w:rsidP="00DC7F1D">
            <w:pPr>
              <w:spacing w:line="276" w:lineRule="auto"/>
              <w:rPr>
                <w:rFonts w:ascii="Century Gothic" w:eastAsia="Arial" w:hAnsi="Century Gothic"/>
                <w:b/>
                <w:bCs/>
              </w:rPr>
            </w:pPr>
          </w:p>
        </w:tc>
      </w:tr>
      <w:tr w:rsidR="001F03A0" w:rsidRPr="001F03A0" w14:paraId="65014FFF" w14:textId="77777777" w:rsidTr="00F50A29">
        <w:trPr>
          <w:trHeight w:val="1555"/>
        </w:trPr>
        <w:tc>
          <w:tcPr>
            <w:tcW w:w="430" w:type="dxa"/>
            <w:vAlign w:val="center"/>
          </w:tcPr>
          <w:p w14:paraId="5E7423E0" w14:textId="77777777" w:rsidR="001F03A0" w:rsidRPr="001F03A0" w:rsidRDefault="001F03A0" w:rsidP="00F50A29">
            <w:pPr>
              <w:spacing w:line="276" w:lineRule="auto"/>
              <w:jc w:val="center"/>
              <w:rPr>
                <w:rFonts w:ascii="Century Gothic" w:eastAsia="Arial" w:hAnsi="Century Gothic"/>
                <w:b/>
                <w:bCs/>
              </w:rPr>
            </w:pPr>
            <w:r w:rsidRPr="001F03A0">
              <w:rPr>
                <w:rFonts w:ascii="Century Gothic" w:eastAsia="Arial" w:hAnsi="Century Gothic"/>
                <w:b/>
                <w:bCs/>
              </w:rPr>
              <w:t>2</w:t>
            </w:r>
          </w:p>
        </w:tc>
        <w:tc>
          <w:tcPr>
            <w:tcW w:w="1413" w:type="dxa"/>
            <w:vAlign w:val="center"/>
          </w:tcPr>
          <w:p w14:paraId="28912AE8" w14:textId="77777777" w:rsidR="001F03A0" w:rsidRPr="001F03A0" w:rsidRDefault="001F03A0" w:rsidP="00DC7F1D">
            <w:pPr>
              <w:spacing w:line="276" w:lineRule="auto"/>
              <w:rPr>
                <w:rFonts w:ascii="Century Gothic" w:eastAsia="Arial" w:hAnsi="Century Gothic"/>
                <w:b/>
              </w:rPr>
            </w:pPr>
            <w:r w:rsidRPr="001F03A0">
              <w:rPr>
                <w:rFonts w:ascii="Century Gothic" w:eastAsia="Arial" w:hAnsi="Century Gothic"/>
                <w:b/>
              </w:rPr>
              <w:t>Expenses:</w:t>
            </w:r>
          </w:p>
        </w:tc>
        <w:tc>
          <w:tcPr>
            <w:tcW w:w="7546" w:type="dxa"/>
            <w:vAlign w:val="center"/>
          </w:tcPr>
          <w:p w14:paraId="6427DAA6" w14:textId="77777777" w:rsidR="001F03A0" w:rsidRPr="001F03A0" w:rsidRDefault="001F03A0" w:rsidP="00DC7F1D">
            <w:pPr>
              <w:tabs>
                <w:tab w:val="left" w:pos="412"/>
              </w:tabs>
              <w:spacing w:line="276" w:lineRule="auto"/>
              <w:rPr>
                <w:rFonts w:ascii="Century Gothic" w:eastAsia="Arial" w:hAnsi="Century Gothic"/>
              </w:rPr>
            </w:pPr>
            <w:r w:rsidRPr="001F03A0">
              <w:rPr>
                <w:rFonts w:ascii="Century Gothic" w:eastAsia="Arial" w:hAnsi="Century Gothic"/>
              </w:rPr>
              <w:t>All Investors’ fees, costs and expenses (including fees, costs and expenses of external consultants or counsel) related to the due diligence, documentation and Closing, capped at DKK [amount], will be paid by the Company</w:t>
            </w:r>
          </w:p>
          <w:p w14:paraId="67FC005F" w14:textId="77777777" w:rsidR="001F03A0" w:rsidRPr="001F03A0" w:rsidRDefault="001F03A0" w:rsidP="00DC7F1D">
            <w:pPr>
              <w:tabs>
                <w:tab w:val="left" w:pos="412"/>
              </w:tabs>
              <w:spacing w:line="276" w:lineRule="auto"/>
              <w:rPr>
                <w:rFonts w:ascii="Century Gothic" w:eastAsia="Arial" w:hAnsi="Century Gothic"/>
                <w:b/>
              </w:rPr>
            </w:pPr>
            <w:r w:rsidRPr="001F03A0">
              <w:rPr>
                <w:rFonts w:ascii="Century Gothic" w:eastAsia="Arial" w:hAnsi="Century Gothic"/>
              </w:rPr>
              <w:t>[</w:t>
            </w:r>
            <w:r w:rsidRPr="001F03A0">
              <w:rPr>
                <w:rFonts w:ascii="Century Gothic" w:eastAsia="Arial" w:hAnsi="Century Gothic"/>
                <w:i/>
              </w:rPr>
              <w:t>Broken deal costs:</w:t>
            </w:r>
          </w:p>
          <w:p w14:paraId="49A73632" w14:textId="77777777" w:rsidR="001F03A0" w:rsidRPr="001F03A0" w:rsidRDefault="001F03A0" w:rsidP="00DC7F1D">
            <w:pPr>
              <w:spacing w:line="276" w:lineRule="auto"/>
              <w:rPr>
                <w:rFonts w:ascii="Century Gothic" w:eastAsia="Arial" w:hAnsi="Century Gothic"/>
              </w:rPr>
            </w:pPr>
            <w:r w:rsidRPr="001F03A0">
              <w:rPr>
                <w:rFonts w:ascii="Century Gothic" w:eastAsia="Arial" w:hAnsi="Century Gothic"/>
              </w:rPr>
              <w:t xml:space="preserve">In case the negotiations end without the Parties having entered into agreements implying Investments from all Investors, the Investors agree to share the fees, costs and expenses to external consultants jointly appointed by the Investors pro rata to the stipulated disbursements from each Investor. </w:t>
            </w:r>
            <w:r w:rsidRPr="001F03A0">
              <w:rPr>
                <w:rFonts w:ascii="Century Gothic" w:eastAsia="Arial" w:hAnsi="Century Gothic"/>
              </w:rPr>
              <w:lastRenderedPageBreak/>
              <w:t>The total amount of expenses to be shared by the Investors cannot exceed DKK [amount].</w:t>
            </w:r>
          </w:p>
          <w:p w14:paraId="2ED6F568" w14:textId="77777777" w:rsidR="001F03A0" w:rsidRPr="001F03A0" w:rsidRDefault="001F03A0" w:rsidP="00DC7F1D">
            <w:pPr>
              <w:spacing w:line="276" w:lineRule="auto"/>
              <w:rPr>
                <w:rFonts w:ascii="Century Gothic" w:eastAsia="Arial" w:hAnsi="Century Gothic"/>
              </w:rPr>
            </w:pPr>
            <w:r w:rsidRPr="001F03A0">
              <w:rPr>
                <w:rFonts w:ascii="Century Gothic" w:eastAsia="Arial" w:hAnsi="Century Gothic"/>
              </w:rPr>
              <w:t>Irrespective of the above, any fees, costs and expenses above DKK [amount] and any fees, costs and expenses incurred by the individual Parties or the Company to external legal counsel or auditors shall be paid by such Party or the Company respectively. Accordingly, the Company shall pay the expenses associated with the Investment, including fees to the Company’s lawyer and/or auditor with respect to drafting of relevant corporate documentation to be prepared in connection with the Investment.]</w:t>
            </w:r>
          </w:p>
          <w:p w14:paraId="07915713" w14:textId="77777777" w:rsidR="001F03A0" w:rsidRPr="001F03A0" w:rsidRDefault="001F03A0" w:rsidP="00DC7F1D">
            <w:pPr>
              <w:spacing w:line="276" w:lineRule="auto"/>
              <w:rPr>
                <w:rFonts w:ascii="Century Gothic" w:eastAsia="Times New Roman" w:hAnsi="Century Gothic"/>
              </w:rPr>
            </w:pPr>
          </w:p>
          <w:p w14:paraId="6DC62188" w14:textId="77777777" w:rsidR="001F03A0" w:rsidRPr="001F03A0" w:rsidRDefault="001F03A0" w:rsidP="00DC7F1D">
            <w:pPr>
              <w:tabs>
                <w:tab w:val="left" w:pos="412"/>
              </w:tabs>
              <w:spacing w:line="276" w:lineRule="auto"/>
              <w:rPr>
                <w:rFonts w:ascii="Century Gothic" w:eastAsia="Arial" w:hAnsi="Century Gothic"/>
              </w:rPr>
            </w:pPr>
          </w:p>
        </w:tc>
      </w:tr>
      <w:tr w:rsidR="001F03A0" w:rsidRPr="001F03A0" w14:paraId="01CAF875" w14:textId="77777777" w:rsidTr="00F50A29">
        <w:trPr>
          <w:trHeight w:val="1555"/>
        </w:trPr>
        <w:tc>
          <w:tcPr>
            <w:tcW w:w="430" w:type="dxa"/>
            <w:vAlign w:val="center"/>
          </w:tcPr>
          <w:p w14:paraId="7E66D18F" w14:textId="77777777" w:rsidR="001F03A0" w:rsidRPr="001F03A0" w:rsidRDefault="001F03A0" w:rsidP="00F50A29">
            <w:pPr>
              <w:spacing w:line="276" w:lineRule="auto"/>
              <w:jc w:val="center"/>
              <w:rPr>
                <w:rFonts w:ascii="Century Gothic" w:eastAsia="Arial" w:hAnsi="Century Gothic"/>
                <w:b/>
                <w:bCs/>
              </w:rPr>
            </w:pPr>
            <w:r w:rsidRPr="001F03A0">
              <w:rPr>
                <w:rFonts w:ascii="Century Gothic" w:eastAsia="Arial" w:hAnsi="Century Gothic"/>
                <w:b/>
                <w:bCs/>
              </w:rPr>
              <w:lastRenderedPageBreak/>
              <w:t>3</w:t>
            </w:r>
          </w:p>
        </w:tc>
        <w:tc>
          <w:tcPr>
            <w:tcW w:w="1413" w:type="dxa"/>
            <w:vAlign w:val="center"/>
          </w:tcPr>
          <w:p w14:paraId="498258AE" w14:textId="77777777" w:rsidR="001F03A0" w:rsidRPr="001F03A0" w:rsidRDefault="001F03A0" w:rsidP="00DC7F1D">
            <w:pPr>
              <w:spacing w:line="276" w:lineRule="auto"/>
              <w:rPr>
                <w:rFonts w:ascii="Century Gothic" w:eastAsia="Arial" w:hAnsi="Century Gothic"/>
                <w:b/>
              </w:rPr>
            </w:pPr>
            <w:r w:rsidRPr="001F03A0">
              <w:rPr>
                <w:rFonts w:ascii="Century Gothic" w:eastAsia="Arial" w:hAnsi="Century Gothic"/>
                <w:b/>
              </w:rPr>
              <w:t>Confidentiality</w:t>
            </w:r>
          </w:p>
        </w:tc>
        <w:tc>
          <w:tcPr>
            <w:tcW w:w="7546" w:type="dxa"/>
            <w:vAlign w:val="center"/>
          </w:tcPr>
          <w:p w14:paraId="2890DD42" w14:textId="77777777" w:rsidR="001F03A0" w:rsidRPr="001F03A0" w:rsidRDefault="001F03A0" w:rsidP="00DC7F1D">
            <w:pPr>
              <w:tabs>
                <w:tab w:val="left" w:pos="412"/>
              </w:tabs>
              <w:spacing w:line="276" w:lineRule="auto"/>
              <w:rPr>
                <w:rFonts w:ascii="Century Gothic" w:eastAsia="Arial" w:hAnsi="Century Gothic"/>
                <w:b/>
              </w:rPr>
            </w:pPr>
            <w:r w:rsidRPr="001F03A0">
              <w:rPr>
                <w:rFonts w:ascii="Century Gothic" w:eastAsia="Arial" w:hAnsi="Century Gothic"/>
              </w:rPr>
              <w:t>Except as already disclosed or as required by applicable law, none of the Parties hereto shall make any public disclosure or announcement concerning the fact that discussions are taking place, or concerning the existence of this Term Sheet, its contents or the status of the negotiations between the Investors and the Company without obtaining the prior written consent of the other Parties.</w:t>
            </w:r>
          </w:p>
          <w:p w14:paraId="588502D8" w14:textId="77777777" w:rsidR="001F03A0" w:rsidRPr="001F03A0" w:rsidRDefault="001F03A0" w:rsidP="00DC7F1D">
            <w:pPr>
              <w:tabs>
                <w:tab w:val="left" w:pos="412"/>
              </w:tabs>
              <w:spacing w:line="276" w:lineRule="auto"/>
              <w:rPr>
                <w:rFonts w:ascii="Century Gothic" w:eastAsia="Arial" w:hAnsi="Century Gothic"/>
              </w:rPr>
            </w:pPr>
          </w:p>
        </w:tc>
      </w:tr>
      <w:tr w:rsidR="001F03A0" w:rsidRPr="001F03A0" w14:paraId="3AD95EC0" w14:textId="77777777" w:rsidTr="00F50A29">
        <w:trPr>
          <w:trHeight w:val="1555"/>
        </w:trPr>
        <w:tc>
          <w:tcPr>
            <w:tcW w:w="430" w:type="dxa"/>
            <w:vAlign w:val="center"/>
          </w:tcPr>
          <w:p w14:paraId="62AA47C4" w14:textId="77777777" w:rsidR="001F03A0" w:rsidRPr="001F03A0" w:rsidRDefault="001F03A0" w:rsidP="00F50A29">
            <w:pPr>
              <w:spacing w:line="276" w:lineRule="auto"/>
              <w:jc w:val="center"/>
              <w:rPr>
                <w:rFonts w:ascii="Century Gothic" w:eastAsia="Arial" w:hAnsi="Century Gothic"/>
                <w:b/>
                <w:bCs/>
              </w:rPr>
            </w:pPr>
            <w:r w:rsidRPr="001F03A0">
              <w:rPr>
                <w:rFonts w:ascii="Century Gothic" w:eastAsia="Arial" w:hAnsi="Century Gothic"/>
                <w:b/>
                <w:bCs/>
              </w:rPr>
              <w:t>4</w:t>
            </w:r>
          </w:p>
        </w:tc>
        <w:tc>
          <w:tcPr>
            <w:tcW w:w="1413" w:type="dxa"/>
            <w:vAlign w:val="center"/>
          </w:tcPr>
          <w:p w14:paraId="39900AF0" w14:textId="77777777" w:rsidR="001F03A0" w:rsidRPr="001F03A0" w:rsidRDefault="001F03A0" w:rsidP="00DC7F1D">
            <w:pPr>
              <w:spacing w:line="276" w:lineRule="auto"/>
              <w:rPr>
                <w:rFonts w:ascii="Century Gothic" w:eastAsia="Arial" w:hAnsi="Century Gothic"/>
                <w:b/>
              </w:rPr>
            </w:pPr>
            <w:r w:rsidRPr="001F03A0">
              <w:rPr>
                <w:rFonts w:ascii="Century Gothic" w:eastAsia="Arial" w:hAnsi="Century Gothic"/>
                <w:b/>
              </w:rPr>
              <w:t>Exclusivity</w:t>
            </w:r>
          </w:p>
        </w:tc>
        <w:tc>
          <w:tcPr>
            <w:tcW w:w="7546" w:type="dxa"/>
            <w:vAlign w:val="center"/>
          </w:tcPr>
          <w:p w14:paraId="660076C5" w14:textId="77777777" w:rsidR="001F03A0" w:rsidRPr="001F03A0" w:rsidRDefault="001F03A0" w:rsidP="00DC7F1D">
            <w:pPr>
              <w:tabs>
                <w:tab w:val="left" w:pos="412"/>
              </w:tabs>
              <w:spacing w:line="276" w:lineRule="auto"/>
              <w:rPr>
                <w:rFonts w:ascii="Century Gothic" w:eastAsia="Arial" w:hAnsi="Century Gothic"/>
              </w:rPr>
            </w:pPr>
            <w:r w:rsidRPr="001F03A0">
              <w:rPr>
                <w:rFonts w:ascii="Century Gothic" w:eastAsia="Arial" w:hAnsi="Century Gothic"/>
              </w:rPr>
              <w:t>The Company and the Founders agree to an exclusivity period until [date], during which the Company and the Founders undertake not to solicit, encourage and/or otherwise work actively with any third party or to initiate or proceed with a capital injection whether by way of issue of shares or other securities in the Company or by way of the raising of loan capital (except in the ordinary course of business).</w:t>
            </w:r>
          </w:p>
        </w:tc>
      </w:tr>
      <w:tr w:rsidR="001F03A0" w:rsidRPr="001F03A0" w14:paraId="60075B99" w14:textId="77777777" w:rsidTr="00F50A29">
        <w:trPr>
          <w:trHeight w:val="1555"/>
        </w:trPr>
        <w:tc>
          <w:tcPr>
            <w:tcW w:w="430" w:type="dxa"/>
            <w:vAlign w:val="center"/>
          </w:tcPr>
          <w:p w14:paraId="4014B6E7" w14:textId="77777777" w:rsidR="001F03A0" w:rsidRPr="001F03A0" w:rsidRDefault="001F03A0" w:rsidP="00F50A29">
            <w:pPr>
              <w:spacing w:line="276" w:lineRule="auto"/>
              <w:jc w:val="center"/>
              <w:rPr>
                <w:rFonts w:ascii="Century Gothic" w:eastAsia="Arial" w:hAnsi="Century Gothic"/>
                <w:b/>
                <w:bCs/>
              </w:rPr>
            </w:pPr>
            <w:r w:rsidRPr="001F03A0">
              <w:rPr>
                <w:rFonts w:ascii="Century Gothic" w:eastAsia="Arial" w:hAnsi="Century Gothic"/>
                <w:b/>
                <w:bCs/>
              </w:rPr>
              <w:t>5</w:t>
            </w:r>
          </w:p>
        </w:tc>
        <w:tc>
          <w:tcPr>
            <w:tcW w:w="1413" w:type="dxa"/>
            <w:vAlign w:val="center"/>
          </w:tcPr>
          <w:p w14:paraId="75B99CDF" w14:textId="77777777" w:rsidR="001F03A0" w:rsidRPr="001F03A0" w:rsidRDefault="001F03A0" w:rsidP="00DC7F1D">
            <w:pPr>
              <w:spacing w:line="276" w:lineRule="auto"/>
              <w:rPr>
                <w:rFonts w:ascii="Century Gothic" w:eastAsia="Arial" w:hAnsi="Century Gothic"/>
                <w:b/>
              </w:rPr>
            </w:pPr>
            <w:r w:rsidRPr="001F03A0">
              <w:rPr>
                <w:rFonts w:ascii="Century Gothic" w:eastAsia="Arial" w:hAnsi="Century Gothic"/>
                <w:b/>
              </w:rPr>
              <w:t>Law and venue</w:t>
            </w:r>
          </w:p>
        </w:tc>
        <w:tc>
          <w:tcPr>
            <w:tcW w:w="7546" w:type="dxa"/>
            <w:vAlign w:val="center"/>
          </w:tcPr>
          <w:p w14:paraId="6CC418DC" w14:textId="77777777" w:rsidR="001F03A0" w:rsidRPr="001F03A0" w:rsidRDefault="001F03A0" w:rsidP="00DC7F1D">
            <w:pPr>
              <w:tabs>
                <w:tab w:val="left" w:pos="412"/>
              </w:tabs>
              <w:spacing w:line="276" w:lineRule="auto"/>
              <w:rPr>
                <w:rFonts w:ascii="Century Gothic" w:eastAsia="Arial" w:hAnsi="Century Gothic"/>
                <w:b/>
              </w:rPr>
            </w:pPr>
            <w:r w:rsidRPr="001F03A0">
              <w:rPr>
                <w:rFonts w:ascii="Century Gothic" w:eastAsia="Arial" w:hAnsi="Century Gothic"/>
              </w:rPr>
              <w:t>This Term Sheet is governed by Danish law and any dispute arising from the Term Sheet is to be resolved by arbitration.</w:t>
            </w:r>
          </w:p>
          <w:p w14:paraId="39FAA7E2" w14:textId="77777777" w:rsidR="001F03A0" w:rsidRPr="001F03A0" w:rsidRDefault="001F03A0" w:rsidP="00DC7F1D">
            <w:pPr>
              <w:tabs>
                <w:tab w:val="left" w:pos="412"/>
              </w:tabs>
              <w:spacing w:line="276" w:lineRule="auto"/>
              <w:rPr>
                <w:rFonts w:ascii="Century Gothic" w:eastAsia="Arial" w:hAnsi="Century Gothic"/>
              </w:rPr>
            </w:pPr>
          </w:p>
        </w:tc>
      </w:tr>
    </w:tbl>
    <w:p w14:paraId="1551D5E6" w14:textId="77777777" w:rsidR="00CC1A3C" w:rsidRPr="002016BD" w:rsidRDefault="00CC1A3C" w:rsidP="002016BD">
      <w:pPr>
        <w:spacing w:line="276" w:lineRule="auto"/>
        <w:rPr>
          <w:rFonts w:ascii="Century Gothic" w:eastAsia="Times New Roman" w:hAnsi="Century Gothic"/>
        </w:rPr>
      </w:pPr>
      <w:bookmarkStart w:id="7" w:name="page9"/>
      <w:bookmarkStart w:id="8" w:name="page10"/>
      <w:bookmarkEnd w:id="7"/>
      <w:bookmarkEnd w:id="8"/>
    </w:p>
    <w:p w14:paraId="7F879FCF" w14:textId="77777777" w:rsidR="00CC1A3C" w:rsidRPr="001F03A0" w:rsidRDefault="00E962D4" w:rsidP="001F03A0">
      <w:pPr>
        <w:spacing w:line="276" w:lineRule="auto"/>
        <w:rPr>
          <w:rFonts w:ascii="Century Gothic" w:eastAsia="Arial" w:hAnsi="Century Gothic"/>
          <w:b/>
          <w:bCs/>
          <w:sz w:val="32"/>
        </w:rPr>
      </w:pPr>
      <w:r w:rsidRPr="001F03A0">
        <w:rPr>
          <w:rFonts w:ascii="Century Gothic" w:eastAsia="Arial" w:hAnsi="Century Gothic"/>
          <w:b/>
          <w:bCs/>
          <w:sz w:val="32"/>
        </w:rPr>
        <w:t>Example 1</w:t>
      </w:r>
    </w:p>
    <w:p w14:paraId="110ABE70" w14:textId="77777777" w:rsidR="00CC1A3C" w:rsidRPr="001F03A0" w:rsidRDefault="00E962D4" w:rsidP="001F03A0">
      <w:pPr>
        <w:spacing w:line="276" w:lineRule="auto"/>
        <w:rPr>
          <w:rFonts w:ascii="Century Gothic" w:eastAsia="Arial" w:hAnsi="Century Gothic"/>
          <w:b/>
          <w:sz w:val="28"/>
          <w:szCs w:val="28"/>
        </w:rPr>
      </w:pPr>
      <w:r w:rsidRPr="001F03A0">
        <w:rPr>
          <w:rFonts w:ascii="Century Gothic" w:eastAsia="Arial" w:hAnsi="Century Gothic"/>
          <w:b/>
          <w:sz w:val="28"/>
          <w:szCs w:val="28"/>
        </w:rPr>
        <w:t>Anti-dilution – full ratchet</w:t>
      </w:r>
    </w:p>
    <w:p w14:paraId="64389A70" w14:textId="77777777" w:rsidR="00CC1A3C" w:rsidRPr="001F03A0" w:rsidRDefault="00E962D4" w:rsidP="001F03A0">
      <w:pPr>
        <w:spacing w:line="276" w:lineRule="auto"/>
        <w:ind w:right="20"/>
        <w:rPr>
          <w:rFonts w:ascii="Century Gothic" w:eastAsia="Arial" w:hAnsi="Century Gothic"/>
          <w:sz w:val="24"/>
          <w:szCs w:val="24"/>
        </w:rPr>
      </w:pPr>
      <w:r w:rsidRPr="001F03A0">
        <w:rPr>
          <w:rFonts w:ascii="Century Gothic" w:eastAsia="Arial" w:hAnsi="Century Gothic"/>
          <w:sz w:val="24"/>
          <w:szCs w:val="24"/>
        </w:rPr>
        <w:t>The holders of preference shares shall be protected from dilution in the event that the Company subsequent to the date of the Investment issues additional equity securities at a subscription price below the subscription price paid in connection with the Investment (as adjusted for stock splits, stock dividends, reverse splits and similar transactions), other than options, shares and warrants issued pursuant to employee incentive plans approved by the Board of the Company.</w:t>
      </w:r>
    </w:p>
    <w:p w14:paraId="6A89AD07"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 xml:space="preserve">If the Company issues securities as stated above at a subscription price lower than the subscription price of the Investment ("Dilutive Issuance"), each holder of preference shares shall be offered to subscribe, immediately after the issuance of equity securities at such lower price, for new preference shares at the par value </w:t>
      </w:r>
      <w:r w:rsidRPr="001F03A0">
        <w:rPr>
          <w:rFonts w:ascii="Century Gothic" w:eastAsia="Arial" w:hAnsi="Century Gothic"/>
          <w:sz w:val="24"/>
          <w:szCs w:val="24"/>
        </w:rPr>
        <w:lastRenderedPageBreak/>
        <w:t>thereof as specified below. The subscription shall have the effect that the ownership of the Investors after the Dilutive Issuance shall be set equal to the ownership that the Investors would have had if the subscription price paid by the Investors (based on the Investment amount added for the avoidance of doubt the amount paid to subscribe for the anti-dilution shares) had been the same as the price of the Dilutive Issuance.</w:t>
      </w:r>
    </w:p>
    <w:p w14:paraId="3EBFC66D"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The nominal value of the preference shares to be subscribed for at par value (n2) equals the product of the excess of the subscription price of the Investment (as adjusted for stock splits, stock dividends, reverse splits and similar transactions (p1) over the subscription price of the Dilutive Issuance (p2) and the number of the shares subscribed for under the Investment (n1) divided by the subscription price of the Dilutive Issuance (p2).</w:t>
      </w:r>
    </w:p>
    <w:p w14:paraId="5E2C181E" w14:textId="77777777" w:rsidR="00CC1A3C" w:rsidRPr="001F03A0" w:rsidRDefault="00CC1A3C" w:rsidP="002016BD">
      <w:pPr>
        <w:spacing w:line="276" w:lineRule="auto"/>
        <w:rPr>
          <w:rFonts w:ascii="Century Gothic" w:eastAsia="Times New Roman" w:hAnsi="Century Gothic"/>
          <w:sz w:val="28"/>
          <w:szCs w:val="28"/>
        </w:rPr>
      </w:pPr>
    </w:p>
    <w:p w14:paraId="5CA60C8A" w14:textId="77777777" w:rsidR="00CC1A3C" w:rsidRPr="001F03A0" w:rsidRDefault="00E962D4" w:rsidP="001F03A0">
      <w:pPr>
        <w:spacing w:line="276" w:lineRule="auto"/>
        <w:rPr>
          <w:rFonts w:ascii="Century Gothic" w:eastAsia="Arial" w:hAnsi="Century Gothic"/>
          <w:b/>
          <w:sz w:val="28"/>
          <w:szCs w:val="28"/>
        </w:rPr>
      </w:pPr>
      <w:r w:rsidRPr="001F03A0">
        <w:rPr>
          <w:rFonts w:ascii="Century Gothic" w:eastAsia="Arial" w:hAnsi="Century Gothic"/>
          <w:b/>
          <w:sz w:val="28"/>
          <w:szCs w:val="28"/>
        </w:rPr>
        <w:t>Calculation of full ratchet anti-dilution</w:t>
      </w:r>
    </w:p>
    <w:p w14:paraId="693BFB92"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The dilution protection can be expressed in the following formula:</w:t>
      </w:r>
    </w:p>
    <w:p w14:paraId="3D2F1064"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n2 = n1(p1 – p2)/(p2-N)</w:t>
      </w:r>
    </w:p>
    <w:p w14:paraId="5194ABF0"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N = the nominal value per share (par value)</w:t>
      </w:r>
    </w:p>
    <w:p w14:paraId="4F94E756"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n1 = the number of shares subscribed for under the Investment</w:t>
      </w:r>
    </w:p>
    <w:p w14:paraId="1E7B9D38"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n2 = the number of shares which may be subscribed for by the preference shareholders</w:t>
      </w:r>
    </w:p>
    <w:p w14:paraId="074B320F"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p1 = the subscription price of the Investment</w:t>
      </w:r>
    </w:p>
    <w:p w14:paraId="6ACC0C37" w14:textId="77777777" w:rsidR="00CC1A3C" w:rsidRPr="001F03A0" w:rsidRDefault="00E962D4" w:rsidP="002016BD">
      <w:pPr>
        <w:spacing w:line="276" w:lineRule="auto"/>
        <w:rPr>
          <w:rFonts w:ascii="Century Gothic" w:eastAsia="Arial" w:hAnsi="Century Gothic"/>
          <w:sz w:val="24"/>
          <w:szCs w:val="24"/>
        </w:rPr>
      </w:pPr>
      <w:r w:rsidRPr="001F03A0">
        <w:rPr>
          <w:rFonts w:ascii="Century Gothic" w:eastAsia="Arial" w:hAnsi="Century Gothic"/>
          <w:sz w:val="24"/>
          <w:szCs w:val="24"/>
        </w:rPr>
        <w:t>p2 = the subscription price of the Dilutive Issuance</w:t>
      </w:r>
    </w:p>
    <w:p w14:paraId="30FD7E9C" w14:textId="77777777" w:rsidR="00CC1A3C" w:rsidRPr="002016BD" w:rsidRDefault="00CC1A3C" w:rsidP="002016BD">
      <w:pPr>
        <w:spacing w:line="276" w:lineRule="auto"/>
        <w:rPr>
          <w:rFonts w:ascii="Century Gothic" w:eastAsia="Times New Roman" w:hAnsi="Century Gothic"/>
        </w:rPr>
      </w:pPr>
      <w:bookmarkStart w:id="9" w:name="page11"/>
      <w:bookmarkEnd w:id="9"/>
    </w:p>
    <w:p w14:paraId="07EEFE6B" w14:textId="77777777" w:rsidR="00CC1A3C" w:rsidRPr="001F03A0" w:rsidRDefault="00E962D4" w:rsidP="001F03A0">
      <w:pPr>
        <w:spacing w:line="276" w:lineRule="auto"/>
        <w:rPr>
          <w:rFonts w:ascii="Century Gothic" w:eastAsia="Arial" w:hAnsi="Century Gothic"/>
          <w:b/>
          <w:bCs/>
          <w:sz w:val="32"/>
        </w:rPr>
      </w:pPr>
      <w:r w:rsidRPr="001F03A0">
        <w:rPr>
          <w:rFonts w:ascii="Century Gothic" w:eastAsia="Arial" w:hAnsi="Century Gothic"/>
          <w:b/>
          <w:bCs/>
          <w:sz w:val="32"/>
        </w:rPr>
        <w:t>Example 2</w:t>
      </w:r>
    </w:p>
    <w:p w14:paraId="76A2F6E1" w14:textId="77777777" w:rsidR="00CC1A3C" w:rsidRPr="001F03A0" w:rsidRDefault="00E962D4" w:rsidP="001F03A0">
      <w:pPr>
        <w:spacing w:line="276" w:lineRule="auto"/>
        <w:rPr>
          <w:rFonts w:ascii="Century Gothic" w:eastAsia="Arial" w:hAnsi="Century Gothic"/>
          <w:b/>
          <w:sz w:val="28"/>
          <w:szCs w:val="28"/>
        </w:rPr>
      </w:pPr>
      <w:r w:rsidRPr="001F03A0">
        <w:rPr>
          <w:rFonts w:ascii="Century Gothic" w:eastAsia="Arial" w:hAnsi="Century Gothic"/>
          <w:b/>
          <w:sz w:val="28"/>
          <w:szCs w:val="28"/>
        </w:rPr>
        <w:t>Anti-dilution – weighted average</w:t>
      </w:r>
    </w:p>
    <w:p w14:paraId="64E615CA" w14:textId="77777777" w:rsidR="00CC1A3C" w:rsidRPr="001F03A0" w:rsidRDefault="00E962D4" w:rsidP="001F03A0">
      <w:pPr>
        <w:spacing w:line="276" w:lineRule="auto"/>
        <w:ind w:right="20"/>
        <w:jc w:val="both"/>
        <w:rPr>
          <w:rFonts w:ascii="Century Gothic" w:eastAsia="Arial" w:hAnsi="Century Gothic"/>
          <w:sz w:val="24"/>
          <w:szCs w:val="24"/>
        </w:rPr>
      </w:pPr>
      <w:r w:rsidRPr="001F03A0">
        <w:rPr>
          <w:rFonts w:ascii="Century Gothic" w:eastAsia="Arial" w:hAnsi="Century Gothic"/>
          <w:sz w:val="24"/>
          <w:szCs w:val="24"/>
        </w:rPr>
        <w:t>The holders of preference shares shall be protected from dilution in the event that the Company subsequent to the date of the Investment issues additional equity securities at a subscription price below the subscription price paid in connection with the Investment (as adjusted for stock splits, stock dividends, reverse splits and similar transactions), other than options, shares and warrants issued pursuant to employee incentive plans approved by the Board of the Company.</w:t>
      </w:r>
    </w:p>
    <w:p w14:paraId="69DED08E" w14:textId="77777777" w:rsidR="00CC1A3C" w:rsidRPr="001F03A0" w:rsidRDefault="00E962D4" w:rsidP="001F03A0">
      <w:pPr>
        <w:spacing w:line="276" w:lineRule="auto"/>
        <w:jc w:val="both"/>
        <w:rPr>
          <w:rFonts w:ascii="Century Gothic" w:eastAsia="Arial" w:hAnsi="Century Gothic"/>
          <w:sz w:val="24"/>
          <w:szCs w:val="24"/>
        </w:rPr>
      </w:pPr>
      <w:r w:rsidRPr="001F03A0">
        <w:rPr>
          <w:rFonts w:ascii="Century Gothic" w:eastAsia="Arial" w:hAnsi="Century Gothic"/>
          <w:sz w:val="24"/>
          <w:szCs w:val="24"/>
        </w:rPr>
        <w:t xml:space="preserve">If the Company issues securities as stated above at a subscription price lower than the subscription price of the Investment ("Dilutive Issuance"), each holder of preference shares shall be offered to subscribe, immediately after the issuance of equity securities at such lower price, for new preference shares at the par value thereof as specified below. The subscription shall have the effect that the pro rata share ownership of the Investors after the Dilutive Issuance shall be set to equal the ownership that the Investors would have had if the Dilutive Issuance had taken place at the same subscription price paid by the Investors (based on the Investment </w:t>
      </w:r>
      <w:r w:rsidRPr="001F03A0">
        <w:rPr>
          <w:rFonts w:ascii="Century Gothic" w:eastAsia="Arial" w:hAnsi="Century Gothic"/>
          <w:sz w:val="24"/>
          <w:szCs w:val="24"/>
        </w:rPr>
        <w:lastRenderedPageBreak/>
        <w:t>amount, added for the avoidance of doubt the amount paid to subscribe for the anti-dilution shares).</w:t>
      </w:r>
    </w:p>
    <w:p w14:paraId="23F3C030" w14:textId="77777777" w:rsidR="00CC1A3C" w:rsidRPr="001F03A0" w:rsidRDefault="00E962D4" w:rsidP="002016BD">
      <w:pPr>
        <w:spacing w:line="276" w:lineRule="auto"/>
        <w:jc w:val="both"/>
        <w:rPr>
          <w:rFonts w:ascii="Century Gothic" w:eastAsia="Arial" w:hAnsi="Century Gothic"/>
          <w:sz w:val="24"/>
          <w:szCs w:val="24"/>
        </w:rPr>
      </w:pPr>
      <w:r w:rsidRPr="001F03A0">
        <w:rPr>
          <w:rFonts w:ascii="Century Gothic" w:eastAsia="Arial" w:hAnsi="Century Gothic"/>
          <w:sz w:val="24"/>
          <w:szCs w:val="24"/>
        </w:rPr>
        <w:t>The number of preference shares that the holders of preference shares shall have the right to subscribe for, shall be calculated as set forth below.</w:t>
      </w:r>
    </w:p>
    <w:p w14:paraId="5920BACB" w14:textId="77777777" w:rsidR="00CC1A3C" w:rsidRPr="002016BD" w:rsidRDefault="00CC1A3C" w:rsidP="002016BD">
      <w:pPr>
        <w:spacing w:line="276" w:lineRule="auto"/>
        <w:rPr>
          <w:rFonts w:ascii="Century Gothic" w:eastAsia="Times New Roman" w:hAnsi="Century Gothic"/>
        </w:rPr>
      </w:pPr>
      <w:bookmarkStart w:id="10" w:name="_GoBack"/>
      <w:bookmarkEnd w:id="10"/>
    </w:p>
    <w:p w14:paraId="57AAD0EA" w14:textId="77777777" w:rsidR="00CC1A3C" w:rsidRPr="001F03A0" w:rsidRDefault="00E962D4" w:rsidP="001F03A0">
      <w:pPr>
        <w:spacing w:line="276" w:lineRule="auto"/>
        <w:rPr>
          <w:rFonts w:ascii="Century Gothic" w:eastAsia="Arial" w:hAnsi="Century Gothic"/>
          <w:b/>
          <w:sz w:val="28"/>
          <w:szCs w:val="28"/>
        </w:rPr>
      </w:pPr>
      <w:r w:rsidRPr="001F03A0">
        <w:rPr>
          <w:rFonts w:ascii="Century Gothic" w:eastAsia="Arial" w:hAnsi="Century Gothic"/>
          <w:b/>
          <w:sz w:val="28"/>
          <w:szCs w:val="28"/>
        </w:rPr>
        <w:t>Calculation of weighted average anti-dilution</w:t>
      </w:r>
    </w:p>
    <w:p w14:paraId="4F1D92AC"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The weighted average anti-dilution shall be calculated in accordance with the formula below:</w:t>
      </w:r>
    </w:p>
    <w:p w14:paraId="3C90BF61"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NS = N1 x (P1 – Y) / (Y – NV)</w:t>
      </w:r>
    </w:p>
    <w:p w14:paraId="180ABF7D"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and,</w:t>
      </w:r>
    </w:p>
    <w:p w14:paraId="6F60CA51"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Y = [P1 x N + N2 x NIP] / (N + N2)</w:t>
      </w:r>
    </w:p>
    <w:p w14:paraId="6F3E7032" w14:textId="77777777" w:rsidR="00CC1A3C" w:rsidRPr="001F03A0" w:rsidRDefault="00E962D4" w:rsidP="001F03A0">
      <w:pPr>
        <w:spacing w:line="276" w:lineRule="auto"/>
        <w:ind w:right="1140"/>
        <w:rPr>
          <w:rFonts w:ascii="Century Gothic" w:eastAsia="Arial" w:hAnsi="Century Gothic"/>
          <w:sz w:val="24"/>
          <w:szCs w:val="24"/>
        </w:rPr>
      </w:pPr>
      <w:r w:rsidRPr="001F03A0">
        <w:rPr>
          <w:rFonts w:ascii="Century Gothic" w:eastAsia="Arial" w:hAnsi="Century Gothic"/>
          <w:sz w:val="24"/>
          <w:szCs w:val="24"/>
        </w:rPr>
        <w:t>NS = the number of preference shares to be issued to the relevant holder of preference shares at the quota value Y = the weighted subscription price after the Dilutive Issuance P1 = the subscription price of the Investment</w:t>
      </w:r>
    </w:p>
    <w:p w14:paraId="49632839"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N1 = mean the total number of outstanding preference shares or share equivalents (e.g. warrants)</w:t>
      </w:r>
    </w:p>
    <w:p w14:paraId="7C0AE87F" w14:textId="77777777" w:rsidR="00CC1A3C" w:rsidRPr="001F03A0" w:rsidRDefault="00E962D4" w:rsidP="001F03A0">
      <w:pPr>
        <w:spacing w:line="276" w:lineRule="auto"/>
        <w:rPr>
          <w:rFonts w:ascii="Century Gothic" w:eastAsia="Arial" w:hAnsi="Century Gothic"/>
          <w:sz w:val="24"/>
          <w:szCs w:val="24"/>
        </w:rPr>
      </w:pPr>
      <w:r w:rsidRPr="001F03A0">
        <w:rPr>
          <w:rFonts w:ascii="Century Gothic" w:eastAsia="Arial" w:hAnsi="Century Gothic"/>
          <w:sz w:val="24"/>
          <w:szCs w:val="24"/>
        </w:rPr>
        <w:t>NIP = the price per share (or, if other securities are issued, the value of a share as indicated by the subscription price for the issued securities) in the Dilutive Issuanc</w:t>
      </w:r>
      <w:r w:rsidR="001F03A0" w:rsidRPr="001F03A0">
        <w:rPr>
          <w:rFonts w:ascii="Century Gothic" w:eastAsia="Arial" w:hAnsi="Century Gothic"/>
          <w:sz w:val="24"/>
          <w:szCs w:val="24"/>
        </w:rPr>
        <w:t>e</w:t>
      </w:r>
    </w:p>
    <w:p w14:paraId="49864F84" w14:textId="77777777" w:rsidR="00CC1A3C" w:rsidRPr="001F03A0" w:rsidRDefault="00E962D4" w:rsidP="001F03A0">
      <w:pPr>
        <w:spacing w:line="276" w:lineRule="auto"/>
        <w:ind w:right="2520"/>
        <w:rPr>
          <w:rFonts w:ascii="Century Gothic" w:eastAsia="Arial" w:hAnsi="Century Gothic"/>
          <w:sz w:val="24"/>
          <w:szCs w:val="24"/>
        </w:rPr>
      </w:pPr>
      <w:r w:rsidRPr="001F03A0">
        <w:rPr>
          <w:rFonts w:ascii="Century Gothic" w:eastAsia="Arial" w:hAnsi="Century Gothic"/>
          <w:sz w:val="24"/>
          <w:szCs w:val="24"/>
        </w:rPr>
        <w:t>N2 = the total number of shares and/or share equivalents to be issued in the Dilutive Issuance N = the total number of shares and share equivalents outstanding prior to the Dilutive Issuance</w:t>
      </w:r>
    </w:p>
    <w:p w14:paraId="40A54CB3" w14:textId="77777777" w:rsidR="00CC1A3C" w:rsidRPr="001F03A0" w:rsidRDefault="00E962D4" w:rsidP="002016BD">
      <w:pPr>
        <w:spacing w:line="276" w:lineRule="auto"/>
        <w:rPr>
          <w:rFonts w:ascii="Century Gothic" w:eastAsia="Arial" w:hAnsi="Century Gothic"/>
          <w:sz w:val="24"/>
          <w:szCs w:val="24"/>
        </w:rPr>
      </w:pPr>
      <w:r w:rsidRPr="001F03A0">
        <w:rPr>
          <w:rFonts w:ascii="Century Gothic" w:eastAsia="Arial" w:hAnsi="Century Gothic"/>
          <w:sz w:val="24"/>
          <w:szCs w:val="24"/>
        </w:rPr>
        <w:t>NV = the quota value of the preference shares and equals the share capital of the company/total shares outstanding. This will be the subscription price of the shares which may be subscribed for by the preference shareholders.</w:t>
      </w:r>
    </w:p>
    <w:p w14:paraId="207C4F63" w14:textId="77777777" w:rsidR="00CC1A3C" w:rsidRPr="002016BD" w:rsidRDefault="00CC1A3C" w:rsidP="002016BD">
      <w:pPr>
        <w:spacing w:line="276" w:lineRule="auto"/>
        <w:rPr>
          <w:rFonts w:ascii="Century Gothic" w:eastAsia="Times New Roman" w:hAnsi="Century Gothic"/>
        </w:rPr>
      </w:pPr>
    </w:p>
    <w:p w14:paraId="5BFE5311" w14:textId="77777777" w:rsidR="00CC1A3C" w:rsidRPr="002016BD" w:rsidRDefault="00CC1A3C" w:rsidP="002016BD">
      <w:pPr>
        <w:spacing w:line="276" w:lineRule="auto"/>
        <w:rPr>
          <w:rFonts w:ascii="Century Gothic" w:eastAsia="Times New Roman" w:hAnsi="Century Gothic"/>
        </w:rPr>
      </w:pPr>
    </w:p>
    <w:p w14:paraId="46C5A5AB" w14:textId="77777777" w:rsidR="00CC1A3C" w:rsidRPr="002016BD" w:rsidRDefault="00CC1A3C" w:rsidP="002016BD">
      <w:pPr>
        <w:spacing w:line="276" w:lineRule="auto"/>
        <w:rPr>
          <w:rFonts w:ascii="Century Gothic" w:eastAsia="Times New Roman" w:hAnsi="Century Gothic"/>
        </w:rPr>
      </w:pPr>
    </w:p>
    <w:p w14:paraId="27715994" w14:textId="77777777" w:rsidR="00CC1A3C" w:rsidRPr="002016BD" w:rsidRDefault="00CC1A3C" w:rsidP="002016BD">
      <w:pPr>
        <w:spacing w:line="276" w:lineRule="auto"/>
        <w:rPr>
          <w:rFonts w:ascii="Century Gothic" w:eastAsia="Times New Roman" w:hAnsi="Century Gothic"/>
        </w:rPr>
      </w:pPr>
    </w:p>
    <w:p w14:paraId="42864F0B" w14:textId="77777777" w:rsidR="00CC1A3C" w:rsidRPr="002016BD" w:rsidRDefault="00CC1A3C" w:rsidP="002016BD">
      <w:pPr>
        <w:spacing w:line="276" w:lineRule="auto"/>
        <w:rPr>
          <w:rFonts w:ascii="Century Gothic" w:eastAsia="Times New Roman" w:hAnsi="Century Gothic"/>
        </w:rPr>
      </w:pPr>
    </w:p>
    <w:p w14:paraId="35932F64" w14:textId="77777777" w:rsidR="00CC1A3C" w:rsidRPr="002016BD" w:rsidRDefault="00CC1A3C" w:rsidP="002016BD">
      <w:pPr>
        <w:spacing w:line="276" w:lineRule="auto"/>
        <w:rPr>
          <w:rFonts w:ascii="Century Gothic" w:eastAsia="Times New Roman" w:hAnsi="Century Gothic"/>
        </w:rPr>
      </w:pPr>
    </w:p>
    <w:p w14:paraId="6A8DD35C" w14:textId="77777777" w:rsidR="00CC1A3C" w:rsidRPr="002016BD" w:rsidRDefault="00CC1A3C" w:rsidP="002016BD">
      <w:pPr>
        <w:spacing w:line="276" w:lineRule="auto"/>
        <w:rPr>
          <w:rFonts w:ascii="Century Gothic" w:eastAsia="Times New Roman" w:hAnsi="Century Gothic"/>
        </w:rPr>
      </w:pPr>
    </w:p>
    <w:p w14:paraId="5DF26DED" w14:textId="77777777" w:rsidR="00CC1A3C" w:rsidRPr="002016BD" w:rsidRDefault="00CC1A3C" w:rsidP="002016BD">
      <w:pPr>
        <w:spacing w:line="276" w:lineRule="auto"/>
        <w:rPr>
          <w:rFonts w:ascii="Century Gothic" w:eastAsia="Times New Roman" w:hAnsi="Century Gothic"/>
        </w:rPr>
      </w:pPr>
    </w:p>
    <w:p w14:paraId="38700074" w14:textId="77777777" w:rsidR="00CC1A3C" w:rsidRPr="002016BD" w:rsidRDefault="00CC1A3C" w:rsidP="002016BD">
      <w:pPr>
        <w:spacing w:line="276" w:lineRule="auto"/>
        <w:rPr>
          <w:rFonts w:ascii="Century Gothic" w:eastAsia="Times New Roman" w:hAnsi="Century Gothic"/>
        </w:rPr>
      </w:pPr>
    </w:p>
    <w:p w14:paraId="3BCE366F" w14:textId="77777777" w:rsidR="00CC1A3C" w:rsidRPr="002016BD" w:rsidRDefault="00CC1A3C" w:rsidP="002016BD">
      <w:pPr>
        <w:spacing w:line="276" w:lineRule="auto"/>
        <w:rPr>
          <w:rFonts w:ascii="Century Gothic" w:eastAsia="Times New Roman" w:hAnsi="Century Gothic"/>
        </w:rPr>
      </w:pPr>
    </w:p>
    <w:p w14:paraId="710B276C" w14:textId="77777777" w:rsidR="00CC1A3C" w:rsidRPr="002016BD" w:rsidRDefault="00CC1A3C" w:rsidP="002016BD">
      <w:pPr>
        <w:spacing w:line="276" w:lineRule="auto"/>
        <w:rPr>
          <w:rFonts w:ascii="Century Gothic" w:eastAsia="Times New Roman" w:hAnsi="Century Gothic"/>
        </w:rPr>
      </w:pPr>
    </w:p>
    <w:p w14:paraId="53F4580A" w14:textId="77777777" w:rsidR="00CC1A3C" w:rsidRPr="002016BD" w:rsidRDefault="00CC1A3C" w:rsidP="002016BD">
      <w:pPr>
        <w:spacing w:line="276" w:lineRule="auto"/>
        <w:rPr>
          <w:rFonts w:ascii="Century Gothic" w:eastAsia="Times New Roman" w:hAnsi="Century Gothic"/>
        </w:rPr>
      </w:pPr>
    </w:p>
    <w:p w14:paraId="5FE25092" w14:textId="77777777" w:rsidR="00CC1A3C" w:rsidRPr="002016BD" w:rsidRDefault="00CC1A3C" w:rsidP="002016BD">
      <w:pPr>
        <w:spacing w:line="276" w:lineRule="auto"/>
        <w:rPr>
          <w:rFonts w:ascii="Century Gothic" w:eastAsia="Times New Roman" w:hAnsi="Century Gothic"/>
        </w:rPr>
      </w:pPr>
    </w:p>
    <w:p w14:paraId="0839E22F" w14:textId="77777777" w:rsidR="00CC1A3C" w:rsidRPr="002016BD" w:rsidRDefault="00CC1A3C" w:rsidP="002016BD">
      <w:pPr>
        <w:spacing w:line="276" w:lineRule="auto"/>
        <w:rPr>
          <w:rFonts w:ascii="Century Gothic" w:eastAsia="Times New Roman" w:hAnsi="Century Gothic"/>
        </w:rPr>
      </w:pPr>
    </w:p>
    <w:p w14:paraId="2FA6E331" w14:textId="77777777" w:rsidR="00CC1A3C" w:rsidRPr="002016BD" w:rsidRDefault="00CC1A3C" w:rsidP="002016BD">
      <w:pPr>
        <w:spacing w:line="276" w:lineRule="auto"/>
        <w:rPr>
          <w:rFonts w:ascii="Century Gothic" w:eastAsia="Times New Roman" w:hAnsi="Century Gothic"/>
        </w:rPr>
      </w:pPr>
    </w:p>
    <w:p w14:paraId="30669888" w14:textId="77777777" w:rsidR="00E962D4" w:rsidRPr="002016BD" w:rsidRDefault="00E962D4" w:rsidP="001F03A0">
      <w:pPr>
        <w:spacing w:line="276" w:lineRule="auto"/>
        <w:rPr>
          <w:rFonts w:ascii="Century Gothic" w:eastAsia="Arial" w:hAnsi="Century Gothic"/>
          <w:sz w:val="22"/>
        </w:rPr>
      </w:pPr>
    </w:p>
    <w:sectPr w:rsidR="00E962D4" w:rsidRPr="002016BD" w:rsidSect="00F50A29">
      <w:footerReference w:type="default" r:id="rId7"/>
      <w:pgSz w:w="11900" w:h="16840"/>
      <w:pgMar w:top="1440" w:right="1080" w:bottom="1440" w:left="1080" w:header="0" w:footer="1080" w:gutter="0"/>
      <w:cols w:space="0" w:equalWidth="0">
        <w:col w:w="9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E69D" w14:textId="77777777" w:rsidR="00F50A29" w:rsidRDefault="00F50A29" w:rsidP="00F50A29">
      <w:r>
        <w:separator/>
      </w:r>
    </w:p>
  </w:endnote>
  <w:endnote w:type="continuationSeparator" w:id="0">
    <w:p w14:paraId="126B4B8C" w14:textId="77777777" w:rsidR="00F50A29" w:rsidRDefault="00F50A29" w:rsidP="00F5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1856922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7F3833A" w14:textId="3389741A" w:rsidR="00F50A29" w:rsidRPr="00F50A29" w:rsidRDefault="00F50A29" w:rsidP="00F50A29">
            <w:pPr>
              <w:pStyle w:val="Footer"/>
              <w:jc w:val="right"/>
              <w:rPr>
                <w:rFonts w:ascii="Century Gothic" w:hAnsi="Century Gothic"/>
                <w:sz w:val="16"/>
                <w:szCs w:val="16"/>
              </w:rPr>
            </w:pPr>
            <w:r w:rsidRPr="00F50A29">
              <w:rPr>
                <w:rFonts w:ascii="Century Gothic" w:hAnsi="Century Gothic"/>
                <w:sz w:val="16"/>
                <w:szCs w:val="16"/>
              </w:rPr>
              <w:t xml:space="preserve">Page </w:t>
            </w:r>
            <w:r w:rsidRPr="00F50A29">
              <w:rPr>
                <w:rFonts w:ascii="Century Gothic" w:hAnsi="Century Gothic"/>
                <w:b/>
                <w:bCs/>
                <w:sz w:val="16"/>
                <w:szCs w:val="16"/>
              </w:rPr>
              <w:fldChar w:fldCharType="begin"/>
            </w:r>
            <w:r w:rsidRPr="00F50A29">
              <w:rPr>
                <w:rFonts w:ascii="Century Gothic" w:hAnsi="Century Gothic"/>
                <w:b/>
                <w:bCs/>
                <w:sz w:val="16"/>
                <w:szCs w:val="16"/>
              </w:rPr>
              <w:instrText xml:space="preserve"> PAGE </w:instrText>
            </w:r>
            <w:r w:rsidRPr="00F50A29">
              <w:rPr>
                <w:rFonts w:ascii="Century Gothic" w:hAnsi="Century Gothic"/>
                <w:b/>
                <w:bCs/>
                <w:sz w:val="16"/>
                <w:szCs w:val="16"/>
              </w:rPr>
              <w:fldChar w:fldCharType="separate"/>
            </w:r>
            <w:r w:rsidRPr="00F50A29">
              <w:rPr>
                <w:rFonts w:ascii="Century Gothic" w:hAnsi="Century Gothic"/>
                <w:b/>
                <w:bCs/>
                <w:noProof/>
                <w:sz w:val="16"/>
                <w:szCs w:val="16"/>
              </w:rPr>
              <w:t>2</w:t>
            </w:r>
            <w:r w:rsidRPr="00F50A29">
              <w:rPr>
                <w:rFonts w:ascii="Century Gothic" w:hAnsi="Century Gothic"/>
                <w:b/>
                <w:bCs/>
                <w:sz w:val="16"/>
                <w:szCs w:val="16"/>
              </w:rPr>
              <w:fldChar w:fldCharType="end"/>
            </w:r>
            <w:r w:rsidRPr="00F50A29">
              <w:rPr>
                <w:rFonts w:ascii="Century Gothic" w:hAnsi="Century Gothic"/>
                <w:sz w:val="16"/>
                <w:szCs w:val="16"/>
              </w:rPr>
              <w:t xml:space="preserve"> of </w:t>
            </w:r>
            <w:r w:rsidRPr="00F50A29">
              <w:rPr>
                <w:rFonts w:ascii="Century Gothic" w:hAnsi="Century Gothic"/>
                <w:b/>
                <w:bCs/>
                <w:sz w:val="16"/>
                <w:szCs w:val="16"/>
              </w:rPr>
              <w:fldChar w:fldCharType="begin"/>
            </w:r>
            <w:r w:rsidRPr="00F50A29">
              <w:rPr>
                <w:rFonts w:ascii="Century Gothic" w:hAnsi="Century Gothic"/>
                <w:b/>
                <w:bCs/>
                <w:sz w:val="16"/>
                <w:szCs w:val="16"/>
              </w:rPr>
              <w:instrText xml:space="preserve"> NUMPAGES  </w:instrText>
            </w:r>
            <w:r w:rsidRPr="00F50A29">
              <w:rPr>
                <w:rFonts w:ascii="Century Gothic" w:hAnsi="Century Gothic"/>
                <w:b/>
                <w:bCs/>
                <w:sz w:val="16"/>
                <w:szCs w:val="16"/>
              </w:rPr>
              <w:fldChar w:fldCharType="separate"/>
            </w:r>
            <w:r w:rsidRPr="00F50A29">
              <w:rPr>
                <w:rFonts w:ascii="Century Gothic" w:hAnsi="Century Gothic"/>
                <w:b/>
                <w:bCs/>
                <w:noProof/>
                <w:sz w:val="16"/>
                <w:szCs w:val="16"/>
              </w:rPr>
              <w:t>2</w:t>
            </w:r>
            <w:r w:rsidRPr="00F50A2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47071" w14:textId="77777777" w:rsidR="00F50A29" w:rsidRDefault="00F50A29" w:rsidP="00F50A29">
      <w:r>
        <w:separator/>
      </w:r>
    </w:p>
  </w:footnote>
  <w:footnote w:type="continuationSeparator" w:id="0">
    <w:p w14:paraId="6C6D1128" w14:textId="77777777" w:rsidR="00F50A29" w:rsidRDefault="00F50A29" w:rsidP="00F5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B68079A"/>
    <w:lvl w:ilvl="0" w:tplc="28A47650">
      <w:start w:val="1"/>
      <w:numFmt w:val="upperLetter"/>
      <w:lvlText w:val="%1."/>
      <w:lvlJc w:val="left"/>
    </w:lvl>
    <w:lvl w:ilvl="1" w:tplc="6C24409A">
      <w:start w:val="1"/>
      <w:numFmt w:val="bullet"/>
      <w:lvlText w:val=""/>
      <w:lvlJc w:val="left"/>
    </w:lvl>
    <w:lvl w:ilvl="2" w:tplc="BBF8CE76">
      <w:start w:val="1"/>
      <w:numFmt w:val="bullet"/>
      <w:lvlText w:val=""/>
      <w:lvlJc w:val="left"/>
    </w:lvl>
    <w:lvl w:ilvl="3" w:tplc="08D2DB42">
      <w:start w:val="1"/>
      <w:numFmt w:val="bullet"/>
      <w:lvlText w:val=""/>
      <w:lvlJc w:val="left"/>
    </w:lvl>
    <w:lvl w:ilvl="4" w:tplc="274CE174">
      <w:start w:val="1"/>
      <w:numFmt w:val="bullet"/>
      <w:lvlText w:val=""/>
      <w:lvlJc w:val="left"/>
    </w:lvl>
    <w:lvl w:ilvl="5" w:tplc="D4A6A540">
      <w:start w:val="1"/>
      <w:numFmt w:val="bullet"/>
      <w:lvlText w:val=""/>
      <w:lvlJc w:val="left"/>
    </w:lvl>
    <w:lvl w:ilvl="6" w:tplc="37D2F574">
      <w:start w:val="1"/>
      <w:numFmt w:val="bullet"/>
      <w:lvlText w:val=""/>
      <w:lvlJc w:val="left"/>
    </w:lvl>
    <w:lvl w:ilvl="7" w:tplc="F940AEB8">
      <w:start w:val="1"/>
      <w:numFmt w:val="bullet"/>
      <w:lvlText w:val=""/>
      <w:lvlJc w:val="left"/>
    </w:lvl>
    <w:lvl w:ilvl="8" w:tplc="622E092E">
      <w:start w:val="1"/>
      <w:numFmt w:val="bullet"/>
      <w:lvlText w:val=""/>
      <w:lvlJc w:val="left"/>
    </w:lvl>
  </w:abstractNum>
  <w:abstractNum w:abstractNumId="1" w15:restartNumberingAfterBreak="0">
    <w:nsid w:val="00000002"/>
    <w:multiLevelType w:val="hybridMultilevel"/>
    <w:tmpl w:val="4E6AFB66"/>
    <w:lvl w:ilvl="0" w:tplc="31EA2DE8">
      <w:start w:val="5"/>
      <w:numFmt w:val="decimal"/>
      <w:lvlText w:val="%1."/>
      <w:lvlJc w:val="left"/>
    </w:lvl>
    <w:lvl w:ilvl="1" w:tplc="9802210E">
      <w:start w:val="1"/>
      <w:numFmt w:val="bullet"/>
      <w:lvlText w:val=""/>
      <w:lvlJc w:val="left"/>
    </w:lvl>
    <w:lvl w:ilvl="2" w:tplc="62D8649C">
      <w:start w:val="1"/>
      <w:numFmt w:val="bullet"/>
      <w:lvlText w:val=""/>
      <w:lvlJc w:val="left"/>
    </w:lvl>
    <w:lvl w:ilvl="3" w:tplc="2EBAE866">
      <w:start w:val="1"/>
      <w:numFmt w:val="bullet"/>
      <w:lvlText w:val=""/>
      <w:lvlJc w:val="left"/>
    </w:lvl>
    <w:lvl w:ilvl="4" w:tplc="57B64742">
      <w:start w:val="1"/>
      <w:numFmt w:val="bullet"/>
      <w:lvlText w:val=""/>
      <w:lvlJc w:val="left"/>
    </w:lvl>
    <w:lvl w:ilvl="5" w:tplc="23AA91CC">
      <w:start w:val="1"/>
      <w:numFmt w:val="bullet"/>
      <w:lvlText w:val=""/>
      <w:lvlJc w:val="left"/>
    </w:lvl>
    <w:lvl w:ilvl="6" w:tplc="B4606634">
      <w:start w:val="1"/>
      <w:numFmt w:val="bullet"/>
      <w:lvlText w:val=""/>
      <w:lvlJc w:val="left"/>
    </w:lvl>
    <w:lvl w:ilvl="7" w:tplc="3168B828">
      <w:start w:val="1"/>
      <w:numFmt w:val="bullet"/>
      <w:lvlText w:val=""/>
      <w:lvlJc w:val="left"/>
    </w:lvl>
    <w:lvl w:ilvl="8" w:tplc="819EEC60">
      <w:start w:val="1"/>
      <w:numFmt w:val="bullet"/>
      <w:lvlText w:val=""/>
      <w:lvlJc w:val="left"/>
    </w:lvl>
  </w:abstractNum>
  <w:abstractNum w:abstractNumId="2" w15:restartNumberingAfterBreak="0">
    <w:nsid w:val="00000003"/>
    <w:multiLevelType w:val="hybridMultilevel"/>
    <w:tmpl w:val="25E45D32"/>
    <w:lvl w:ilvl="0" w:tplc="F57C471E">
      <w:start w:val="2"/>
      <w:numFmt w:val="lowerRoman"/>
      <w:lvlText w:val="(%1)"/>
      <w:lvlJc w:val="left"/>
    </w:lvl>
    <w:lvl w:ilvl="1" w:tplc="AA4821D2">
      <w:start w:val="1"/>
      <w:numFmt w:val="bullet"/>
      <w:lvlText w:val=""/>
      <w:lvlJc w:val="left"/>
    </w:lvl>
    <w:lvl w:ilvl="2" w:tplc="DB7229B2">
      <w:start w:val="1"/>
      <w:numFmt w:val="bullet"/>
      <w:lvlText w:val=""/>
      <w:lvlJc w:val="left"/>
    </w:lvl>
    <w:lvl w:ilvl="3" w:tplc="D9C013B2">
      <w:start w:val="1"/>
      <w:numFmt w:val="bullet"/>
      <w:lvlText w:val=""/>
      <w:lvlJc w:val="left"/>
    </w:lvl>
    <w:lvl w:ilvl="4" w:tplc="E5FC9CC6">
      <w:start w:val="1"/>
      <w:numFmt w:val="bullet"/>
      <w:lvlText w:val=""/>
      <w:lvlJc w:val="left"/>
    </w:lvl>
    <w:lvl w:ilvl="5" w:tplc="C798C35C">
      <w:start w:val="1"/>
      <w:numFmt w:val="bullet"/>
      <w:lvlText w:val=""/>
      <w:lvlJc w:val="left"/>
    </w:lvl>
    <w:lvl w:ilvl="6" w:tplc="3376B49C">
      <w:start w:val="1"/>
      <w:numFmt w:val="bullet"/>
      <w:lvlText w:val=""/>
      <w:lvlJc w:val="left"/>
    </w:lvl>
    <w:lvl w:ilvl="7" w:tplc="37425432">
      <w:start w:val="1"/>
      <w:numFmt w:val="bullet"/>
      <w:lvlText w:val=""/>
      <w:lvlJc w:val="left"/>
    </w:lvl>
    <w:lvl w:ilvl="8" w:tplc="617A07B8">
      <w:start w:val="1"/>
      <w:numFmt w:val="bullet"/>
      <w:lvlText w:val=""/>
      <w:lvlJc w:val="left"/>
    </w:lvl>
  </w:abstractNum>
  <w:abstractNum w:abstractNumId="3" w15:restartNumberingAfterBreak="0">
    <w:nsid w:val="00000004"/>
    <w:multiLevelType w:val="hybridMultilevel"/>
    <w:tmpl w:val="519B500C"/>
    <w:lvl w:ilvl="0" w:tplc="B630ECEE">
      <w:start w:val="1"/>
      <w:numFmt w:val="decimal"/>
      <w:lvlText w:val="%1"/>
      <w:lvlJc w:val="left"/>
    </w:lvl>
    <w:lvl w:ilvl="1" w:tplc="1F0C7D80">
      <w:start w:val="5"/>
      <w:numFmt w:val="lowerRoman"/>
      <w:lvlText w:val="(%2)"/>
      <w:lvlJc w:val="left"/>
    </w:lvl>
    <w:lvl w:ilvl="2" w:tplc="0958BAC0">
      <w:start w:val="1"/>
      <w:numFmt w:val="bullet"/>
      <w:lvlText w:val=""/>
      <w:lvlJc w:val="left"/>
    </w:lvl>
    <w:lvl w:ilvl="3" w:tplc="102E2CAA">
      <w:start w:val="1"/>
      <w:numFmt w:val="bullet"/>
      <w:lvlText w:val=""/>
      <w:lvlJc w:val="left"/>
    </w:lvl>
    <w:lvl w:ilvl="4" w:tplc="F4EEFBD0">
      <w:start w:val="1"/>
      <w:numFmt w:val="bullet"/>
      <w:lvlText w:val=""/>
      <w:lvlJc w:val="left"/>
    </w:lvl>
    <w:lvl w:ilvl="5" w:tplc="F600067C">
      <w:start w:val="1"/>
      <w:numFmt w:val="bullet"/>
      <w:lvlText w:val=""/>
      <w:lvlJc w:val="left"/>
    </w:lvl>
    <w:lvl w:ilvl="6" w:tplc="1834D526">
      <w:start w:val="1"/>
      <w:numFmt w:val="bullet"/>
      <w:lvlText w:val=""/>
      <w:lvlJc w:val="left"/>
    </w:lvl>
    <w:lvl w:ilvl="7" w:tplc="B426CCA2">
      <w:start w:val="1"/>
      <w:numFmt w:val="bullet"/>
      <w:lvlText w:val=""/>
      <w:lvlJc w:val="left"/>
    </w:lvl>
    <w:lvl w:ilvl="8" w:tplc="F872D5CE">
      <w:start w:val="1"/>
      <w:numFmt w:val="bullet"/>
      <w:lvlText w:val=""/>
      <w:lvlJc w:val="left"/>
    </w:lvl>
  </w:abstractNum>
  <w:abstractNum w:abstractNumId="4" w15:restartNumberingAfterBreak="0">
    <w:nsid w:val="00000005"/>
    <w:multiLevelType w:val="hybridMultilevel"/>
    <w:tmpl w:val="431BD7B6"/>
    <w:lvl w:ilvl="0" w:tplc="40D248F0">
      <w:start w:val="7"/>
      <w:numFmt w:val="decimal"/>
      <w:lvlText w:val="%1."/>
      <w:lvlJc w:val="left"/>
    </w:lvl>
    <w:lvl w:ilvl="1" w:tplc="9000C020">
      <w:start w:val="1"/>
      <w:numFmt w:val="lowerRoman"/>
      <w:lvlText w:val="%2"/>
      <w:lvlJc w:val="left"/>
    </w:lvl>
    <w:lvl w:ilvl="2" w:tplc="013A7B30">
      <w:start w:val="1"/>
      <w:numFmt w:val="bullet"/>
      <w:lvlText w:val=""/>
      <w:lvlJc w:val="left"/>
    </w:lvl>
    <w:lvl w:ilvl="3" w:tplc="455C2B6A">
      <w:start w:val="1"/>
      <w:numFmt w:val="bullet"/>
      <w:lvlText w:val=""/>
      <w:lvlJc w:val="left"/>
    </w:lvl>
    <w:lvl w:ilvl="4" w:tplc="0738646E">
      <w:start w:val="1"/>
      <w:numFmt w:val="bullet"/>
      <w:lvlText w:val=""/>
      <w:lvlJc w:val="left"/>
    </w:lvl>
    <w:lvl w:ilvl="5" w:tplc="6A12B86A">
      <w:start w:val="1"/>
      <w:numFmt w:val="bullet"/>
      <w:lvlText w:val=""/>
      <w:lvlJc w:val="left"/>
    </w:lvl>
    <w:lvl w:ilvl="6" w:tplc="489E4318">
      <w:start w:val="1"/>
      <w:numFmt w:val="bullet"/>
      <w:lvlText w:val=""/>
      <w:lvlJc w:val="left"/>
    </w:lvl>
    <w:lvl w:ilvl="7" w:tplc="4E18569E">
      <w:start w:val="1"/>
      <w:numFmt w:val="bullet"/>
      <w:lvlText w:val=""/>
      <w:lvlJc w:val="left"/>
    </w:lvl>
    <w:lvl w:ilvl="8" w:tplc="80605AE8">
      <w:start w:val="1"/>
      <w:numFmt w:val="bullet"/>
      <w:lvlText w:val=""/>
      <w:lvlJc w:val="left"/>
    </w:lvl>
  </w:abstractNum>
  <w:abstractNum w:abstractNumId="5" w15:restartNumberingAfterBreak="0">
    <w:nsid w:val="00000006"/>
    <w:multiLevelType w:val="hybridMultilevel"/>
    <w:tmpl w:val="3F2DBA30"/>
    <w:lvl w:ilvl="0" w:tplc="B9220218">
      <w:start w:val="1"/>
      <w:numFmt w:val="decimal"/>
      <w:lvlText w:val="%1"/>
      <w:lvlJc w:val="left"/>
    </w:lvl>
    <w:lvl w:ilvl="1" w:tplc="D23E4D32">
      <w:start w:val="4"/>
      <w:numFmt w:val="lowerRoman"/>
      <w:lvlText w:val="(%2)"/>
      <w:lvlJc w:val="left"/>
    </w:lvl>
    <w:lvl w:ilvl="2" w:tplc="FBA208C6">
      <w:start w:val="1"/>
      <w:numFmt w:val="bullet"/>
      <w:lvlText w:val=""/>
      <w:lvlJc w:val="left"/>
    </w:lvl>
    <w:lvl w:ilvl="3" w:tplc="1234ACAE">
      <w:start w:val="1"/>
      <w:numFmt w:val="bullet"/>
      <w:lvlText w:val=""/>
      <w:lvlJc w:val="left"/>
    </w:lvl>
    <w:lvl w:ilvl="4" w:tplc="40D8F866">
      <w:start w:val="1"/>
      <w:numFmt w:val="bullet"/>
      <w:lvlText w:val=""/>
      <w:lvlJc w:val="left"/>
    </w:lvl>
    <w:lvl w:ilvl="5" w:tplc="135AAF3C">
      <w:start w:val="1"/>
      <w:numFmt w:val="bullet"/>
      <w:lvlText w:val=""/>
      <w:lvlJc w:val="left"/>
    </w:lvl>
    <w:lvl w:ilvl="6" w:tplc="1256B92E">
      <w:start w:val="1"/>
      <w:numFmt w:val="bullet"/>
      <w:lvlText w:val=""/>
      <w:lvlJc w:val="left"/>
    </w:lvl>
    <w:lvl w:ilvl="7" w:tplc="9F46BCFC">
      <w:start w:val="1"/>
      <w:numFmt w:val="bullet"/>
      <w:lvlText w:val=""/>
      <w:lvlJc w:val="left"/>
    </w:lvl>
    <w:lvl w:ilvl="8" w:tplc="835E3F34">
      <w:start w:val="1"/>
      <w:numFmt w:val="bullet"/>
      <w:lvlText w:val=""/>
      <w:lvlJc w:val="left"/>
    </w:lvl>
  </w:abstractNum>
  <w:abstractNum w:abstractNumId="6" w15:restartNumberingAfterBreak="0">
    <w:nsid w:val="00000007"/>
    <w:multiLevelType w:val="hybridMultilevel"/>
    <w:tmpl w:val="7C83E458"/>
    <w:lvl w:ilvl="0" w:tplc="4B5C5FC0">
      <w:start w:val="9"/>
      <w:numFmt w:val="decimal"/>
      <w:lvlText w:val="%1."/>
      <w:lvlJc w:val="left"/>
    </w:lvl>
    <w:lvl w:ilvl="1" w:tplc="B12EA6EA">
      <w:start w:val="1"/>
      <w:numFmt w:val="lowerRoman"/>
      <w:lvlText w:val="%2"/>
      <w:lvlJc w:val="left"/>
    </w:lvl>
    <w:lvl w:ilvl="2" w:tplc="DE7AB234">
      <w:start w:val="1"/>
      <w:numFmt w:val="bullet"/>
      <w:lvlText w:val=""/>
      <w:lvlJc w:val="left"/>
    </w:lvl>
    <w:lvl w:ilvl="3" w:tplc="F5E4B3A4">
      <w:start w:val="1"/>
      <w:numFmt w:val="bullet"/>
      <w:lvlText w:val=""/>
      <w:lvlJc w:val="left"/>
    </w:lvl>
    <w:lvl w:ilvl="4" w:tplc="4FD6565C">
      <w:start w:val="1"/>
      <w:numFmt w:val="bullet"/>
      <w:lvlText w:val=""/>
      <w:lvlJc w:val="left"/>
    </w:lvl>
    <w:lvl w:ilvl="5" w:tplc="7764C3E0">
      <w:start w:val="1"/>
      <w:numFmt w:val="bullet"/>
      <w:lvlText w:val=""/>
      <w:lvlJc w:val="left"/>
    </w:lvl>
    <w:lvl w:ilvl="6" w:tplc="0F50E466">
      <w:start w:val="1"/>
      <w:numFmt w:val="bullet"/>
      <w:lvlText w:val=""/>
      <w:lvlJc w:val="left"/>
    </w:lvl>
    <w:lvl w:ilvl="7" w:tplc="D2B033AE">
      <w:start w:val="1"/>
      <w:numFmt w:val="bullet"/>
      <w:lvlText w:val=""/>
      <w:lvlJc w:val="left"/>
    </w:lvl>
    <w:lvl w:ilvl="8" w:tplc="E9EE0E2A">
      <w:start w:val="1"/>
      <w:numFmt w:val="bullet"/>
      <w:lvlText w:val=""/>
      <w:lvlJc w:val="left"/>
    </w:lvl>
  </w:abstractNum>
  <w:abstractNum w:abstractNumId="7" w15:restartNumberingAfterBreak="0">
    <w:nsid w:val="00000008"/>
    <w:multiLevelType w:val="hybridMultilevel"/>
    <w:tmpl w:val="257130A2"/>
    <w:lvl w:ilvl="0" w:tplc="53462758">
      <w:start w:val="2"/>
      <w:numFmt w:val="decimal"/>
      <w:lvlText w:val="%1."/>
      <w:lvlJc w:val="left"/>
    </w:lvl>
    <w:lvl w:ilvl="1" w:tplc="D554A7B2">
      <w:start w:val="1"/>
      <w:numFmt w:val="bullet"/>
      <w:lvlText w:val=""/>
      <w:lvlJc w:val="left"/>
    </w:lvl>
    <w:lvl w:ilvl="2" w:tplc="D8364EAE">
      <w:start w:val="1"/>
      <w:numFmt w:val="bullet"/>
      <w:lvlText w:val=""/>
      <w:lvlJc w:val="left"/>
    </w:lvl>
    <w:lvl w:ilvl="3" w:tplc="BDCCE48A">
      <w:start w:val="1"/>
      <w:numFmt w:val="bullet"/>
      <w:lvlText w:val=""/>
      <w:lvlJc w:val="left"/>
    </w:lvl>
    <w:lvl w:ilvl="4" w:tplc="397A682C">
      <w:start w:val="1"/>
      <w:numFmt w:val="bullet"/>
      <w:lvlText w:val=""/>
      <w:lvlJc w:val="left"/>
    </w:lvl>
    <w:lvl w:ilvl="5" w:tplc="BF328BB0">
      <w:start w:val="1"/>
      <w:numFmt w:val="bullet"/>
      <w:lvlText w:val=""/>
      <w:lvlJc w:val="left"/>
    </w:lvl>
    <w:lvl w:ilvl="6" w:tplc="6FACB2AE">
      <w:start w:val="1"/>
      <w:numFmt w:val="bullet"/>
      <w:lvlText w:val=""/>
      <w:lvlJc w:val="left"/>
    </w:lvl>
    <w:lvl w:ilvl="7" w:tplc="52342754">
      <w:start w:val="1"/>
      <w:numFmt w:val="bullet"/>
      <w:lvlText w:val=""/>
      <w:lvlJc w:val="left"/>
    </w:lvl>
    <w:lvl w:ilvl="8" w:tplc="1BCCAB2E">
      <w:start w:val="1"/>
      <w:numFmt w:val="bullet"/>
      <w:lvlText w:val=""/>
      <w:lvlJc w:val="left"/>
    </w:lvl>
  </w:abstractNum>
  <w:abstractNum w:abstractNumId="8" w15:restartNumberingAfterBreak="0">
    <w:nsid w:val="00000009"/>
    <w:multiLevelType w:val="hybridMultilevel"/>
    <w:tmpl w:val="62BBD95A"/>
    <w:lvl w:ilvl="0" w:tplc="87EE4E14">
      <w:start w:val="1"/>
      <w:numFmt w:val="lowerRoman"/>
      <w:lvlText w:val="(%1)"/>
      <w:lvlJc w:val="left"/>
    </w:lvl>
    <w:lvl w:ilvl="1" w:tplc="D414A6C6">
      <w:start w:val="1"/>
      <w:numFmt w:val="bullet"/>
      <w:lvlText w:val=""/>
      <w:lvlJc w:val="left"/>
    </w:lvl>
    <w:lvl w:ilvl="2" w:tplc="8B301E10">
      <w:start w:val="1"/>
      <w:numFmt w:val="bullet"/>
      <w:lvlText w:val=""/>
      <w:lvlJc w:val="left"/>
    </w:lvl>
    <w:lvl w:ilvl="3" w:tplc="D46A5E72">
      <w:start w:val="1"/>
      <w:numFmt w:val="bullet"/>
      <w:lvlText w:val=""/>
      <w:lvlJc w:val="left"/>
    </w:lvl>
    <w:lvl w:ilvl="4" w:tplc="BDF04414">
      <w:start w:val="1"/>
      <w:numFmt w:val="bullet"/>
      <w:lvlText w:val=""/>
      <w:lvlJc w:val="left"/>
    </w:lvl>
    <w:lvl w:ilvl="5" w:tplc="1602A312">
      <w:start w:val="1"/>
      <w:numFmt w:val="bullet"/>
      <w:lvlText w:val=""/>
      <w:lvlJc w:val="left"/>
    </w:lvl>
    <w:lvl w:ilvl="6" w:tplc="89866B56">
      <w:start w:val="1"/>
      <w:numFmt w:val="bullet"/>
      <w:lvlText w:val=""/>
      <w:lvlJc w:val="left"/>
    </w:lvl>
    <w:lvl w:ilvl="7" w:tplc="32EE5F64">
      <w:start w:val="1"/>
      <w:numFmt w:val="bullet"/>
      <w:lvlText w:val=""/>
      <w:lvlJc w:val="left"/>
    </w:lvl>
    <w:lvl w:ilvl="8" w:tplc="F5EAD294">
      <w:start w:val="1"/>
      <w:numFmt w:val="bullet"/>
      <w:lvlText w:val=""/>
      <w:lvlJc w:val="left"/>
    </w:lvl>
  </w:abstractNum>
  <w:abstractNum w:abstractNumId="9" w15:restartNumberingAfterBreak="0">
    <w:nsid w:val="0000000A"/>
    <w:multiLevelType w:val="hybridMultilevel"/>
    <w:tmpl w:val="436C6124"/>
    <w:lvl w:ilvl="0" w:tplc="10247894">
      <w:start w:val="1"/>
      <w:numFmt w:val="decimal"/>
      <w:lvlText w:val="%1"/>
      <w:lvlJc w:val="left"/>
    </w:lvl>
    <w:lvl w:ilvl="1" w:tplc="49EC5DE0">
      <w:start w:val="4"/>
      <w:numFmt w:val="lowerRoman"/>
      <w:lvlText w:val="(%2)"/>
      <w:lvlJc w:val="left"/>
    </w:lvl>
    <w:lvl w:ilvl="2" w:tplc="D4CAE58C">
      <w:start w:val="1"/>
      <w:numFmt w:val="bullet"/>
      <w:lvlText w:val=""/>
      <w:lvlJc w:val="left"/>
    </w:lvl>
    <w:lvl w:ilvl="3" w:tplc="BF12D128">
      <w:start w:val="1"/>
      <w:numFmt w:val="bullet"/>
      <w:lvlText w:val=""/>
      <w:lvlJc w:val="left"/>
    </w:lvl>
    <w:lvl w:ilvl="4" w:tplc="6A50FF68">
      <w:start w:val="1"/>
      <w:numFmt w:val="bullet"/>
      <w:lvlText w:val=""/>
      <w:lvlJc w:val="left"/>
    </w:lvl>
    <w:lvl w:ilvl="5" w:tplc="FF5AB41C">
      <w:start w:val="1"/>
      <w:numFmt w:val="bullet"/>
      <w:lvlText w:val=""/>
      <w:lvlJc w:val="left"/>
    </w:lvl>
    <w:lvl w:ilvl="6" w:tplc="19DE9B6C">
      <w:start w:val="1"/>
      <w:numFmt w:val="bullet"/>
      <w:lvlText w:val=""/>
      <w:lvlJc w:val="left"/>
    </w:lvl>
    <w:lvl w:ilvl="7" w:tplc="EF006B62">
      <w:start w:val="1"/>
      <w:numFmt w:val="bullet"/>
      <w:lvlText w:val=""/>
      <w:lvlJc w:val="left"/>
    </w:lvl>
    <w:lvl w:ilvl="8" w:tplc="F6CCB35A">
      <w:start w:val="1"/>
      <w:numFmt w:val="bullet"/>
      <w:lvlText w:val=""/>
      <w:lvlJc w:val="left"/>
    </w:lvl>
  </w:abstractNum>
  <w:abstractNum w:abstractNumId="10" w15:restartNumberingAfterBreak="0">
    <w:nsid w:val="0000000B"/>
    <w:multiLevelType w:val="hybridMultilevel"/>
    <w:tmpl w:val="628C895C"/>
    <w:lvl w:ilvl="0" w:tplc="AA620C8C">
      <w:start w:val="3"/>
      <w:numFmt w:val="decimal"/>
      <w:lvlText w:val="%1."/>
      <w:lvlJc w:val="left"/>
    </w:lvl>
    <w:lvl w:ilvl="1" w:tplc="9A30B31E">
      <w:start w:val="1"/>
      <w:numFmt w:val="lowerRoman"/>
      <w:lvlText w:val="%2"/>
      <w:lvlJc w:val="left"/>
    </w:lvl>
    <w:lvl w:ilvl="2" w:tplc="115C3A5C">
      <w:start w:val="1"/>
      <w:numFmt w:val="bullet"/>
      <w:lvlText w:val=""/>
      <w:lvlJc w:val="left"/>
    </w:lvl>
    <w:lvl w:ilvl="3" w:tplc="342E2C80">
      <w:start w:val="1"/>
      <w:numFmt w:val="bullet"/>
      <w:lvlText w:val=""/>
      <w:lvlJc w:val="left"/>
    </w:lvl>
    <w:lvl w:ilvl="4" w:tplc="6F8CC976">
      <w:start w:val="1"/>
      <w:numFmt w:val="bullet"/>
      <w:lvlText w:val=""/>
      <w:lvlJc w:val="left"/>
    </w:lvl>
    <w:lvl w:ilvl="5" w:tplc="3E00D0AC">
      <w:start w:val="1"/>
      <w:numFmt w:val="bullet"/>
      <w:lvlText w:val=""/>
      <w:lvlJc w:val="left"/>
    </w:lvl>
    <w:lvl w:ilvl="6" w:tplc="D6F4DC84">
      <w:start w:val="1"/>
      <w:numFmt w:val="bullet"/>
      <w:lvlText w:val=""/>
      <w:lvlJc w:val="left"/>
    </w:lvl>
    <w:lvl w:ilvl="7" w:tplc="4B042B4A">
      <w:start w:val="1"/>
      <w:numFmt w:val="bullet"/>
      <w:lvlText w:val=""/>
      <w:lvlJc w:val="left"/>
    </w:lvl>
    <w:lvl w:ilvl="8" w:tplc="1CFEAFB6">
      <w:start w:val="1"/>
      <w:numFmt w:val="bullet"/>
      <w:lvlText w:val=""/>
      <w:lvlJc w:val="left"/>
    </w:lvl>
  </w:abstractNum>
  <w:abstractNum w:abstractNumId="11" w15:restartNumberingAfterBreak="0">
    <w:nsid w:val="0000000C"/>
    <w:multiLevelType w:val="hybridMultilevel"/>
    <w:tmpl w:val="333AB104"/>
    <w:lvl w:ilvl="0" w:tplc="9A1CC26A">
      <w:start w:val="1"/>
      <w:numFmt w:val="decimal"/>
      <w:lvlText w:val="%1"/>
      <w:lvlJc w:val="left"/>
    </w:lvl>
    <w:lvl w:ilvl="1" w:tplc="0152F81A">
      <w:start w:val="1"/>
      <w:numFmt w:val="lowerRoman"/>
      <w:lvlText w:val="(%2)"/>
      <w:lvlJc w:val="left"/>
    </w:lvl>
    <w:lvl w:ilvl="2" w:tplc="96F83CE8">
      <w:start w:val="1"/>
      <w:numFmt w:val="bullet"/>
      <w:lvlText w:val=""/>
      <w:lvlJc w:val="left"/>
    </w:lvl>
    <w:lvl w:ilvl="3" w:tplc="F72A9E1C">
      <w:start w:val="1"/>
      <w:numFmt w:val="bullet"/>
      <w:lvlText w:val=""/>
      <w:lvlJc w:val="left"/>
    </w:lvl>
    <w:lvl w:ilvl="4" w:tplc="152C77E4">
      <w:start w:val="1"/>
      <w:numFmt w:val="bullet"/>
      <w:lvlText w:val=""/>
      <w:lvlJc w:val="left"/>
    </w:lvl>
    <w:lvl w:ilvl="5" w:tplc="FC607B02">
      <w:start w:val="1"/>
      <w:numFmt w:val="bullet"/>
      <w:lvlText w:val=""/>
      <w:lvlJc w:val="left"/>
    </w:lvl>
    <w:lvl w:ilvl="6" w:tplc="92E4D5E8">
      <w:start w:val="1"/>
      <w:numFmt w:val="bullet"/>
      <w:lvlText w:val=""/>
      <w:lvlJc w:val="left"/>
    </w:lvl>
    <w:lvl w:ilvl="7" w:tplc="A3881FE6">
      <w:start w:val="1"/>
      <w:numFmt w:val="bullet"/>
      <w:lvlText w:val=""/>
      <w:lvlJc w:val="left"/>
    </w:lvl>
    <w:lvl w:ilvl="8" w:tplc="145E9B02">
      <w:start w:val="1"/>
      <w:numFmt w:val="bullet"/>
      <w:lvlText w:val=""/>
      <w:lvlJc w:val="left"/>
    </w:lvl>
  </w:abstractNum>
  <w:abstractNum w:abstractNumId="12" w15:restartNumberingAfterBreak="0">
    <w:nsid w:val="0000000D"/>
    <w:multiLevelType w:val="hybridMultilevel"/>
    <w:tmpl w:val="721DA316"/>
    <w:lvl w:ilvl="0" w:tplc="3B904E08">
      <w:start w:val="4"/>
      <w:numFmt w:val="decimal"/>
      <w:lvlText w:val="%1."/>
      <w:lvlJc w:val="left"/>
    </w:lvl>
    <w:lvl w:ilvl="1" w:tplc="DEDAD39C">
      <w:start w:val="1"/>
      <w:numFmt w:val="lowerRoman"/>
      <w:lvlText w:val="%2"/>
      <w:lvlJc w:val="left"/>
    </w:lvl>
    <w:lvl w:ilvl="2" w:tplc="A66C2564">
      <w:start w:val="1"/>
      <w:numFmt w:val="bullet"/>
      <w:lvlText w:val=""/>
      <w:lvlJc w:val="left"/>
    </w:lvl>
    <w:lvl w:ilvl="3" w:tplc="D0AC0C46">
      <w:start w:val="1"/>
      <w:numFmt w:val="bullet"/>
      <w:lvlText w:val=""/>
      <w:lvlJc w:val="left"/>
    </w:lvl>
    <w:lvl w:ilvl="4" w:tplc="360256E6">
      <w:start w:val="1"/>
      <w:numFmt w:val="bullet"/>
      <w:lvlText w:val=""/>
      <w:lvlJc w:val="left"/>
    </w:lvl>
    <w:lvl w:ilvl="5" w:tplc="1B304DF0">
      <w:start w:val="1"/>
      <w:numFmt w:val="bullet"/>
      <w:lvlText w:val=""/>
      <w:lvlJc w:val="left"/>
    </w:lvl>
    <w:lvl w:ilvl="6" w:tplc="56B0373C">
      <w:start w:val="1"/>
      <w:numFmt w:val="bullet"/>
      <w:lvlText w:val=""/>
      <w:lvlJc w:val="left"/>
    </w:lvl>
    <w:lvl w:ilvl="7" w:tplc="828C9C54">
      <w:start w:val="1"/>
      <w:numFmt w:val="bullet"/>
      <w:lvlText w:val=""/>
      <w:lvlJc w:val="left"/>
    </w:lvl>
    <w:lvl w:ilvl="8" w:tplc="DA128C44">
      <w:start w:val="1"/>
      <w:numFmt w:val="bullet"/>
      <w:lvlText w:val=""/>
      <w:lvlJc w:val="left"/>
    </w:lvl>
  </w:abstractNum>
  <w:abstractNum w:abstractNumId="13" w15:restartNumberingAfterBreak="0">
    <w:nsid w:val="0000000E"/>
    <w:multiLevelType w:val="hybridMultilevel"/>
    <w:tmpl w:val="2443A858"/>
    <w:lvl w:ilvl="0" w:tplc="A57C0AEA">
      <w:start w:val="5"/>
      <w:numFmt w:val="decimal"/>
      <w:lvlText w:val="%1."/>
      <w:lvlJc w:val="left"/>
    </w:lvl>
    <w:lvl w:ilvl="1" w:tplc="F4924106">
      <w:start w:val="1"/>
      <w:numFmt w:val="bullet"/>
      <w:lvlText w:val=""/>
      <w:lvlJc w:val="left"/>
    </w:lvl>
    <w:lvl w:ilvl="2" w:tplc="E4B0FA46">
      <w:start w:val="1"/>
      <w:numFmt w:val="bullet"/>
      <w:lvlText w:val=""/>
      <w:lvlJc w:val="left"/>
    </w:lvl>
    <w:lvl w:ilvl="3" w:tplc="E48433F4">
      <w:start w:val="1"/>
      <w:numFmt w:val="bullet"/>
      <w:lvlText w:val=""/>
      <w:lvlJc w:val="left"/>
    </w:lvl>
    <w:lvl w:ilvl="4" w:tplc="8806EC34">
      <w:start w:val="1"/>
      <w:numFmt w:val="bullet"/>
      <w:lvlText w:val=""/>
      <w:lvlJc w:val="left"/>
    </w:lvl>
    <w:lvl w:ilvl="5" w:tplc="248EC8CC">
      <w:start w:val="1"/>
      <w:numFmt w:val="bullet"/>
      <w:lvlText w:val=""/>
      <w:lvlJc w:val="left"/>
    </w:lvl>
    <w:lvl w:ilvl="6" w:tplc="D632DD7C">
      <w:start w:val="1"/>
      <w:numFmt w:val="bullet"/>
      <w:lvlText w:val=""/>
      <w:lvlJc w:val="left"/>
    </w:lvl>
    <w:lvl w:ilvl="7" w:tplc="5BBA46AC">
      <w:start w:val="1"/>
      <w:numFmt w:val="bullet"/>
      <w:lvlText w:val=""/>
      <w:lvlJc w:val="left"/>
    </w:lvl>
    <w:lvl w:ilvl="8" w:tplc="A65C8606">
      <w:start w:val="1"/>
      <w:numFmt w:val="bullet"/>
      <w:lvlText w:val=""/>
      <w:lvlJc w:val="left"/>
    </w:lvl>
  </w:abstractNum>
  <w:abstractNum w:abstractNumId="14" w15:restartNumberingAfterBreak="0">
    <w:nsid w:val="0000000F"/>
    <w:multiLevelType w:val="hybridMultilevel"/>
    <w:tmpl w:val="2D1D5AE8"/>
    <w:lvl w:ilvl="0" w:tplc="5370738A">
      <w:start w:val="6"/>
      <w:numFmt w:val="decimal"/>
      <w:lvlText w:val="%1."/>
      <w:lvlJc w:val="left"/>
    </w:lvl>
    <w:lvl w:ilvl="1" w:tplc="00CABB5E">
      <w:start w:val="1"/>
      <w:numFmt w:val="bullet"/>
      <w:lvlText w:val=""/>
      <w:lvlJc w:val="left"/>
    </w:lvl>
    <w:lvl w:ilvl="2" w:tplc="BBD2FDCE">
      <w:start w:val="1"/>
      <w:numFmt w:val="bullet"/>
      <w:lvlText w:val=""/>
      <w:lvlJc w:val="left"/>
    </w:lvl>
    <w:lvl w:ilvl="3" w:tplc="6AE201E6">
      <w:start w:val="1"/>
      <w:numFmt w:val="bullet"/>
      <w:lvlText w:val=""/>
      <w:lvlJc w:val="left"/>
    </w:lvl>
    <w:lvl w:ilvl="4" w:tplc="35A8BB26">
      <w:start w:val="1"/>
      <w:numFmt w:val="bullet"/>
      <w:lvlText w:val=""/>
      <w:lvlJc w:val="left"/>
    </w:lvl>
    <w:lvl w:ilvl="5" w:tplc="3DD8FBB2">
      <w:start w:val="1"/>
      <w:numFmt w:val="bullet"/>
      <w:lvlText w:val=""/>
      <w:lvlJc w:val="left"/>
    </w:lvl>
    <w:lvl w:ilvl="6" w:tplc="9348C40A">
      <w:start w:val="1"/>
      <w:numFmt w:val="bullet"/>
      <w:lvlText w:val=""/>
      <w:lvlJc w:val="left"/>
    </w:lvl>
    <w:lvl w:ilvl="7" w:tplc="6E1CA844">
      <w:start w:val="1"/>
      <w:numFmt w:val="bullet"/>
      <w:lvlText w:val=""/>
      <w:lvlJc w:val="left"/>
    </w:lvl>
    <w:lvl w:ilvl="8" w:tplc="E6607554">
      <w:start w:val="1"/>
      <w:numFmt w:val="bullet"/>
      <w:lvlText w:val=""/>
      <w:lvlJc w:val="left"/>
    </w:lvl>
  </w:abstractNum>
  <w:abstractNum w:abstractNumId="15" w15:restartNumberingAfterBreak="0">
    <w:nsid w:val="00000010"/>
    <w:multiLevelType w:val="hybridMultilevel"/>
    <w:tmpl w:val="6763845E"/>
    <w:lvl w:ilvl="0" w:tplc="D85AB4B8">
      <w:start w:val="8"/>
      <w:numFmt w:val="decimal"/>
      <w:lvlText w:val="%1."/>
      <w:lvlJc w:val="left"/>
    </w:lvl>
    <w:lvl w:ilvl="1" w:tplc="9380286E">
      <w:start w:val="1"/>
      <w:numFmt w:val="bullet"/>
      <w:lvlText w:val=""/>
      <w:lvlJc w:val="left"/>
    </w:lvl>
    <w:lvl w:ilvl="2" w:tplc="7DE2C4FE">
      <w:start w:val="1"/>
      <w:numFmt w:val="bullet"/>
      <w:lvlText w:val=""/>
      <w:lvlJc w:val="left"/>
    </w:lvl>
    <w:lvl w:ilvl="3" w:tplc="BE147844">
      <w:start w:val="1"/>
      <w:numFmt w:val="bullet"/>
      <w:lvlText w:val=""/>
      <w:lvlJc w:val="left"/>
    </w:lvl>
    <w:lvl w:ilvl="4" w:tplc="39AE3A24">
      <w:start w:val="1"/>
      <w:numFmt w:val="bullet"/>
      <w:lvlText w:val=""/>
      <w:lvlJc w:val="left"/>
    </w:lvl>
    <w:lvl w:ilvl="5" w:tplc="F376B10A">
      <w:start w:val="1"/>
      <w:numFmt w:val="bullet"/>
      <w:lvlText w:val=""/>
      <w:lvlJc w:val="left"/>
    </w:lvl>
    <w:lvl w:ilvl="6" w:tplc="54780410">
      <w:start w:val="1"/>
      <w:numFmt w:val="bullet"/>
      <w:lvlText w:val=""/>
      <w:lvlJc w:val="left"/>
    </w:lvl>
    <w:lvl w:ilvl="7" w:tplc="3544EFCC">
      <w:start w:val="1"/>
      <w:numFmt w:val="bullet"/>
      <w:lvlText w:val=""/>
      <w:lvlJc w:val="left"/>
    </w:lvl>
    <w:lvl w:ilvl="8" w:tplc="2234A740">
      <w:start w:val="1"/>
      <w:numFmt w:val="bullet"/>
      <w:lvlText w:val=""/>
      <w:lvlJc w:val="left"/>
    </w:lvl>
  </w:abstractNum>
  <w:abstractNum w:abstractNumId="16" w15:restartNumberingAfterBreak="0">
    <w:nsid w:val="00000011"/>
    <w:multiLevelType w:val="hybridMultilevel"/>
    <w:tmpl w:val="75A2A8D4"/>
    <w:lvl w:ilvl="0" w:tplc="41EED87E">
      <w:start w:val="10"/>
      <w:numFmt w:val="decimal"/>
      <w:lvlText w:val="%1."/>
      <w:lvlJc w:val="left"/>
    </w:lvl>
    <w:lvl w:ilvl="1" w:tplc="F0B4CEBC">
      <w:start w:val="1"/>
      <w:numFmt w:val="bullet"/>
      <w:lvlText w:val=""/>
      <w:lvlJc w:val="left"/>
    </w:lvl>
    <w:lvl w:ilvl="2" w:tplc="8EAE16EC">
      <w:start w:val="1"/>
      <w:numFmt w:val="bullet"/>
      <w:lvlText w:val=""/>
      <w:lvlJc w:val="left"/>
    </w:lvl>
    <w:lvl w:ilvl="3" w:tplc="B5DC2BD8">
      <w:start w:val="1"/>
      <w:numFmt w:val="bullet"/>
      <w:lvlText w:val=""/>
      <w:lvlJc w:val="left"/>
    </w:lvl>
    <w:lvl w:ilvl="4" w:tplc="54940464">
      <w:start w:val="1"/>
      <w:numFmt w:val="bullet"/>
      <w:lvlText w:val=""/>
      <w:lvlJc w:val="left"/>
    </w:lvl>
    <w:lvl w:ilvl="5" w:tplc="B13E1192">
      <w:start w:val="1"/>
      <w:numFmt w:val="bullet"/>
      <w:lvlText w:val=""/>
      <w:lvlJc w:val="left"/>
    </w:lvl>
    <w:lvl w:ilvl="6" w:tplc="6EDC54C6">
      <w:start w:val="1"/>
      <w:numFmt w:val="bullet"/>
      <w:lvlText w:val=""/>
      <w:lvlJc w:val="left"/>
    </w:lvl>
    <w:lvl w:ilvl="7" w:tplc="849E47CE">
      <w:start w:val="1"/>
      <w:numFmt w:val="bullet"/>
      <w:lvlText w:val=""/>
      <w:lvlJc w:val="left"/>
    </w:lvl>
    <w:lvl w:ilvl="8" w:tplc="3B36FFFC">
      <w:start w:val="1"/>
      <w:numFmt w:val="bullet"/>
      <w:lvlText w:val=""/>
      <w:lvlJc w:val="left"/>
    </w:lvl>
  </w:abstractNum>
  <w:abstractNum w:abstractNumId="17" w15:restartNumberingAfterBreak="0">
    <w:nsid w:val="00000012"/>
    <w:multiLevelType w:val="hybridMultilevel"/>
    <w:tmpl w:val="08EDBDAA"/>
    <w:lvl w:ilvl="0" w:tplc="A19ECF60">
      <w:start w:val="1"/>
      <w:numFmt w:val="decimal"/>
      <w:lvlText w:val="%1"/>
      <w:lvlJc w:val="left"/>
    </w:lvl>
    <w:lvl w:ilvl="1" w:tplc="34A29558">
      <w:start w:val="1"/>
      <w:numFmt w:val="decimal"/>
      <w:lvlText w:val="%2."/>
      <w:lvlJc w:val="left"/>
    </w:lvl>
    <w:lvl w:ilvl="2" w:tplc="F0A0BD54">
      <w:start w:val="1"/>
      <w:numFmt w:val="bullet"/>
      <w:lvlText w:val=""/>
      <w:lvlJc w:val="left"/>
    </w:lvl>
    <w:lvl w:ilvl="3" w:tplc="F99EB522">
      <w:start w:val="1"/>
      <w:numFmt w:val="bullet"/>
      <w:lvlText w:val=""/>
      <w:lvlJc w:val="left"/>
    </w:lvl>
    <w:lvl w:ilvl="4" w:tplc="519886F8">
      <w:start w:val="1"/>
      <w:numFmt w:val="bullet"/>
      <w:lvlText w:val=""/>
      <w:lvlJc w:val="left"/>
    </w:lvl>
    <w:lvl w:ilvl="5" w:tplc="69A411A8">
      <w:start w:val="1"/>
      <w:numFmt w:val="bullet"/>
      <w:lvlText w:val=""/>
      <w:lvlJc w:val="left"/>
    </w:lvl>
    <w:lvl w:ilvl="6" w:tplc="A7362D78">
      <w:start w:val="1"/>
      <w:numFmt w:val="bullet"/>
      <w:lvlText w:val=""/>
      <w:lvlJc w:val="left"/>
    </w:lvl>
    <w:lvl w:ilvl="7" w:tplc="CAD4A038">
      <w:start w:val="1"/>
      <w:numFmt w:val="bullet"/>
      <w:lvlText w:val=""/>
      <w:lvlJc w:val="left"/>
    </w:lvl>
    <w:lvl w:ilvl="8" w:tplc="13446DB8">
      <w:start w:val="1"/>
      <w:numFmt w:val="bullet"/>
      <w:lvlText w:val=""/>
      <w:lvlJc w:val="left"/>
    </w:lvl>
  </w:abstractNum>
  <w:abstractNum w:abstractNumId="18" w15:restartNumberingAfterBreak="0">
    <w:nsid w:val="00000013"/>
    <w:multiLevelType w:val="hybridMultilevel"/>
    <w:tmpl w:val="79838CB2"/>
    <w:lvl w:ilvl="0" w:tplc="D28CF7E0">
      <w:start w:val="11"/>
      <w:numFmt w:val="decimal"/>
      <w:lvlText w:val="%1."/>
      <w:lvlJc w:val="left"/>
    </w:lvl>
    <w:lvl w:ilvl="1" w:tplc="0C10078A">
      <w:start w:val="1"/>
      <w:numFmt w:val="decimal"/>
      <w:lvlText w:val="%2"/>
      <w:lvlJc w:val="left"/>
    </w:lvl>
    <w:lvl w:ilvl="2" w:tplc="96361814">
      <w:start w:val="1"/>
      <w:numFmt w:val="bullet"/>
      <w:lvlText w:val=""/>
      <w:lvlJc w:val="left"/>
    </w:lvl>
    <w:lvl w:ilvl="3" w:tplc="292A843C">
      <w:start w:val="1"/>
      <w:numFmt w:val="bullet"/>
      <w:lvlText w:val=""/>
      <w:lvlJc w:val="left"/>
    </w:lvl>
    <w:lvl w:ilvl="4" w:tplc="65166EF4">
      <w:start w:val="1"/>
      <w:numFmt w:val="bullet"/>
      <w:lvlText w:val=""/>
      <w:lvlJc w:val="left"/>
    </w:lvl>
    <w:lvl w:ilvl="5" w:tplc="EE4A3014">
      <w:start w:val="1"/>
      <w:numFmt w:val="bullet"/>
      <w:lvlText w:val=""/>
      <w:lvlJc w:val="left"/>
    </w:lvl>
    <w:lvl w:ilvl="6" w:tplc="F3B873D2">
      <w:start w:val="1"/>
      <w:numFmt w:val="bullet"/>
      <w:lvlText w:val=""/>
      <w:lvlJc w:val="left"/>
    </w:lvl>
    <w:lvl w:ilvl="7" w:tplc="CA78DC8E">
      <w:start w:val="1"/>
      <w:numFmt w:val="bullet"/>
      <w:lvlText w:val=""/>
      <w:lvlJc w:val="left"/>
    </w:lvl>
    <w:lvl w:ilvl="8" w:tplc="D3EA71BE">
      <w:start w:val="1"/>
      <w:numFmt w:val="bullet"/>
      <w:lvlText w:val=""/>
      <w:lvlJc w:val="left"/>
    </w:lvl>
  </w:abstractNum>
  <w:abstractNum w:abstractNumId="19" w15:restartNumberingAfterBreak="0">
    <w:nsid w:val="00000014"/>
    <w:multiLevelType w:val="hybridMultilevel"/>
    <w:tmpl w:val="4353D0CC"/>
    <w:lvl w:ilvl="0" w:tplc="4FD8A434">
      <w:start w:val="12"/>
      <w:numFmt w:val="decimal"/>
      <w:lvlText w:val="%1."/>
      <w:lvlJc w:val="left"/>
    </w:lvl>
    <w:lvl w:ilvl="1" w:tplc="CCD8F226">
      <w:start w:val="1"/>
      <w:numFmt w:val="bullet"/>
      <w:lvlText w:val=""/>
      <w:lvlJc w:val="left"/>
    </w:lvl>
    <w:lvl w:ilvl="2" w:tplc="57EEC5D6">
      <w:start w:val="1"/>
      <w:numFmt w:val="bullet"/>
      <w:lvlText w:val=""/>
      <w:lvlJc w:val="left"/>
    </w:lvl>
    <w:lvl w:ilvl="3" w:tplc="24FE9C86">
      <w:start w:val="1"/>
      <w:numFmt w:val="bullet"/>
      <w:lvlText w:val=""/>
      <w:lvlJc w:val="left"/>
    </w:lvl>
    <w:lvl w:ilvl="4" w:tplc="67D00B66">
      <w:start w:val="1"/>
      <w:numFmt w:val="bullet"/>
      <w:lvlText w:val=""/>
      <w:lvlJc w:val="left"/>
    </w:lvl>
    <w:lvl w:ilvl="5" w:tplc="C1624488">
      <w:start w:val="1"/>
      <w:numFmt w:val="bullet"/>
      <w:lvlText w:val=""/>
      <w:lvlJc w:val="left"/>
    </w:lvl>
    <w:lvl w:ilvl="6" w:tplc="9D622AE2">
      <w:start w:val="1"/>
      <w:numFmt w:val="bullet"/>
      <w:lvlText w:val=""/>
      <w:lvlJc w:val="left"/>
    </w:lvl>
    <w:lvl w:ilvl="7" w:tplc="8C24C84E">
      <w:start w:val="1"/>
      <w:numFmt w:val="bullet"/>
      <w:lvlText w:val=""/>
      <w:lvlJc w:val="left"/>
    </w:lvl>
    <w:lvl w:ilvl="8" w:tplc="E5FA5D20">
      <w:start w:val="1"/>
      <w:numFmt w:val="bullet"/>
      <w:lvlText w:val=""/>
      <w:lvlJc w:val="left"/>
    </w:lvl>
  </w:abstractNum>
  <w:abstractNum w:abstractNumId="20" w15:restartNumberingAfterBreak="0">
    <w:nsid w:val="00000015"/>
    <w:multiLevelType w:val="hybridMultilevel"/>
    <w:tmpl w:val="0B03E0C6"/>
    <w:lvl w:ilvl="0" w:tplc="3DDEF3C2">
      <w:start w:val="13"/>
      <w:numFmt w:val="decimal"/>
      <w:lvlText w:val="%1."/>
      <w:lvlJc w:val="left"/>
    </w:lvl>
    <w:lvl w:ilvl="1" w:tplc="DEE0D020">
      <w:start w:val="1"/>
      <w:numFmt w:val="bullet"/>
      <w:lvlText w:val=""/>
      <w:lvlJc w:val="left"/>
    </w:lvl>
    <w:lvl w:ilvl="2" w:tplc="E19E20DA">
      <w:start w:val="1"/>
      <w:numFmt w:val="bullet"/>
      <w:lvlText w:val=""/>
      <w:lvlJc w:val="left"/>
    </w:lvl>
    <w:lvl w:ilvl="3" w:tplc="90709D18">
      <w:start w:val="1"/>
      <w:numFmt w:val="bullet"/>
      <w:lvlText w:val=""/>
      <w:lvlJc w:val="left"/>
    </w:lvl>
    <w:lvl w:ilvl="4" w:tplc="1ABE7414">
      <w:start w:val="1"/>
      <w:numFmt w:val="bullet"/>
      <w:lvlText w:val=""/>
      <w:lvlJc w:val="left"/>
    </w:lvl>
    <w:lvl w:ilvl="5" w:tplc="88FE11F8">
      <w:start w:val="1"/>
      <w:numFmt w:val="bullet"/>
      <w:lvlText w:val=""/>
      <w:lvlJc w:val="left"/>
    </w:lvl>
    <w:lvl w:ilvl="6" w:tplc="9CEA5E32">
      <w:start w:val="1"/>
      <w:numFmt w:val="bullet"/>
      <w:lvlText w:val=""/>
      <w:lvlJc w:val="left"/>
    </w:lvl>
    <w:lvl w:ilvl="7" w:tplc="13E6DF56">
      <w:start w:val="1"/>
      <w:numFmt w:val="bullet"/>
      <w:lvlText w:val=""/>
      <w:lvlJc w:val="left"/>
    </w:lvl>
    <w:lvl w:ilvl="8" w:tplc="7D6AE2A4">
      <w:start w:val="1"/>
      <w:numFmt w:val="bullet"/>
      <w:lvlText w:val=""/>
      <w:lvlJc w:val="left"/>
    </w:lvl>
  </w:abstractNum>
  <w:abstractNum w:abstractNumId="21" w15:restartNumberingAfterBreak="0">
    <w:nsid w:val="00000016"/>
    <w:multiLevelType w:val="hybridMultilevel"/>
    <w:tmpl w:val="189A769A"/>
    <w:lvl w:ilvl="0" w:tplc="ADBEFFE4">
      <w:start w:val="14"/>
      <w:numFmt w:val="decimal"/>
      <w:lvlText w:val="%1."/>
      <w:lvlJc w:val="left"/>
    </w:lvl>
    <w:lvl w:ilvl="1" w:tplc="96BA0AC2">
      <w:start w:val="1"/>
      <w:numFmt w:val="bullet"/>
      <w:lvlText w:val=""/>
      <w:lvlJc w:val="left"/>
    </w:lvl>
    <w:lvl w:ilvl="2" w:tplc="2C5291EE">
      <w:start w:val="1"/>
      <w:numFmt w:val="bullet"/>
      <w:lvlText w:val=""/>
      <w:lvlJc w:val="left"/>
    </w:lvl>
    <w:lvl w:ilvl="3" w:tplc="D99E0E5A">
      <w:start w:val="1"/>
      <w:numFmt w:val="bullet"/>
      <w:lvlText w:val=""/>
      <w:lvlJc w:val="left"/>
    </w:lvl>
    <w:lvl w:ilvl="4" w:tplc="14E88660">
      <w:start w:val="1"/>
      <w:numFmt w:val="bullet"/>
      <w:lvlText w:val=""/>
      <w:lvlJc w:val="left"/>
    </w:lvl>
    <w:lvl w:ilvl="5" w:tplc="87F2E354">
      <w:start w:val="1"/>
      <w:numFmt w:val="bullet"/>
      <w:lvlText w:val=""/>
      <w:lvlJc w:val="left"/>
    </w:lvl>
    <w:lvl w:ilvl="6" w:tplc="AC442940">
      <w:start w:val="1"/>
      <w:numFmt w:val="bullet"/>
      <w:lvlText w:val=""/>
      <w:lvlJc w:val="left"/>
    </w:lvl>
    <w:lvl w:ilvl="7" w:tplc="CAFCBC38">
      <w:start w:val="1"/>
      <w:numFmt w:val="bullet"/>
      <w:lvlText w:val=""/>
      <w:lvlJc w:val="left"/>
    </w:lvl>
    <w:lvl w:ilvl="8" w:tplc="59AEFD9E">
      <w:start w:val="1"/>
      <w:numFmt w:val="bullet"/>
      <w:lvlText w:val=""/>
      <w:lvlJc w:val="left"/>
    </w:lvl>
  </w:abstractNum>
  <w:abstractNum w:abstractNumId="22" w15:restartNumberingAfterBreak="0">
    <w:nsid w:val="00000017"/>
    <w:multiLevelType w:val="hybridMultilevel"/>
    <w:tmpl w:val="54E49EB4"/>
    <w:lvl w:ilvl="0" w:tplc="384630C6">
      <w:start w:val="15"/>
      <w:numFmt w:val="decimal"/>
      <w:lvlText w:val="%1."/>
      <w:lvlJc w:val="left"/>
    </w:lvl>
    <w:lvl w:ilvl="1" w:tplc="860273DE">
      <w:start w:val="1"/>
      <w:numFmt w:val="bullet"/>
      <w:lvlText w:val=""/>
      <w:lvlJc w:val="left"/>
    </w:lvl>
    <w:lvl w:ilvl="2" w:tplc="89505712">
      <w:start w:val="1"/>
      <w:numFmt w:val="bullet"/>
      <w:lvlText w:val=""/>
      <w:lvlJc w:val="left"/>
    </w:lvl>
    <w:lvl w:ilvl="3" w:tplc="CF42AE8E">
      <w:start w:val="1"/>
      <w:numFmt w:val="bullet"/>
      <w:lvlText w:val=""/>
      <w:lvlJc w:val="left"/>
    </w:lvl>
    <w:lvl w:ilvl="4" w:tplc="F7AE6B16">
      <w:start w:val="1"/>
      <w:numFmt w:val="bullet"/>
      <w:lvlText w:val=""/>
      <w:lvlJc w:val="left"/>
    </w:lvl>
    <w:lvl w:ilvl="5" w:tplc="B49A225C">
      <w:start w:val="1"/>
      <w:numFmt w:val="bullet"/>
      <w:lvlText w:val=""/>
      <w:lvlJc w:val="left"/>
    </w:lvl>
    <w:lvl w:ilvl="6" w:tplc="8632CAF2">
      <w:start w:val="1"/>
      <w:numFmt w:val="bullet"/>
      <w:lvlText w:val=""/>
      <w:lvlJc w:val="left"/>
    </w:lvl>
    <w:lvl w:ilvl="7" w:tplc="5060D006">
      <w:start w:val="1"/>
      <w:numFmt w:val="bullet"/>
      <w:lvlText w:val=""/>
      <w:lvlJc w:val="left"/>
    </w:lvl>
    <w:lvl w:ilvl="8" w:tplc="F9C6B49E">
      <w:start w:val="1"/>
      <w:numFmt w:val="bullet"/>
      <w:lvlText w:val=""/>
      <w:lvlJc w:val="left"/>
    </w:lvl>
  </w:abstractNum>
  <w:abstractNum w:abstractNumId="23" w15:restartNumberingAfterBreak="0">
    <w:nsid w:val="00000018"/>
    <w:multiLevelType w:val="hybridMultilevel"/>
    <w:tmpl w:val="71F32454"/>
    <w:lvl w:ilvl="0" w:tplc="43966028">
      <w:start w:val="16"/>
      <w:numFmt w:val="decimal"/>
      <w:lvlText w:val="%1."/>
      <w:lvlJc w:val="left"/>
    </w:lvl>
    <w:lvl w:ilvl="1" w:tplc="451EE3DA">
      <w:start w:val="1"/>
      <w:numFmt w:val="bullet"/>
      <w:lvlText w:val=""/>
      <w:lvlJc w:val="left"/>
    </w:lvl>
    <w:lvl w:ilvl="2" w:tplc="E190D3E2">
      <w:start w:val="1"/>
      <w:numFmt w:val="bullet"/>
      <w:lvlText w:val=""/>
      <w:lvlJc w:val="left"/>
    </w:lvl>
    <w:lvl w:ilvl="3" w:tplc="1D70A37E">
      <w:start w:val="1"/>
      <w:numFmt w:val="bullet"/>
      <w:lvlText w:val=""/>
      <w:lvlJc w:val="left"/>
    </w:lvl>
    <w:lvl w:ilvl="4" w:tplc="8E20DF7E">
      <w:start w:val="1"/>
      <w:numFmt w:val="bullet"/>
      <w:lvlText w:val=""/>
      <w:lvlJc w:val="left"/>
    </w:lvl>
    <w:lvl w:ilvl="5" w:tplc="94E0C50A">
      <w:start w:val="1"/>
      <w:numFmt w:val="bullet"/>
      <w:lvlText w:val=""/>
      <w:lvlJc w:val="left"/>
    </w:lvl>
    <w:lvl w:ilvl="6" w:tplc="A0E6169E">
      <w:start w:val="1"/>
      <w:numFmt w:val="bullet"/>
      <w:lvlText w:val=""/>
      <w:lvlJc w:val="left"/>
    </w:lvl>
    <w:lvl w:ilvl="7" w:tplc="FF002FB4">
      <w:start w:val="1"/>
      <w:numFmt w:val="bullet"/>
      <w:lvlText w:val=""/>
      <w:lvlJc w:val="left"/>
    </w:lvl>
    <w:lvl w:ilvl="8" w:tplc="9D1E044C">
      <w:start w:val="1"/>
      <w:numFmt w:val="bullet"/>
      <w:lvlText w:val=""/>
      <w:lvlJc w:val="left"/>
    </w:lvl>
  </w:abstractNum>
  <w:abstractNum w:abstractNumId="24" w15:restartNumberingAfterBreak="0">
    <w:nsid w:val="00000019"/>
    <w:multiLevelType w:val="hybridMultilevel"/>
    <w:tmpl w:val="2CA88610"/>
    <w:lvl w:ilvl="0" w:tplc="8EDC1C5A">
      <w:start w:val="17"/>
      <w:numFmt w:val="decimal"/>
      <w:lvlText w:val="%1."/>
      <w:lvlJc w:val="left"/>
    </w:lvl>
    <w:lvl w:ilvl="1" w:tplc="3148EC44">
      <w:start w:val="1"/>
      <w:numFmt w:val="bullet"/>
      <w:lvlText w:val=""/>
      <w:lvlJc w:val="left"/>
    </w:lvl>
    <w:lvl w:ilvl="2" w:tplc="814C9DF8">
      <w:start w:val="1"/>
      <w:numFmt w:val="bullet"/>
      <w:lvlText w:val=""/>
      <w:lvlJc w:val="left"/>
    </w:lvl>
    <w:lvl w:ilvl="3" w:tplc="B1742748">
      <w:start w:val="1"/>
      <w:numFmt w:val="bullet"/>
      <w:lvlText w:val=""/>
      <w:lvlJc w:val="left"/>
    </w:lvl>
    <w:lvl w:ilvl="4" w:tplc="79A05FA4">
      <w:start w:val="1"/>
      <w:numFmt w:val="bullet"/>
      <w:lvlText w:val=""/>
      <w:lvlJc w:val="left"/>
    </w:lvl>
    <w:lvl w:ilvl="5" w:tplc="A9DE1940">
      <w:start w:val="1"/>
      <w:numFmt w:val="bullet"/>
      <w:lvlText w:val=""/>
      <w:lvlJc w:val="left"/>
    </w:lvl>
    <w:lvl w:ilvl="6" w:tplc="1D989604">
      <w:start w:val="1"/>
      <w:numFmt w:val="bullet"/>
      <w:lvlText w:val=""/>
      <w:lvlJc w:val="left"/>
    </w:lvl>
    <w:lvl w:ilvl="7" w:tplc="938872A8">
      <w:start w:val="1"/>
      <w:numFmt w:val="bullet"/>
      <w:lvlText w:val=""/>
      <w:lvlJc w:val="left"/>
    </w:lvl>
    <w:lvl w:ilvl="8" w:tplc="11066CD0">
      <w:start w:val="1"/>
      <w:numFmt w:val="bullet"/>
      <w:lvlText w:val=""/>
      <w:lvlJc w:val="left"/>
    </w:lvl>
  </w:abstractNum>
  <w:abstractNum w:abstractNumId="25" w15:restartNumberingAfterBreak="0">
    <w:nsid w:val="0000001A"/>
    <w:multiLevelType w:val="hybridMultilevel"/>
    <w:tmpl w:val="0836C40E"/>
    <w:lvl w:ilvl="0" w:tplc="3F9EF63E">
      <w:start w:val="18"/>
      <w:numFmt w:val="decimal"/>
      <w:lvlText w:val="%1."/>
      <w:lvlJc w:val="left"/>
    </w:lvl>
    <w:lvl w:ilvl="1" w:tplc="51BABC02">
      <w:start w:val="1"/>
      <w:numFmt w:val="bullet"/>
      <w:lvlText w:val=""/>
      <w:lvlJc w:val="left"/>
    </w:lvl>
    <w:lvl w:ilvl="2" w:tplc="53E017EC">
      <w:start w:val="1"/>
      <w:numFmt w:val="bullet"/>
      <w:lvlText w:val=""/>
      <w:lvlJc w:val="left"/>
    </w:lvl>
    <w:lvl w:ilvl="3" w:tplc="1D4435DC">
      <w:start w:val="1"/>
      <w:numFmt w:val="bullet"/>
      <w:lvlText w:val=""/>
      <w:lvlJc w:val="left"/>
    </w:lvl>
    <w:lvl w:ilvl="4" w:tplc="AE100736">
      <w:start w:val="1"/>
      <w:numFmt w:val="bullet"/>
      <w:lvlText w:val=""/>
      <w:lvlJc w:val="left"/>
    </w:lvl>
    <w:lvl w:ilvl="5" w:tplc="FDBEFB12">
      <w:start w:val="1"/>
      <w:numFmt w:val="bullet"/>
      <w:lvlText w:val=""/>
      <w:lvlJc w:val="left"/>
    </w:lvl>
    <w:lvl w:ilvl="6" w:tplc="9F700148">
      <w:start w:val="1"/>
      <w:numFmt w:val="bullet"/>
      <w:lvlText w:val=""/>
      <w:lvlJc w:val="left"/>
    </w:lvl>
    <w:lvl w:ilvl="7" w:tplc="7E9212CE">
      <w:start w:val="1"/>
      <w:numFmt w:val="bullet"/>
      <w:lvlText w:val=""/>
      <w:lvlJc w:val="left"/>
    </w:lvl>
    <w:lvl w:ilvl="8" w:tplc="BC988CB8">
      <w:start w:val="1"/>
      <w:numFmt w:val="bullet"/>
      <w:lvlText w:val=""/>
      <w:lvlJc w:val="left"/>
    </w:lvl>
  </w:abstractNum>
  <w:abstractNum w:abstractNumId="26" w15:restartNumberingAfterBreak="0">
    <w:nsid w:val="0000001B"/>
    <w:multiLevelType w:val="hybridMultilevel"/>
    <w:tmpl w:val="02901D82"/>
    <w:lvl w:ilvl="0" w:tplc="66F895A8">
      <w:start w:val="20"/>
      <w:numFmt w:val="decimal"/>
      <w:lvlText w:val="%1."/>
      <w:lvlJc w:val="left"/>
    </w:lvl>
    <w:lvl w:ilvl="1" w:tplc="EA8810F4">
      <w:start w:val="1"/>
      <w:numFmt w:val="bullet"/>
      <w:lvlText w:val=""/>
      <w:lvlJc w:val="left"/>
    </w:lvl>
    <w:lvl w:ilvl="2" w:tplc="A490D612">
      <w:start w:val="1"/>
      <w:numFmt w:val="bullet"/>
      <w:lvlText w:val=""/>
      <w:lvlJc w:val="left"/>
    </w:lvl>
    <w:lvl w:ilvl="3" w:tplc="FDBCB96E">
      <w:start w:val="1"/>
      <w:numFmt w:val="bullet"/>
      <w:lvlText w:val=""/>
      <w:lvlJc w:val="left"/>
    </w:lvl>
    <w:lvl w:ilvl="4" w:tplc="332C8D50">
      <w:start w:val="1"/>
      <w:numFmt w:val="bullet"/>
      <w:lvlText w:val=""/>
      <w:lvlJc w:val="left"/>
    </w:lvl>
    <w:lvl w:ilvl="5" w:tplc="B52A8420">
      <w:start w:val="1"/>
      <w:numFmt w:val="bullet"/>
      <w:lvlText w:val=""/>
      <w:lvlJc w:val="left"/>
    </w:lvl>
    <w:lvl w:ilvl="6" w:tplc="63AA0D5C">
      <w:start w:val="1"/>
      <w:numFmt w:val="bullet"/>
      <w:lvlText w:val=""/>
      <w:lvlJc w:val="left"/>
    </w:lvl>
    <w:lvl w:ilvl="7" w:tplc="F9CCAD48">
      <w:start w:val="1"/>
      <w:numFmt w:val="bullet"/>
      <w:lvlText w:val=""/>
      <w:lvlJc w:val="left"/>
    </w:lvl>
    <w:lvl w:ilvl="8" w:tplc="1E5E6E28">
      <w:start w:val="1"/>
      <w:numFmt w:val="bullet"/>
      <w:lvlText w:val=""/>
      <w:lvlJc w:val="left"/>
    </w:lvl>
  </w:abstractNum>
  <w:abstractNum w:abstractNumId="27" w15:restartNumberingAfterBreak="0">
    <w:nsid w:val="0000001C"/>
    <w:multiLevelType w:val="hybridMultilevel"/>
    <w:tmpl w:val="3A95F874"/>
    <w:lvl w:ilvl="0" w:tplc="49B89960">
      <w:start w:val="24"/>
      <w:numFmt w:val="decimal"/>
      <w:lvlText w:val="%1."/>
      <w:lvlJc w:val="left"/>
    </w:lvl>
    <w:lvl w:ilvl="1" w:tplc="63A0777C">
      <w:start w:val="1"/>
      <w:numFmt w:val="bullet"/>
      <w:lvlText w:val=""/>
      <w:lvlJc w:val="left"/>
    </w:lvl>
    <w:lvl w:ilvl="2" w:tplc="37D40706">
      <w:start w:val="1"/>
      <w:numFmt w:val="bullet"/>
      <w:lvlText w:val=""/>
      <w:lvlJc w:val="left"/>
    </w:lvl>
    <w:lvl w:ilvl="3" w:tplc="D77AEDC8">
      <w:start w:val="1"/>
      <w:numFmt w:val="bullet"/>
      <w:lvlText w:val=""/>
      <w:lvlJc w:val="left"/>
    </w:lvl>
    <w:lvl w:ilvl="4" w:tplc="D1D6AE60">
      <w:start w:val="1"/>
      <w:numFmt w:val="bullet"/>
      <w:lvlText w:val=""/>
      <w:lvlJc w:val="left"/>
    </w:lvl>
    <w:lvl w:ilvl="5" w:tplc="2646D34C">
      <w:start w:val="1"/>
      <w:numFmt w:val="bullet"/>
      <w:lvlText w:val=""/>
      <w:lvlJc w:val="left"/>
    </w:lvl>
    <w:lvl w:ilvl="6" w:tplc="97261B3C">
      <w:start w:val="1"/>
      <w:numFmt w:val="bullet"/>
      <w:lvlText w:val=""/>
      <w:lvlJc w:val="left"/>
    </w:lvl>
    <w:lvl w:ilvl="7" w:tplc="300E0B70">
      <w:start w:val="1"/>
      <w:numFmt w:val="bullet"/>
      <w:lvlText w:val=""/>
      <w:lvlJc w:val="left"/>
    </w:lvl>
    <w:lvl w:ilvl="8" w:tplc="38D4920E">
      <w:start w:val="1"/>
      <w:numFmt w:val="bullet"/>
      <w:lvlText w:val=""/>
      <w:lvlJc w:val="left"/>
    </w:lvl>
  </w:abstractNum>
  <w:abstractNum w:abstractNumId="28" w15:restartNumberingAfterBreak="0">
    <w:nsid w:val="0000001D"/>
    <w:multiLevelType w:val="hybridMultilevel"/>
    <w:tmpl w:val="08138640"/>
    <w:lvl w:ilvl="0" w:tplc="7370EB0A">
      <w:start w:val="1"/>
      <w:numFmt w:val="decimal"/>
      <w:lvlText w:val="%1."/>
      <w:lvlJc w:val="left"/>
    </w:lvl>
    <w:lvl w:ilvl="1" w:tplc="92AC3EE8">
      <w:start w:val="1"/>
      <w:numFmt w:val="bullet"/>
      <w:lvlText w:val=""/>
      <w:lvlJc w:val="left"/>
    </w:lvl>
    <w:lvl w:ilvl="2" w:tplc="A12225A8">
      <w:start w:val="1"/>
      <w:numFmt w:val="bullet"/>
      <w:lvlText w:val=""/>
      <w:lvlJc w:val="left"/>
    </w:lvl>
    <w:lvl w:ilvl="3" w:tplc="144ABD4C">
      <w:start w:val="1"/>
      <w:numFmt w:val="bullet"/>
      <w:lvlText w:val=""/>
      <w:lvlJc w:val="left"/>
    </w:lvl>
    <w:lvl w:ilvl="4" w:tplc="986E50CA">
      <w:start w:val="1"/>
      <w:numFmt w:val="bullet"/>
      <w:lvlText w:val=""/>
      <w:lvlJc w:val="left"/>
    </w:lvl>
    <w:lvl w:ilvl="5" w:tplc="C9568698">
      <w:start w:val="1"/>
      <w:numFmt w:val="bullet"/>
      <w:lvlText w:val=""/>
      <w:lvlJc w:val="left"/>
    </w:lvl>
    <w:lvl w:ilvl="6" w:tplc="199E1B08">
      <w:start w:val="1"/>
      <w:numFmt w:val="bullet"/>
      <w:lvlText w:val=""/>
      <w:lvlJc w:val="left"/>
    </w:lvl>
    <w:lvl w:ilvl="7" w:tplc="79EA875C">
      <w:start w:val="1"/>
      <w:numFmt w:val="bullet"/>
      <w:lvlText w:val=""/>
      <w:lvlJc w:val="left"/>
    </w:lvl>
    <w:lvl w:ilvl="8" w:tplc="47C8427A">
      <w:start w:val="1"/>
      <w:numFmt w:val="bullet"/>
      <w:lvlText w:val=""/>
      <w:lvlJc w:val="left"/>
    </w:lvl>
  </w:abstractNum>
  <w:abstractNum w:abstractNumId="29" w15:restartNumberingAfterBreak="0">
    <w:nsid w:val="0000001E"/>
    <w:multiLevelType w:val="hybridMultilevel"/>
    <w:tmpl w:val="1E7FF520"/>
    <w:lvl w:ilvl="0" w:tplc="4EB6219A">
      <w:start w:val="2"/>
      <w:numFmt w:val="decimal"/>
      <w:lvlText w:val="%1."/>
      <w:lvlJc w:val="left"/>
    </w:lvl>
    <w:lvl w:ilvl="1" w:tplc="614884EC">
      <w:start w:val="1"/>
      <w:numFmt w:val="bullet"/>
      <w:lvlText w:val=""/>
      <w:lvlJc w:val="left"/>
    </w:lvl>
    <w:lvl w:ilvl="2" w:tplc="F9A23E80">
      <w:start w:val="1"/>
      <w:numFmt w:val="bullet"/>
      <w:lvlText w:val=""/>
      <w:lvlJc w:val="left"/>
    </w:lvl>
    <w:lvl w:ilvl="3" w:tplc="44362B8C">
      <w:start w:val="1"/>
      <w:numFmt w:val="bullet"/>
      <w:lvlText w:val=""/>
      <w:lvlJc w:val="left"/>
    </w:lvl>
    <w:lvl w:ilvl="4" w:tplc="E390B9B2">
      <w:start w:val="1"/>
      <w:numFmt w:val="bullet"/>
      <w:lvlText w:val=""/>
      <w:lvlJc w:val="left"/>
    </w:lvl>
    <w:lvl w:ilvl="5" w:tplc="5BA4151A">
      <w:start w:val="1"/>
      <w:numFmt w:val="bullet"/>
      <w:lvlText w:val=""/>
      <w:lvlJc w:val="left"/>
    </w:lvl>
    <w:lvl w:ilvl="6" w:tplc="FA669DC4">
      <w:start w:val="1"/>
      <w:numFmt w:val="bullet"/>
      <w:lvlText w:val=""/>
      <w:lvlJc w:val="left"/>
    </w:lvl>
    <w:lvl w:ilvl="7" w:tplc="E5FED86C">
      <w:start w:val="1"/>
      <w:numFmt w:val="bullet"/>
      <w:lvlText w:val=""/>
      <w:lvlJc w:val="left"/>
    </w:lvl>
    <w:lvl w:ilvl="8" w:tplc="39246BC0">
      <w:start w:val="1"/>
      <w:numFmt w:val="bullet"/>
      <w:lvlText w:val=""/>
      <w:lvlJc w:val="left"/>
    </w:lvl>
  </w:abstractNum>
  <w:abstractNum w:abstractNumId="30" w15:restartNumberingAfterBreak="0">
    <w:nsid w:val="0000001F"/>
    <w:multiLevelType w:val="hybridMultilevel"/>
    <w:tmpl w:val="7C3DBD3C"/>
    <w:lvl w:ilvl="0" w:tplc="D31C7320">
      <w:start w:val="3"/>
      <w:numFmt w:val="decimal"/>
      <w:lvlText w:val="%1."/>
      <w:lvlJc w:val="left"/>
    </w:lvl>
    <w:lvl w:ilvl="1" w:tplc="1B947076">
      <w:start w:val="1"/>
      <w:numFmt w:val="bullet"/>
      <w:lvlText w:val=""/>
      <w:lvlJc w:val="left"/>
    </w:lvl>
    <w:lvl w:ilvl="2" w:tplc="C882C90C">
      <w:start w:val="1"/>
      <w:numFmt w:val="bullet"/>
      <w:lvlText w:val=""/>
      <w:lvlJc w:val="left"/>
    </w:lvl>
    <w:lvl w:ilvl="3" w:tplc="5A9689B4">
      <w:start w:val="1"/>
      <w:numFmt w:val="bullet"/>
      <w:lvlText w:val=""/>
      <w:lvlJc w:val="left"/>
    </w:lvl>
    <w:lvl w:ilvl="4" w:tplc="55C243D4">
      <w:start w:val="1"/>
      <w:numFmt w:val="bullet"/>
      <w:lvlText w:val=""/>
      <w:lvlJc w:val="left"/>
    </w:lvl>
    <w:lvl w:ilvl="5" w:tplc="B270FD4E">
      <w:start w:val="1"/>
      <w:numFmt w:val="bullet"/>
      <w:lvlText w:val=""/>
      <w:lvlJc w:val="left"/>
    </w:lvl>
    <w:lvl w:ilvl="6" w:tplc="459A9F1E">
      <w:start w:val="1"/>
      <w:numFmt w:val="bullet"/>
      <w:lvlText w:val=""/>
      <w:lvlJc w:val="left"/>
    </w:lvl>
    <w:lvl w:ilvl="7" w:tplc="B3A2DE06">
      <w:start w:val="1"/>
      <w:numFmt w:val="bullet"/>
      <w:lvlText w:val=""/>
      <w:lvlJc w:val="left"/>
    </w:lvl>
    <w:lvl w:ilvl="8" w:tplc="1D8611F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BD"/>
    <w:rsid w:val="00155546"/>
    <w:rsid w:val="001556AB"/>
    <w:rsid w:val="001F03A0"/>
    <w:rsid w:val="002016BD"/>
    <w:rsid w:val="00580138"/>
    <w:rsid w:val="00584C5A"/>
    <w:rsid w:val="009C55E4"/>
    <w:rsid w:val="00CC1A3C"/>
    <w:rsid w:val="00DC7F1D"/>
    <w:rsid w:val="00DF4FFD"/>
    <w:rsid w:val="00E962D4"/>
    <w:rsid w:val="00F50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476A"/>
  <w15:chartTrackingRefBased/>
  <w15:docId w15:val="{85FA11EC-18A8-4CD5-9D45-147FAA52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F50A29"/>
    <w:pPr>
      <w:tabs>
        <w:tab w:val="center" w:pos="4680"/>
        <w:tab w:val="right" w:pos="9360"/>
      </w:tabs>
    </w:pPr>
  </w:style>
  <w:style w:type="character" w:customStyle="1" w:styleId="HeaderChar">
    <w:name w:val="Header Char"/>
    <w:basedOn w:val="DefaultParagraphFont"/>
    <w:link w:val="Header"/>
    <w:uiPriority w:val="99"/>
    <w:rsid w:val="00F50A29"/>
  </w:style>
  <w:style w:type="paragraph" w:styleId="Footer">
    <w:name w:val="footer"/>
    <w:basedOn w:val="Normal"/>
    <w:link w:val="FooterChar"/>
    <w:uiPriority w:val="99"/>
    <w:unhideWhenUsed/>
    <w:rsid w:val="00F50A29"/>
    <w:pPr>
      <w:tabs>
        <w:tab w:val="center" w:pos="4680"/>
        <w:tab w:val="right" w:pos="9360"/>
      </w:tabs>
    </w:pPr>
  </w:style>
  <w:style w:type="character" w:customStyle="1" w:styleId="FooterChar">
    <w:name w:val="Footer Char"/>
    <w:basedOn w:val="DefaultParagraphFont"/>
    <w:link w:val="Footer"/>
    <w:uiPriority w:val="99"/>
    <w:rsid w:val="00F5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4138</Words>
  <Characters>22081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4</cp:revision>
  <dcterms:created xsi:type="dcterms:W3CDTF">2022-08-07T23:03:00Z</dcterms:created>
  <dcterms:modified xsi:type="dcterms:W3CDTF">2022-08-23T19:28:00Z</dcterms:modified>
</cp:coreProperties>
</file>