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8630" w14:textId="55665F54" w:rsidR="001A2C0B" w:rsidRDefault="001A2C0B" w:rsidP="00C856F9">
      <w:pPr>
        <w:widowControl w:val="0"/>
        <w:autoSpaceDE w:val="0"/>
        <w:autoSpaceDN w:val="0"/>
        <w:spacing w:before="52" w:after="0" w:line="276" w:lineRule="auto"/>
        <w:ind w:left="1279" w:right="1293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6241A8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THIRD PARTY FINANCING</w:t>
      </w:r>
      <w:r w:rsidRPr="006241A8">
        <w:rPr>
          <w:rFonts w:ascii="Century Gothic" w:eastAsia="Times New Roman" w:hAnsi="Century Gothic" w:cs="Times New Roman"/>
          <w:b/>
          <w:bCs/>
          <w:color w:val="000000" w:themeColor="text1"/>
          <w:spacing w:val="-27"/>
          <w:sz w:val="36"/>
          <w:szCs w:val="36"/>
          <w:u w:val="single"/>
        </w:rPr>
        <w:t xml:space="preserve"> </w:t>
      </w:r>
      <w:r w:rsidRPr="006241A8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ADDENDUM</w:t>
      </w:r>
    </w:p>
    <w:p w14:paraId="5363EE42" w14:textId="77777777" w:rsidR="00C54074" w:rsidRPr="006241A8" w:rsidRDefault="00C54074" w:rsidP="00C856F9">
      <w:pPr>
        <w:widowControl w:val="0"/>
        <w:autoSpaceDE w:val="0"/>
        <w:autoSpaceDN w:val="0"/>
        <w:spacing w:before="52" w:after="0" w:line="276" w:lineRule="auto"/>
        <w:ind w:left="1279" w:right="1293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1CE297B6" w14:textId="1C84EB09" w:rsidR="001A2C0B" w:rsidRPr="00C856F9" w:rsidRDefault="001A2C0B" w:rsidP="00C856F9">
      <w:pPr>
        <w:widowControl w:val="0"/>
        <w:numPr>
          <w:ilvl w:val="0"/>
          <w:numId w:val="2"/>
        </w:numPr>
        <w:tabs>
          <w:tab w:val="left" w:pos="390"/>
          <w:tab w:val="left" w:pos="9508"/>
        </w:tabs>
        <w:autoSpaceDE w:val="0"/>
        <w:autoSpaceDN w:val="0"/>
        <w:spacing w:after="0" w:line="276" w:lineRule="auto"/>
        <w:ind w:right="119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6241A8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THE PARTIES</w:t>
      </w:r>
    </w:p>
    <w:p w14:paraId="32397D6E" w14:textId="77777777" w:rsidR="00C856F9" w:rsidRPr="00C856F9" w:rsidRDefault="00C856F9" w:rsidP="00C856F9">
      <w:pPr>
        <w:widowControl w:val="0"/>
        <w:tabs>
          <w:tab w:val="left" w:pos="390"/>
          <w:tab w:val="left" w:pos="9508"/>
        </w:tabs>
        <w:autoSpaceDE w:val="0"/>
        <w:autoSpaceDN w:val="0"/>
        <w:spacing w:after="0" w:line="276" w:lineRule="auto"/>
        <w:ind w:left="100" w:right="119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BE2E467" w14:textId="10F528F8" w:rsidR="001A2C0B" w:rsidRPr="006241A8" w:rsidRDefault="001A2C0B" w:rsidP="00C856F9">
      <w:pPr>
        <w:widowControl w:val="0"/>
        <w:tabs>
          <w:tab w:val="left" w:pos="390"/>
          <w:tab w:val="left" w:pos="9508"/>
        </w:tabs>
        <w:autoSpaceDE w:val="0"/>
        <w:autoSpaceDN w:val="0"/>
        <w:spacing w:after="0" w:line="276" w:lineRule="auto"/>
        <w:ind w:left="100" w:right="119"/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This </w:t>
      </w:r>
      <w:r w:rsidRPr="006241A8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 xml:space="preserve">Third Party Financing Addendum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(hereinafter referred to as 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“Addendum”)</w:t>
      </w:r>
      <w:r w:rsidRPr="006241A8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is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made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part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purchase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contract</w:t>
      </w:r>
      <w:r w:rsidRPr="006241A8">
        <w:rPr>
          <w:rFonts w:ascii="Century Gothic" w:eastAsia="Times New Roman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dated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_________________________________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(hereinafter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referred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</w:t>
      </w:r>
      <w:r w:rsidRPr="006241A8">
        <w:rPr>
          <w:rFonts w:ascii="Century Gothic" w:eastAsia="Times New Roman" w:hAnsi="Century Gothic" w:cs="Times New Roman"/>
          <w:color w:val="000000" w:themeColor="text1"/>
          <w:spacing w:val="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 “Agreement”)</w:t>
      </w:r>
      <w:r w:rsidRPr="006241A8">
        <w:rPr>
          <w:rFonts w:ascii="Century Gothic" w:eastAsia="Times New Roman" w:hAnsi="Century Gothic" w:cs="Times New Roman"/>
          <w:color w:val="000000" w:themeColor="text1"/>
          <w:spacing w:val="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between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4"/>
          <w:sz w:val="24"/>
          <w:szCs w:val="24"/>
        </w:rPr>
        <w:t>__________________________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(hereinafter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3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referred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1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1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</w:t>
      </w:r>
      <w:r w:rsidRPr="006241A8">
        <w:rPr>
          <w:rFonts w:ascii="Century Gothic" w:eastAsia="Times New Roman" w:hAnsi="Century Gothic" w:cs="Times New Roman"/>
          <w:color w:val="000000" w:themeColor="text1"/>
          <w:spacing w:val="1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“Buyer”)</w:t>
      </w:r>
      <w:r w:rsidRPr="006241A8">
        <w:rPr>
          <w:rFonts w:ascii="Century Gothic" w:eastAsia="Times New Roman" w:hAnsi="Century Gothic" w:cs="Times New Roman"/>
          <w:color w:val="000000" w:themeColor="text1"/>
          <w:spacing w:val="1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and_______________________________________ (hereinafter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referred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“Seller”)</w:t>
      </w:r>
      <w:r w:rsidRPr="006241A8">
        <w:rPr>
          <w:rFonts w:ascii="Century Gothic" w:eastAsia="Times New Roman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property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located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at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___________________</w:t>
      </w:r>
    </w:p>
    <w:p w14:paraId="0A61219B" w14:textId="56E46381" w:rsidR="001A2C0B" w:rsidRPr="006241A8" w:rsidRDefault="001A2C0B" w:rsidP="00C856F9">
      <w:pPr>
        <w:widowControl w:val="0"/>
        <w:tabs>
          <w:tab w:val="left" w:pos="4579"/>
        </w:tabs>
        <w:autoSpaceDE w:val="0"/>
        <w:autoSpaceDN w:val="0"/>
        <w:spacing w:before="6" w:after="0"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__________________________________________</w:t>
      </w:r>
      <w:proofErr w:type="gramStart"/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_(</w:t>
      </w:r>
      <w:proofErr w:type="gramEnd"/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hereinafter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referred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“Property”).</w:t>
      </w:r>
    </w:p>
    <w:p w14:paraId="4B52F726" w14:textId="77777777" w:rsidR="001A2C0B" w:rsidRPr="006241A8" w:rsidRDefault="001A2C0B" w:rsidP="00C856F9">
      <w:pPr>
        <w:widowControl w:val="0"/>
        <w:autoSpaceDE w:val="0"/>
        <w:autoSpaceDN w:val="0"/>
        <w:spacing w:before="3"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1A9EC1D3" w14:textId="7B6C2F56" w:rsidR="001A2C0B" w:rsidRPr="00C856F9" w:rsidRDefault="001A2C0B" w:rsidP="00C856F9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after="0" w:line="276" w:lineRule="auto"/>
        <w:ind w:right="181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6241A8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FINANCING</w:t>
      </w:r>
    </w:p>
    <w:p w14:paraId="0060E909" w14:textId="77777777" w:rsidR="00C856F9" w:rsidRPr="00C856F9" w:rsidRDefault="00C856F9" w:rsidP="00C856F9">
      <w:pPr>
        <w:widowControl w:val="0"/>
        <w:tabs>
          <w:tab w:val="left" w:pos="390"/>
        </w:tabs>
        <w:autoSpaceDE w:val="0"/>
        <w:autoSpaceDN w:val="0"/>
        <w:spacing w:after="0" w:line="276" w:lineRule="auto"/>
        <w:ind w:left="100" w:right="181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8E03D5A" w14:textId="734E36F1" w:rsidR="001A2C0B" w:rsidRPr="006241A8" w:rsidRDefault="001A2C0B" w:rsidP="00C856F9">
      <w:pPr>
        <w:widowControl w:val="0"/>
        <w:tabs>
          <w:tab w:val="left" w:pos="390"/>
        </w:tabs>
        <w:autoSpaceDE w:val="0"/>
        <w:autoSpaceDN w:val="0"/>
        <w:spacing w:after="0" w:line="276" w:lineRule="auto"/>
        <w:ind w:left="100" w:right="181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Type of financing and duty to apply and obtain approval: the Buyer shall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apply promptly for the financing described below and make every reasonable effort 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obtain approval for the financing, including but not limited to furnishing all information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documents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required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by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lender.</w:t>
      </w:r>
    </w:p>
    <w:p w14:paraId="5D9E89A6" w14:textId="77777777" w:rsidR="001A2C0B" w:rsidRPr="006241A8" w:rsidRDefault="001A2C0B" w:rsidP="00C856F9">
      <w:pPr>
        <w:widowControl w:val="0"/>
        <w:autoSpaceDE w:val="0"/>
        <w:autoSpaceDN w:val="0"/>
        <w:spacing w:before="200" w:after="0" w:line="276" w:lineRule="auto"/>
        <w:ind w:left="100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Choose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one:</w:t>
      </w:r>
    </w:p>
    <w:p w14:paraId="26138AFC" w14:textId="77777777" w:rsidR="001A2C0B" w:rsidRPr="006241A8" w:rsidRDefault="001A2C0B" w:rsidP="00C856F9">
      <w:pPr>
        <w:widowControl w:val="0"/>
        <w:autoSpaceDE w:val="0"/>
        <w:autoSpaceDN w:val="0"/>
        <w:spacing w:before="9"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6C7ABAE" w14:textId="5EB5CC3B" w:rsidR="001A2C0B" w:rsidRPr="00DD0CAB" w:rsidRDefault="001A2C0B" w:rsidP="00DD0CA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36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DD0CAB">
        <w:rPr>
          <w:rFonts w:ascii="Century Gothic" w:hAnsi="Century Gothic"/>
          <w:b/>
          <w:bCs/>
          <w:sz w:val="24"/>
          <w:szCs w:val="24"/>
        </w:rPr>
        <w:t>Conventional Financing. (Choose the type of Mortgage Loan)</w:t>
      </w:r>
    </w:p>
    <w:p w14:paraId="45120CA6" w14:textId="77777777" w:rsidR="001A2C0B" w:rsidRPr="006241A8" w:rsidRDefault="001A2C0B" w:rsidP="00DD0CAB">
      <w:pPr>
        <w:widowControl w:val="0"/>
        <w:autoSpaceDE w:val="0"/>
        <w:autoSpaceDN w:val="0"/>
        <w:spacing w:after="0" w:line="276" w:lineRule="auto"/>
        <w:ind w:left="360" w:hanging="36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07C1F5C" w14:textId="77777777" w:rsidR="001A2C0B" w:rsidRPr="006241A8" w:rsidRDefault="001A2C0B" w:rsidP="00DD0CAB">
      <w:pPr>
        <w:widowControl w:val="0"/>
        <w:tabs>
          <w:tab w:val="left" w:pos="1540"/>
          <w:tab w:val="left" w:pos="8781"/>
          <w:tab w:val="left" w:pos="9511"/>
        </w:tabs>
        <w:autoSpaceDE w:val="0"/>
        <w:autoSpaceDN w:val="0"/>
        <w:spacing w:after="0" w:line="276" w:lineRule="auto"/>
        <w:ind w:left="360" w:right="122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First</w:t>
      </w:r>
      <w:r w:rsidRPr="006241A8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Mortgage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principal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amount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2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$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(excluding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any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financed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PMI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premium),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due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full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in  </w:t>
      </w:r>
      <w:r w:rsidRPr="006241A8">
        <w:rPr>
          <w:rFonts w:ascii="Century Gothic" w:eastAsia="Times New Roman" w:hAnsi="Century Gothic" w:cs="Times New Roman"/>
          <w:color w:val="000000" w:themeColor="text1"/>
          <w:spacing w:val="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[Months/Years],</w:t>
      </w:r>
      <w:r w:rsidRPr="006241A8">
        <w:rPr>
          <w:rFonts w:ascii="Century Gothic" w:eastAsia="Times New Roman" w:hAnsi="Century Gothic" w:cs="Times New Roman"/>
          <w:color w:val="000000" w:themeColor="text1"/>
          <w:spacing w:val="6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6241A8">
        <w:rPr>
          <w:rFonts w:ascii="Century Gothic" w:eastAsia="Times New Roman" w:hAnsi="Century Gothic" w:cs="Times New Roman"/>
          <w:color w:val="000000" w:themeColor="text1"/>
          <w:spacing w:val="5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</w:t>
      </w:r>
      <w:r w:rsidRPr="006241A8">
        <w:rPr>
          <w:rFonts w:ascii="Century Gothic" w:eastAsia="Times New Roman" w:hAnsi="Century Gothic" w:cs="Times New Roman"/>
          <w:color w:val="000000" w:themeColor="text1"/>
          <w:spacing w:val="5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interest</w:t>
      </w:r>
      <w:r w:rsidRPr="006241A8">
        <w:rPr>
          <w:rFonts w:ascii="Century Gothic" w:eastAsia="Times New Roman" w:hAnsi="Century Gothic" w:cs="Times New Roman"/>
          <w:color w:val="000000" w:themeColor="text1"/>
          <w:spacing w:val="5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rate</w:t>
      </w:r>
      <w:r w:rsidRPr="006241A8">
        <w:rPr>
          <w:rFonts w:ascii="Century Gothic" w:eastAsia="Times New Roman" w:hAnsi="Century Gothic" w:cs="Times New Roman"/>
          <w:color w:val="000000" w:themeColor="text1"/>
          <w:spacing w:val="5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(%)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6241A8">
        <w:rPr>
          <w:rFonts w:ascii="Century Gothic" w:eastAsia="Times New Roman" w:hAnsi="Century Gothic" w:cs="Times New Roman"/>
          <w:color w:val="000000" w:themeColor="text1"/>
          <w:spacing w:val="5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5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6241A8">
        <w:rPr>
          <w:rFonts w:ascii="Century Gothic" w:eastAsia="Times New Roman" w:hAnsi="Century Gothic" w:cs="Times New Roman"/>
          <w:color w:val="000000" w:themeColor="text1"/>
          <w:spacing w:val="5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</w:t>
      </w:r>
    </w:p>
    <w:p w14:paraId="14CBEB36" w14:textId="77777777" w:rsidR="001A2C0B" w:rsidRPr="00DD0CAB" w:rsidRDefault="001A2C0B" w:rsidP="00DD0CAB">
      <w:pPr>
        <w:pStyle w:val="ListParagraph"/>
        <w:widowControl w:val="0"/>
        <w:tabs>
          <w:tab w:val="left" w:pos="5505"/>
        </w:tabs>
        <w:autoSpaceDE w:val="0"/>
        <w:autoSpaceDN w:val="0"/>
        <w:spacing w:before="4" w:after="0" w:line="276" w:lineRule="auto"/>
        <w:ind w:left="36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annum   for   the   initial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[Months/Years]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</w:p>
    <w:p w14:paraId="6E0B2179" w14:textId="77777777" w:rsidR="001A2C0B" w:rsidRPr="00DD0CAB" w:rsidRDefault="001A2C0B" w:rsidP="00DD0CAB">
      <w:pPr>
        <w:pStyle w:val="ListParagraph"/>
        <w:widowControl w:val="0"/>
        <w:tabs>
          <w:tab w:val="left" w:pos="4030"/>
        </w:tabs>
        <w:autoSpaceDE w:val="0"/>
        <w:autoSpaceDN w:val="0"/>
        <w:spacing w:before="61" w:after="0" w:line="276" w:lineRule="auto"/>
        <w:ind w:left="360" w:right="19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Origination</w:t>
      </w:r>
      <w:r w:rsidRPr="00DD0CAB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Charges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</w:t>
      </w:r>
      <w:r w:rsidRPr="00DD0CAB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shown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on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Buyer’s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Estimate</w:t>
      </w:r>
      <w:r w:rsidRPr="00DD0CAB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-6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DD0CAB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DD0CAB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loan.</w:t>
      </w:r>
    </w:p>
    <w:p w14:paraId="3C101B43" w14:textId="77777777" w:rsidR="001A2C0B" w:rsidRPr="006241A8" w:rsidRDefault="001A2C0B" w:rsidP="00DD0CAB">
      <w:pPr>
        <w:widowControl w:val="0"/>
        <w:tabs>
          <w:tab w:val="left" w:pos="1540"/>
          <w:tab w:val="left" w:pos="8791"/>
          <w:tab w:val="left" w:pos="9508"/>
        </w:tabs>
        <w:autoSpaceDE w:val="0"/>
        <w:autoSpaceDN w:val="0"/>
        <w:spacing w:before="198" w:after="0" w:line="276" w:lineRule="auto"/>
        <w:ind w:left="360" w:right="117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Second</w:t>
      </w:r>
      <w:r w:rsidRPr="006241A8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Mortgage</w:t>
      </w:r>
      <w:r w:rsidRPr="006241A8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6241A8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</w:t>
      </w:r>
      <w:r w:rsidRPr="006241A8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principal</w:t>
      </w:r>
      <w:r w:rsidRPr="006241A8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amount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$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(excluding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5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any</w:t>
      </w:r>
      <w:r w:rsidRPr="006241A8">
        <w:rPr>
          <w:rFonts w:ascii="Century Gothic" w:eastAsia="Times New Roman" w:hAnsi="Century Gothic" w:cs="Times New Roman"/>
          <w:color w:val="000000" w:themeColor="text1"/>
          <w:spacing w:val="3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financed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3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PMI</w:t>
      </w:r>
      <w:r w:rsidRPr="006241A8">
        <w:rPr>
          <w:rFonts w:ascii="Century Gothic" w:eastAsia="Times New Roman" w:hAnsi="Century Gothic" w:cs="Times New Roman"/>
          <w:color w:val="000000" w:themeColor="text1"/>
          <w:spacing w:val="3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premium),</w:t>
      </w:r>
      <w:r w:rsidRPr="006241A8">
        <w:rPr>
          <w:rFonts w:ascii="Century Gothic" w:eastAsia="Times New Roman" w:hAnsi="Century Gothic" w:cs="Times New Roman"/>
          <w:color w:val="000000" w:themeColor="text1"/>
          <w:spacing w:val="3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due</w:t>
      </w:r>
      <w:r w:rsidRPr="006241A8">
        <w:rPr>
          <w:rFonts w:ascii="Century Gothic" w:eastAsia="Times New Roman" w:hAnsi="Century Gothic" w:cs="Times New Roman"/>
          <w:color w:val="000000" w:themeColor="text1"/>
          <w:spacing w:val="3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</w:t>
      </w:r>
      <w:r w:rsidRPr="006241A8">
        <w:rPr>
          <w:rFonts w:ascii="Century Gothic" w:eastAsia="Times New Roman" w:hAnsi="Century Gothic" w:cs="Times New Roman"/>
          <w:color w:val="000000" w:themeColor="text1"/>
          <w:spacing w:val="3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full</w:t>
      </w:r>
      <w:r w:rsidRPr="006241A8">
        <w:rPr>
          <w:rFonts w:ascii="Century Gothic" w:eastAsia="Times New Roman" w:hAnsi="Century Gothic" w:cs="Times New Roman"/>
          <w:color w:val="000000" w:themeColor="text1"/>
          <w:spacing w:val="3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in 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[Months/Years],</w:t>
      </w:r>
      <w:r w:rsidRPr="006241A8">
        <w:rPr>
          <w:rFonts w:ascii="Century Gothic" w:eastAsia="Times New Roman" w:hAnsi="Century Gothic" w:cs="Times New Roman"/>
          <w:color w:val="000000" w:themeColor="text1"/>
          <w:spacing w:val="5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6241A8">
        <w:rPr>
          <w:rFonts w:ascii="Century Gothic" w:eastAsia="Times New Roman" w:hAnsi="Century Gothic" w:cs="Times New Roman"/>
          <w:color w:val="000000" w:themeColor="text1"/>
          <w:spacing w:val="5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</w:t>
      </w:r>
      <w:r w:rsidRPr="006241A8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interest</w:t>
      </w:r>
      <w:r w:rsidRPr="006241A8">
        <w:rPr>
          <w:rFonts w:ascii="Century Gothic" w:eastAsia="Times New Roman" w:hAnsi="Century Gothic" w:cs="Times New Roman"/>
          <w:color w:val="000000" w:themeColor="text1"/>
          <w:spacing w:val="3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rate</w:t>
      </w:r>
      <w:r w:rsidRPr="006241A8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(%)</w:t>
      </w:r>
      <w:r w:rsidRPr="006241A8">
        <w:rPr>
          <w:rFonts w:ascii="Century Gothic" w:eastAsia="Times New Roman" w:hAnsi="Century Gothic" w:cs="Times New Roman"/>
          <w:color w:val="000000" w:themeColor="text1"/>
          <w:spacing w:val="3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6241A8">
        <w:rPr>
          <w:rFonts w:ascii="Century Gothic" w:eastAsia="Times New Roman" w:hAnsi="Century Gothic" w:cs="Times New Roman"/>
          <w:color w:val="000000" w:themeColor="text1"/>
          <w:spacing w:val="3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6241A8">
        <w:rPr>
          <w:rFonts w:ascii="Century Gothic" w:eastAsia="Times New Roman" w:hAnsi="Century Gothic" w:cs="Times New Roman"/>
          <w:color w:val="000000" w:themeColor="text1"/>
          <w:spacing w:val="4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</w:t>
      </w:r>
    </w:p>
    <w:p w14:paraId="50F2C05E" w14:textId="77777777" w:rsidR="001A2C0B" w:rsidRPr="00DD0CAB" w:rsidRDefault="001A2C0B" w:rsidP="00DD0CAB">
      <w:pPr>
        <w:pStyle w:val="ListParagraph"/>
        <w:widowControl w:val="0"/>
        <w:tabs>
          <w:tab w:val="left" w:pos="5505"/>
        </w:tabs>
        <w:autoSpaceDE w:val="0"/>
        <w:autoSpaceDN w:val="0"/>
        <w:spacing w:before="3" w:after="0" w:line="276" w:lineRule="auto"/>
        <w:ind w:left="36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annum   for   the   initial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[Months/Years]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</w:p>
    <w:p w14:paraId="0BCAA6A0" w14:textId="7FD58B50" w:rsidR="001A2C0B" w:rsidRDefault="001A2C0B" w:rsidP="00DD0CAB">
      <w:pPr>
        <w:pStyle w:val="ListParagraph"/>
        <w:widowControl w:val="0"/>
        <w:tabs>
          <w:tab w:val="left" w:pos="4030"/>
        </w:tabs>
        <w:autoSpaceDE w:val="0"/>
        <w:autoSpaceDN w:val="0"/>
        <w:spacing w:before="61" w:after="0" w:line="276" w:lineRule="auto"/>
        <w:ind w:left="360" w:right="19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Origination</w:t>
      </w:r>
      <w:r w:rsidRPr="00DD0CAB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Charges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</w:t>
      </w:r>
      <w:r w:rsidRPr="00DD0CAB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shown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on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Buyer’s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Estimate</w:t>
      </w:r>
      <w:r w:rsidRPr="00DD0CAB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-6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DD0CAB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DD0CAB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loan.</w:t>
      </w:r>
    </w:p>
    <w:p w14:paraId="3E4E7D8A" w14:textId="77777777" w:rsidR="00DD0CAB" w:rsidRPr="00DD0CAB" w:rsidRDefault="00DD0CAB" w:rsidP="00DD0CAB">
      <w:pPr>
        <w:pStyle w:val="ListParagraph"/>
        <w:widowControl w:val="0"/>
        <w:tabs>
          <w:tab w:val="left" w:pos="4030"/>
        </w:tabs>
        <w:autoSpaceDE w:val="0"/>
        <w:autoSpaceDN w:val="0"/>
        <w:spacing w:before="61" w:after="0" w:line="276" w:lineRule="auto"/>
        <w:ind w:left="360" w:right="19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866FEBF" w14:textId="4405E3AB" w:rsidR="001A2C0B" w:rsidRPr="00DD0CAB" w:rsidRDefault="001A2C0B" w:rsidP="00DD0CA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216" w:after="0" w:line="276" w:lineRule="auto"/>
        <w:ind w:left="360"/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DD0CAB">
        <w:rPr>
          <w:rFonts w:ascii="Century Gothic" w:hAnsi="Century Gothic"/>
          <w:b/>
          <w:bCs/>
          <w:sz w:val="24"/>
          <w:szCs w:val="24"/>
        </w:rPr>
        <w:t>USDA Guaranteed Financing. A USDA-guaranteed loan of not less than</w:t>
      </w:r>
    </w:p>
    <w:p w14:paraId="1CCB5BB8" w14:textId="77777777" w:rsidR="001A2C0B" w:rsidRPr="00DD0CAB" w:rsidRDefault="001A2C0B" w:rsidP="00DD0CAB">
      <w:pPr>
        <w:widowControl w:val="0"/>
        <w:autoSpaceDE w:val="0"/>
        <w:autoSpaceDN w:val="0"/>
        <w:spacing w:before="58" w:after="0" w:line="276" w:lineRule="auto"/>
        <w:ind w:right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lastRenderedPageBreak/>
        <w:t>$</w:t>
      </w:r>
      <w:r w:rsidRPr="00DD0CAB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(excluding any financed Funding Fee), amortizable </w:t>
      </w:r>
      <w:r w:rsidRPr="00DD0CAB">
        <w:rPr>
          <w:color w:val="000000" w:themeColor="text1"/>
        </w:rPr>
        <w:t xml:space="preserve">monthly </w:t>
      </w:r>
      <w:r w:rsidRPr="00DD0CAB">
        <w:rPr>
          <w:rFonts w:ascii="Century Gothic" w:hAnsi="Century Gothic"/>
          <w:color w:val="000000" w:themeColor="text1"/>
          <w:sz w:val="24"/>
          <w:szCs w:val="24"/>
        </w:rPr>
        <w:t>for not less than________________________________________________________[Months/Years], with interest not to exceed % per annum for the initial</w:t>
      </w:r>
    </w:p>
    <w:p w14:paraId="2247CF30" w14:textId="356AD91E" w:rsidR="001A2C0B" w:rsidRPr="00DD0CAB" w:rsidRDefault="001A2C0B" w:rsidP="00DD0CAB">
      <w:pPr>
        <w:pStyle w:val="ListParagraph"/>
        <w:widowControl w:val="0"/>
        <w:autoSpaceDE w:val="0"/>
        <w:autoSpaceDN w:val="0"/>
        <w:spacing w:before="58" w:after="0" w:line="276" w:lineRule="auto"/>
        <w:ind w:left="360" w:right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D0CAB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____________________________________________________________[Months/Years] of the loan with Origination Charges as shown on Buyer’s Loan Estimate for the loan not to exceed % of the loan.</w:t>
      </w:r>
    </w:p>
    <w:p w14:paraId="74AACCDC" w14:textId="77777777" w:rsidR="001A2C0B" w:rsidRPr="00936BCF" w:rsidRDefault="001A2C0B" w:rsidP="00DD0CAB">
      <w:pPr>
        <w:widowControl w:val="0"/>
        <w:autoSpaceDE w:val="0"/>
        <w:autoSpaceDN w:val="0"/>
        <w:spacing w:after="0" w:line="276" w:lineRule="auto"/>
        <w:ind w:left="360" w:hanging="36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7BEC5B59" w14:textId="70A0F899" w:rsidR="001A2C0B" w:rsidRPr="00DD0CAB" w:rsidRDefault="001A2C0B" w:rsidP="00DD0CA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64" w:after="0" w:line="276" w:lineRule="auto"/>
        <w:ind w:left="360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Reverse Mortgage Financing.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A reverse mortgage loan (also known as a Home</w:t>
      </w:r>
      <w:r w:rsidRPr="00DD0CAB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Equity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Conversion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Mortgage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Loan)</w:t>
      </w:r>
      <w:r w:rsidRPr="00DD0CAB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original</w:t>
      </w:r>
      <w:r w:rsidRPr="00DD0CAB">
        <w:rPr>
          <w:rFonts w:ascii="Century Gothic" w:eastAsia="Times New Roman" w:hAnsi="Century Gothic" w:cs="Times New Roman"/>
          <w:color w:val="000000" w:themeColor="text1"/>
          <w:spacing w:val="24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amount</w:t>
      </w:r>
      <w:r w:rsidRPr="00DD0CAB">
        <w:rPr>
          <w:rFonts w:ascii="Century Gothic" w:eastAsia="Times New Roman" w:hAnsi="Century Gothic" w:cs="Times New Roman"/>
          <w:color w:val="000000" w:themeColor="text1"/>
          <w:spacing w:val="2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$______ (excluding</w:t>
      </w:r>
      <w:r w:rsidRPr="00DD0CAB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any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financed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PMI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premium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other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costs),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interest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DD0CAB">
        <w:rPr>
          <w:rFonts w:ascii="Century Gothic" w:eastAsia="Times New Roman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</w:p>
    <w:p w14:paraId="075BA34A" w14:textId="0E26C162" w:rsidR="00DD0CAB" w:rsidRPr="00DD0CAB" w:rsidRDefault="001A2C0B" w:rsidP="00DD0CAB">
      <w:pPr>
        <w:pStyle w:val="ListParagraph"/>
        <w:widowControl w:val="0"/>
        <w:tabs>
          <w:tab w:val="left" w:pos="1790"/>
          <w:tab w:val="left" w:pos="2607"/>
          <w:tab w:val="left" w:pos="5953"/>
        </w:tabs>
        <w:autoSpaceDE w:val="0"/>
        <w:autoSpaceDN w:val="0"/>
        <w:spacing w:before="1" w:after="0" w:line="276" w:lineRule="auto"/>
        <w:ind w:left="360" w:right="181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proofErr w:type="gramStart"/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</w:t>
      </w:r>
      <w:proofErr w:type="gramEnd"/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annum</w:t>
      </w:r>
      <w:r w:rsidRPr="00DD0CAB">
        <w:rPr>
          <w:rFonts w:ascii="Century Gothic" w:eastAsia="Times New Roman" w:hAnsi="Century Gothic" w:cs="Times New Roman"/>
          <w:color w:val="000000" w:themeColor="text1"/>
          <w:spacing w:val="4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4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initial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[Months/Years]</w:t>
      </w:r>
      <w:r w:rsidRPr="00DD0CAB">
        <w:rPr>
          <w:rFonts w:ascii="Century Gothic" w:eastAsia="Times New Roman" w:hAnsi="Century Gothic" w:cs="Times New Roman"/>
          <w:color w:val="000000" w:themeColor="text1"/>
          <w:spacing w:val="1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1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1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1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DD0CAB">
        <w:rPr>
          <w:rFonts w:ascii="Century Gothic" w:eastAsia="Times New Roman" w:hAnsi="Century Gothic" w:cs="Times New Roman"/>
          <w:color w:val="000000" w:themeColor="text1"/>
          <w:spacing w:val="-6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Origination Charges as shown on the Buyer’s loan Estimate for the loan not to</w:t>
      </w:r>
      <w:r w:rsidRPr="00DD0CAB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 of the loan. The reverse mortgage loan [Will/Will Not] be 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FHA-insured</w:t>
      </w:r>
      <w:r w:rsidRPr="00DD0CAB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loan.</w:t>
      </w:r>
    </w:p>
    <w:p w14:paraId="0CF40DA0" w14:textId="3C41727C" w:rsidR="001A2C0B" w:rsidRPr="00DD0CAB" w:rsidRDefault="001A2C0B" w:rsidP="00DD0CA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218" w:after="0" w:line="276" w:lineRule="auto"/>
        <w:ind w:left="360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FHA</w:t>
      </w: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pacing w:val="55"/>
          <w:sz w:val="24"/>
          <w:szCs w:val="24"/>
        </w:rPr>
        <w:t xml:space="preserve"> </w:t>
      </w: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Insured</w:t>
      </w: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pacing w:val="55"/>
          <w:sz w:val="24"/>
          <w:szCs w:val="24"/>
        </w:rPr>
        <w:t xml:space="preserve"> </w:t>
      </w: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Financing.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section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203(b)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FHA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insured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less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than</w:t>
      </w:r>
    </w:p>
    <w:p w14:paraId="09BB5CF0" w14:textId="77777777" w:rsidR="001A2C0B" w:rsidRPr="00DD0CAB" w:rsidRDefault="001A2C0B" w:rsidP="00DD0CAB">
      <w:pPr>
        <w:pStyle w:val="ListParagraph"/>
        <w:widowControl w:val="0"/>
        <w:tabs>
          <w:tab w:val="left" w:pos="3090"/>
          <w:tab w:val="left" w:pos="3513"/>
          <w:tab w:val="left" w:pos="9210"/>
        </w:tabs>
        <w:autoSpaceDE w:val="0"/>
        <w:autoSpaceDN w:val="0"/>
        <w:spacing w:before="58" w:after="0" w:line="276" w:lineRule="auto"/>
        <w:ind w:left="360" w:right="179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$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(excluding any financed PMI premium), amortized monthly</w:t>
      </w:r>
      <w:r w:rsidRPr="00DD0CAB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26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2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less</w:t>
      </w:r>
      <w:r w:rsidRPr="00DD0CAB">
        <w:rPr>
          <w:rFonts w:ascii="Century Gothic" w:eastAsia="Times New Roman" w:hAnsi="Century Gothic" w:cs="Times New Roman"/>
          <w:color w:val="000000" w:themeColor="text1"/>
          <w:spacing w:val="2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than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[Months/Years],</w:t>
      </w:r>
      <w:r w:rsidRPr="00DD0CAB">
        <w:rPr>
          <w:rFonts w:ascii="Century Gothic" w:eastAsia="Times New Roman" w:hAnsi="Century Gothic" w:cs="Times New Roman"/>
          <w:color w:val="000000" w:themeColor="text1"/>
          <w:spacing w:val="2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DD0CAB">
        <w:rPr>
          <w:rFonts w:ascii="Century Gothic" w:eastAsia="Times New Roman" w:hAnsi="Century Gothic" w:cs="Times New Roman"/>
          <w:color w:val="000000" w:themeColor="text1"/>
          <w:spacing w:val="1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interest</w:t>
      </w:r>
      <w:r w:rsidRPr="00DD0CAB">
        <w:rPr>
          <w:rFonts w:ascii="Century Gothic" w:eastAsia="Times New Roman" w:hAnsi="Century Gothic" w:cs="Times New Roman"/>
          <w:color w:val="000000" w:themeColor="text1"/>
          <w:spacing w:val="2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6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DD0CAB">
        <w:rPr>
          <w:rFonts w:ascii="Century Gothic" w:eastAsia="Times New Roman" w:hAnsi="Century Gothic" w:cs="Times New Roman"/>
          <w:color w:val="000000" w:themeColor="text1"/>
          <w:spacing w:val="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DD0CAB">
        <w:rPr>
          <w:rFonts w:ascii="Century Gothic" w:eastAsia="Times New Roman" w:hAnsi="Century Gothic" w:cs="Times New Roman"/>
          <w:color w:val="000000" w:themeColor="text1"/>
          <w:spacing w:val="-6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</w:t>
      </w:r>
      <w:r w:rsidRPr="00DD0CAB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annum</w:t>
      </w:r>
      <w:r w:rsidRPr="00DD0CAB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initial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 xml:space="preserve">   </w:t>
      </w:r>
      <w:proofErr w:type="gramStart"/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 xml:space="preserve">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[</w:t>
      </w:r>
      <w:proofErr w:type="gramEnd"/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Months/Years] of the loan with Origination</w:t>
      </w:r>
      <w:r w:rsidRPr="00DD0CAB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Charges</w:t>
      </w:r>
      <w:r w:rsidRPr="00DD0CAB">
        <w:rPr>
          <w:rFonts w:ascii="Century Gothic" w:eastAsia="Times New Roman" w:hAnsi="Century Gothic" w:cs="Times New Roman"/>
          <w:color w:val="000000" w:themeColor="text1"/>
          <w:spacing w:val="6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</w:t>
      </w:r>
      <w:r w:rsidRPr="00DD0CAB">
        <w:rPr>
          <w:rFonts w:ascii="Century Gothic" w:eastAsia="Times New Roman" w:hAnsi="Century Gothic" w:cs="Times New Roman"/>
          <w:color w:val="000000" w:themeColor="text1"/>
          <w:spacing w:val="7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shown</w:t>
      </w:r>
      <w:r w:rsidRPr="00DD0CAB">
        <w:rPr>
          <w:rFonts w:ascii="Century Gothic" w:eastAsia="Times New Roman" w:hAnsi="Century Gothic" w:cs="Times New Roman"/>
          <w:color w:val="000000" w:themeColor="text1"/>
          <w:spacing w:val="7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on</w:t>
      </w:r>
      <w:r w:rsidRPr="00DD0CAB">
        <w:rPr>
          <w:rFonts w:ascii="Century Gothic" w:eastAsia="Times New Roman" w:hAnsi="Century Gothic" w:cs="Times New Roman"/>
          <w:color w:val="000000" w:themeColor="text1"/>
          <w:spacing w:val="6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7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Buyer’s</w:t>
      </w:r>
      <w:r w:rsidRPr="00DD0CAB">
        <w:rPr>
          <w:rFonts w:ascii="Century Gothic" w:eastAsia="Times New Roman" w:hAnsi="Century Gothic" w:cs="Times New Roman"/>
          <w:color w:val="000000" w:themeColor="text1"/>
          <w:spacing w:val="70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6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Estimate</w:t>
      </w:r>
      <w:r w:rsidRPr="00DD0CAB">
        <w:rPr>
          <w:rFonts w:ascii="Century Gothic" w:eastAsia="Times New Roman" w:hAnsi="Century Gothic" w:cs="Times New Roman"/>
          <w:color w:val="000000" w:themeColor="text1"/>
          <w:spacing w:val="56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55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DD0CAB">
        <w:rPr>
          <w:rFonts w:ascii="Century Gothic" w:eastAsia="Times New Roman" w:hAnsi="Century Gothic" w:cs="Times New Roman"/>
          <w:color w:val="000000" w:themeColor="text1"/>
          <w:spacing w:val="56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</w:p>
    <w:p w14:paraId="73E9244C" w14:textId="06B9D18F" w:rsidR="001A2C0B" w:rsidRPr="00DD0CAB" w:rsidRDefault="001A2C0B" w:rsidP="00DD0CAB">
      <w:pPr>
        <w:pStyle w:val="ListParagraph"/>
        <w:widowControl w:val="0"/>
        <w:tabs>
          <w:tab w:val="left" w:pos="1790"/>
        </w:tabs>
        <w:autoSpaceDE w:val="0"/>
        <w:autoSpaceDN w:val="0"/>
        <w:spacing w:before="5" w:after="0" w:line="276" w:lineRule="auto"/>
        <w:ind w:left="360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DD0CAB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proofErr w:type="gramEnd"/>
      <w:r w:rsidRPr="00DD0CAB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loan.</w:t>
      </w:r>
    </w:p>
    <w:p w14:paraId="522271E4" w14:textId="77777777" w:rsidR="001A2C0B" w:rsidRPr="006241A8" w:rsidRDefault="001A2C0B" w:rsidP="00DD0CAB">
      <w:pPr>
        <w:widowControl w:val="0"/>
        <w:autoSpaceDE w:val="0"/>
        <w:autoSpaceDN w:val="0"/>
        <w:spacing w:before="9" w:after="0" w:line="276" w:lineRule="auto"/>
        <w:ind w:left="360" w:hanging="36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E782274" w14:textId="3ACBE298" w:rsidR="001A2C0B" w:rsidRPr="00DD0CAB" w:rsidRDefault="001A2C0B" w:rsidP="00DD0CA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after="0" w:line="276" w:lineRule="auto"/>
        <w:ind w:left="360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VA  </w:t>
      </w: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pacing w:val="52"/>
          <w:sz w:val="24"/>
          <w:szCs w:val="24"/>
        </w:rPr>
        <w:t xml:space="preserve"> </w:t>
      </w: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Guaranteed  </w:t>
      </w: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pacing w:val="53"/>
          <w:sz w:val="24"/>
          <w:szCs w:val="24"/>
        </w:rPr>
        <w:t xml:space="preserve"> </w:t>
      </w:r>
      <w:r w:rsidRPr="00936BCF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Financing.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A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VA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guaranteed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loan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of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not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3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less  </w:t>
      </w:r>
      <w:r w:rsidRPr="00DD0CAB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than</w:t>
      </w:r>
    </w:p>
    <w:p w14:paraId="31CE81D3" w14:textId="77777777" w:rsidR="001A2C0B" w:rsidRPr="00DD0CAB" w:rsidRDefault="001A2C0B" w:rsidP="00DD0CAB">
      <w:pPr>
        <w:pStyle w:val="ListParagraph"/>
        <w:widowControl w:val="0"/>
        <w:tabs>
          <w:tab w:val="left" w:pos="3480"/>
        </w:tabs>
        <w:autoSpaceDE w:val="0"/>
        <w:autoSpaceDN w:val="0"/>
        <w:spacing w:before="58" w:after="0" w:line="276" w:lineRule="auto"/>
        <w:ind w:left="36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$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(excluding</w:t>
      </w:r>
      <w:r w:rsidRPr="00DD0CAB">
        <w:rPr>
          <w:rFonts w:ascii="Century Gothic" w:eastAsia="Times New Roman" w:hAnsi="Century Gothic" w:cs="Times New Roman"/>
          <w:color w:val="000000" w:themeColor="text1"/>
          <w:spacing w:val="96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any</w:t>
      </w:r>
      <w:r w:rsidRPr="00DD0CAB">
        <w:rPr>
          <w:rFonts w:ascii="Century Gothic" w:eastAsia="Times New Roman" w:hAnsi="Century Gothic" w:cs="Times New Roman"/>
          <w:color w:val="000000" w:themeColor="text1"/>
          <w:spacing w:val="96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financed</w:t>
      </w:r>
      <w:r w:rsidRPr="00DD0CAB">
        <w:rPr>
          <w:rFonts w:ascii="Century Gothic" w:eastAsia="Times New Roman" w:hAnsi="Century Gothic" w:cs="Times New Roman"/>
          <w:color w:val="000000" w:themeColor="text1"/>
          <w:spacing w:val="9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Funding</w:t>
      </w:r>
      <w:r w:rsidRPr="00DD0CAB">
        <w:rPr>
          <w:rFonts w:ascii="Century Gothic" w:eastAsia="Times New Roman" w:hAnsi="Century Gothic" w:cs="Times New Roman"/>
          <w:color w:val="000000" w:themeColor="text1"/>
          <w:spacing w:val="96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Fee),</w:t>
      </w:r>
      <w:r w:rsidRPr="00DD0CAB">
        <w:rPr>
          <w:rFonts w:ascii="Century Gothic" w:eastAsia="Times New Roman" w:hAnsi="Century Gothic" w:cs="Times New Roman"/>
          <w:color w:val="000000" w:themeColor="text1"/>
          <w:spacing w:val="97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amortizable</w:t>
      </w:r>
    </w:p>
    <w:p w14:paraId="5A5752A5" w14:textId="77777777" w:rsidR="001A2C0B" w:rsidRPr="00DD0CAB" w:rsidRDefault="001A2C0B" w:rsidP="00DD0CAB">
      <w:pPr>
        <w:pStyle w:val="ListParagraph"/>
        <w:widowControl w:val="0"/>
        <w:tabs>
          <w:tab w:val="left" w:pos="4679"/>
        </w:tabs>
        <w:autoSpaceDE w:val="0"/>
        <w:autoSpaceDN w:val="0"/>
        <w:spacing w:before="61" w:after="0" w:line="276" w:lineRule="auto"/>
        <w:ind w:left="360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monthly</w:t>
      </w:r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less</w:t>
      </w:r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than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[Months/Years],</w:t>
      </w:r>
      <w:r w:rsidRPr="00DD0CAB">
        <w:rPr>
          <w:rFonts w:ascii="Century Gothic" w:eastAsia="Times New Roman" w:hAnsi="Century Gothic" w:cs="Times New Roman"/>
          <w:color w:val="000000" w:themeColor="text1"/>
          <w:spacing w:val="3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DD0CAB">
        <w:rPr>
          <w:rFonts w:ascii="Century Gothic" w:eastAsia="Times New Roman" w:hAnsi="Century Gothic" w:cs="Times New Roman"/>
          <w:color w:val="000000" w:themeColor="text1"/>
          <w:spacing w:val="3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interest</w:t>
      </w:r>
      <w:r w:rsidRPr="00DD0CAB">
        <w:rPr>
          <w:rFonts w:ascii="Century Gothic" w:eastAsia="Times New Roman" w:hAnsi="Century Gothic" w:cs="Times New Roman"/>
          <w:color w:val="000000" w:themeColor="text1"/>
          <w:spacing w:val="3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DD0CAB">
        <w:rPr>
          <w:rFonts w:ascii="Century Gothic" w:eastAsia="Times New Roman" w:hAnsi="Century Gothic" w:cs="Times New Roman"/>
          <w:color w:val="000000" w:themeColor="text1"/>
          <w:spacing w:val="3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DD0CAB">
        <w:rPr>
          <w:rFonts w:ascii="Century Gothic" w:eastAsia="Times New Roman" w:hAnsi="Century Gothic" w:cs="Times New Roman"/>
          <w:color w:val="000000" w:themeColor="text1"/>
          <w:spacing w:val="33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</w:p>
    <w:p w14:paraId="630A595C" w14:textId="54D21C1A" w:rsidR="001A2C0B" w:rsidRPr="00DD0CAB" w:rsidRDefault="001A2C0B" w:rsidP="00DD0CAB">
      <w:pPr>
        <w:pStyle w:val="ListParagraph"/>
        <w:widowControl w:val="0"/>
        <w:tabs>
          <w:tab w:val="left" w:pos="1790"/>
          <w:tab w:val="left" w:pos="2577"/>
          <w:tab w:val="left" w:pos="5953"/>
        </w:tabs>
        <w:autoSpaceDE w:val="0"/>
        <w:autoSpaceDN w:val="0"/>
        <w:spacing w:before="61" w:after="0" w:line="276" w:lineRule="auto"/>
        <w:ind w:left="360" w:right="185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proofErr w:type="gramStart"/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</w:t>
      </w:r>
      <w:proofErr w:type="gramEnd"/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annum</w:t>
      </w:r>
      <w:r w:rsidRPr="00DD0CAB">
        <w:rPr>
          <w:rFonts w:ascii="Century Gothic" w:eastAsia="Times New Roman" w:hAnsi="Century Gothic" w:cs="Times New Roman"/>
          <w:color w:val="000000" w:themeColor="text1"/>
          <w:spacing w:val="4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DD0CAB">
        <w:rPr>
          <w:rFonts w:ascii="Century Gothic" w:eastAsia="Times New Roman" w:hAnsi="Century Gothic" w:cs="Times New Roman"/>
          <w:color w:val="000000" w:themeColor="text1"/>
          <w:spacing w:val="4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4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initial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[Months/Years]</w:t>
      </w:r>
      <w:r w:rsidRPr="00DD0CAB">
        <w:rPr>
          <w:rFonts w:ascii="Century Gothic" w:eastAsia="Times New Roman" w:hAnsi="Century Gothic" w:cs="Times New Roman"/>
          <w:color w:val="000000" w:themeColor="text1"/>
          <w:spacing w:val="1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1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1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DD0CAB">
        <w:rPr>
          <w:rFonts w:ascii="Century Gothic" w:eastAsia="Times New Roman" w:hAnsi="Century Gothic" w:cs="Times New Roman"/>
          <w:color w:val="000000" w:themeColor="text1"/>
          <w:spacing w:val="18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DD0CAB">
        <w:rPr>
          <w:rFonts w:ascii="Century Gothic" w:eastAsia="Times New Roman" w:hAnsi="Century Gothic" w:cs="Times New Roman"/>
          <w:color w:val="000000" w:themeColor="text1"/>
          <w:spacing w:val="-6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Origination Charges as shown on the Buyer’s Loan Estimate for the loan not to</w:t>
      </w:r>
      <w:r w:rsidRPr="00DD0CAB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exceed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%</w:t>
      </w:r>
      <w:r w:rsidRPr="00DD0CAB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DD0CAB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DD0CAB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DD0CAB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loan.</w:t>
      </w:r>
    </w:p>
    <w:p w14:paraId="1F12FAF6" w14:textId="77777777" w:rsidR="001A2C0B" w:rsidRPr="006241A8" w:rsidRDefault="001A2C0B" w:rsidP="00C856F9">
      <w:pPr>
        <w:widowControl w:val="0"/>
        <w:autoSpaceDE w:val="0"/>
        <w:autoSpaceDN w:val="0"/>
        <w:spacing w:before="198" w:after="0" w:line="276" w:lineRule="auto"/>
        <w:ind w:left="100" w:right="179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FHA/VA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Required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Provision.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If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financing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described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involves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FHA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VA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financing,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is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expressly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agreed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that,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notwithstanding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any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other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provision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this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Agreement,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 shall not be obligated to complete the purchase of the Property described herein or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 incur any penalty by forfeiture of earnest money deposits or otherwise, unless, 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 has been given, in accordance with HUD/FHA or VA requirements a written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statement issued by the Federal Housing Commissioner, Department of Veterans Affairs,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 a Direct Endorsement Lender setting forth the appraised value of the Property of not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less than the Agreement’s purchase price or cost exceeds the reasonable value of 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Property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established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by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Department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Veterans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Affairs.</w:t>
      </w:r>
    </w:p>
    <w:p w14:paraId="36326F5B" w14:textId="77777777" w:rsidR="001A2C0B" w:rsidRPr="006241A8" w:rsidRDefault="001A2C0B" w:rsidP="00C856F9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207" w:after="0" w:line="276" w:lineRule="auto"/>
        <w:ind w:right="182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lastRenderedPageBreak/>
        <w:t>Buyer shall have the privilege and option of proceeding with consummation of 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Agreement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without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regard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amount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appraised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valuation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reasonable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value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established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by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Department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Veterans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Affairs.</w:t>
      </w:r>
    </w:p>
    <w:p w14:paraId="25F55B33" w14:textId="3211A09A" w:rsidR="001A2C0B" w:rsidRPr="006241A8" w:rsidRDefault="001A2C0B" w:rsidP="00C856F9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198" w:after="0" w:line="276" w:lineRule="auto"/>
        <w:ind w:right="184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If FHA financing is involved, the appraised valuation is arrived at to determine 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maximum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mortgage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Department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Housing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and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Urban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Development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will insure. HUD does not warrant the value or condition of the Property. The Buyer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should satisfy himself/herself that the price and the condition of the Property are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acceptable.</w:t>
      </w:r>
    </w:p>
    <w:p w14:paraId="55BB0CF7" w14:textId="4D597D77" w:rsidR="00C856F9" w:rsidRDefault="001A2C0B" w:rsidP="00C856F9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198" w:after="0" w:line="276" w:lineRule="auto"/>
        <w:ind w:right="179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If VA financing is involved and if Buyer elects to complete the purchase at an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amount </w:t>
      </w:r>
      <w:proofErr w:type="gramStart"/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 excess of</w:t>
      </w:r>
      <w:proofErr w:type="gramEnd"/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the reasonable value established by the VA, Buyer shall pay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such excess amount in cash from a source which Buyer agrees to disclose to 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VA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and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which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represents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will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from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borrowed funds except as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provided by the VA. If the VA reasonable value of the Property is less than 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Sales Price, the Seller may reduce the Sales Price to an amount equal to the VA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reasonable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value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and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sale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will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closed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lower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Sales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Price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proportionate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adjustments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down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payment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loan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amount.</w:t>
      </w:r>
    </w:p>
    <w:p w14:paraId="7D2F0C61" w14:textId="77777777" w:rsidR="00C856F9" w:rsidRPr="00C856F9" w:rsidRDefault="00C856F9" w:rsidP="00C856F9">
      <w:pPr>
        <w:widowControl w:val="0"/>
        <w:tabs>
          <w:tab w:val="left" w:pos="820"/>
        </w:tabs>
        <w:autoSpaceDE w:val="0"/>
        <w:autoSpaceDN w:val="0"/>
        <w:spacing w:after="0" w:line="276" w:lineRule="auto"/>
        <w:ind w:left="820" w:right="179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C371442" w14:textId="14F92DB4" w:rsidR="001A2C0B" w:rsidRPr="00C856F9" w:rsidRDefault="001A2C0B" w:rsidP="00C856F9">
      <w:pPr>
        <w:widowControl w:val="0"/>
        <w:numPr>
          <w:ilvl w:val="0"/>
          <w:numId w:val="2"/>
        </w:numPr>
        <w:tabs>
          <w:tab w:val="left" w:pos="375"/>
        </w:tabs>
        <w:autoSpaceDE w:val="0"/>
        <w:autoSpaceDN w:val="0"/>
        <w:spacing w:after="0" w:line="276" w:lineRule="auto"/>
        <w:ind w:right="178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6241A8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LENDER</w:t>
      </w:r>
    </w:p>
    <w:p w14:paraId="365B02DF" w14:textId="77777777" w:rsidR="00C856F9" w:rsidRPr="006241A8" w:rsidRDefault="00C856F9" w:rsidP="00C856F9">
      <w:pPr>
        <w:widowControl w:val="0"/>
        <w:tabs>
          <w:tab w:val="left" w:pos="375"/>
        </w:tabs>
        <w:autoSpaceDE w:val="0"/>
        <w:autoSpaceDN w:val="0"/>
        <w:spacing w:after="0" w:line="276" w:lineRule="auto"/>
        <w:ind w:left="100" w:right="178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4E1ABA1C" w14:textId="46B9AD38" w:rsidR="001A2C0B" w:rsidRPr="006241A8" w:rsidRDefault="001A2C0B" w:rsidP="00C856F9">
      <w:pPr>
        <w:widowControl w:val="0"/>
        <w:tabs>
          <w:tab w:val="left" w:pos="375"/>
        </w:tabs>
        <w:autoSpaceDE w:val="0"/>
        <w:autoSpaceDN w:val="0"/>
        <w:spacing w:after="0" w:line="276" w:lineRule="auto"/>
        <w:ind w:left="100" w:right="178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Approval for the financing, as described in Section 2 of this Addendum, shall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be: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(Choose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One)</w:t>
      </w:r>
    </w:p>
    <w:p w14:paraId="7262B41D" w14:textId="77777777" w:rsidR="001A2C0B" w:rsidRPr="006241A8" w:rsidRDefault="001A2C0B" w:rsidP="003F7CED">
      <w:pPr>
        <w:widowControl w:val="0"/>
        <w:tabs>
          <w:tab w:val="left" w:pos="9391"/>
        </w:tabs>
        <w:autoSpaceDE w:val="0"/>
        <w:autoSpaceDN w:val="0"/>
        <w:spacing w:before="215" w:after="0" w:line="276" w:lineRule="auto"/>
        <w:ind w:left="180" w:right="180" w:hanging="360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FD02F83" wp14:editId="40BB68F7">
            <wp:extent cx="128587" cy="12858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2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Subject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6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Lender’s Approval. The Agreement is subject to the Buyer obtaining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Lender’s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Approval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which is described as approving the Buyer’s financial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credentials in addition to the approval of the Property in accordance with Section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IV of this Addendum. If the Buyer cannot obtain the Lender’s Approval, Buyer is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required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give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written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notice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Seller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by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  <w:u w:val="single"/>
        </w:rPr>
        <w:tab/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If the Buyer does not give notice to the Seller, the Agreement will terminate with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any earnest money being refunded to the Buyer. In addition, the Buyer shall have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 option to give notice that voids the requirements of this Addendum and 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pursue the specific performance requirements as written in the Agreement between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Parties.</w:t>
      </w:r>
    </w:p>
    <w:p w14:paraId="4FA4A49C" w14:textId="77777777" w:rsidR="001A2C0B" w:rsidRPr="006241A8" w:rsidRDefault="001A2C0B" w:rsidP="00C856F9">
      <w:pPr>
        <w:widowControl w:val="0"/>
        <w:autoSpaceDE w:val="0"/>
        <w:autoSpaceDN w:val="0"/>
        <w:spacing w:before="223" w:after="0" w:line="276" w:lineRule="auto"/>
        <w:ind w:left="90" w:right="184" w:hanging="327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0B6A44B" wp14:editId="29C9C5E9">
            <wp:extent cx="128587" cy="12858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2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 Subject to Lender’s Approval. This Agreement is not subject to the Buyer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obtaining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Lender’s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Approval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Property.</w:t>
      </w:r>
      <w:r w:rsidRPr="006241A8">
        <w:rPr>
          <w:rFonts w:ascii="Century Gothic" w:eastAsia="Times New Roman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has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</w:t>
      </w:r>
      <w:r w:rsidRPr="006241A8">
        <w:rPr>
          <w:rFonts w:ascii="Century Gothic" w:eastAsia="Times New Roman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pre-qualification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letter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 equivalent approval document that has secured the terms of financing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 mentioned in Section 2 of this Addendum. Nevertheless, the Agreement shall be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bound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lastRenderedPageBreak/>
        <w:t>terms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Property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Approval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Section</w:t>
      </w:r>
      <w:r w:rsidRPr="006241A8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IV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this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Addendum.</w:t>
      </w:r>
    </w:p>
    <w:p w14:paraId="5AC0BE2A" w14:textId="77777777" w:rsidR="001A2C0B" w:rsidRPr="006241A8" w:rsidRDefault="001A2C0B" w:rsidP="00C856F9">
      <w:pPr>
        <w:widowControl w:val="0"/>
        <w:autoSpaceDE w:val="0"/>
        <w:autoSpaceDN w:val="0"/>
        <w:spacing w:before="67" w:after="0" w:line="276" w:lineRule="auto"/>
        <w:ind w:left="100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Property Approval</w:t>
      </w:r>
    </w:p>
    <w:p w14:paraId="6DEC48A9" w14:textId="3D420A12" w:rsidR="001A2C0B" w:rsidRDefault="001A2C0B" w:rsidP="00C856F9">
      <w:pPr>
        <w:widowControl w:val="0"/>
        <w:autoSpaceDE w:val="0"/>
        <w:autoSpaceDN w:val="0"/>
        <w:spacing w:before="67" w:after="0" w:line="276" w:lineRule="auto"/>
        <w:ind w:left="10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Property Approval shall be deemed to have been obtained when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 Property has satisfied the Lender’s underwriting requirements for the loan, including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but not limited to appraisal, insurability, deed search, material defect(s), or any other due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diligence</w:t>
      </w:r>
      <w:r w:rsidRPr="006241A8">
        <w:rPr>
          <w:rFonts w:ascii="Century Gothic" w:eastAsia="Times New Roman" w:hAnsi="Century Gothic" w:cs="Times New Roman"/>
          <w:color w:val="000000" w:themeColor="text1"/>
          <w:spacing w:val="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process</w:t>
      </w:r>
      <w:r w:rsidRPr="006241A8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required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by</w:t>
      </w:r>
      <w:r w:rsidRPr="006241A8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Lender.</w:t>
      </w:r>
      <w:r w:rsidRPr="006241A8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shall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have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until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to</w:t>
      </w:r>
      <w:proofErr w:type="gramEnd"/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obtain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Property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Approval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from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54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Lender.</w:t>
      </w:r>
      <w:r w:rsidRPr="006241A8">
        <w:rPr>
          <w:rFonts w:ascii="Century Gothic" w:eastAsia="Times New Roman" w:hAnsi="Century Gothic" w:cs="Times New Roman"/>
          <w:color w:val="000000" w:themeColor="text1"/>
          <w:spacing w:val="5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If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does</w:t>
      </w:r>
      <w:r w:rsidRPr="006241A8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not</w:t>
      </w:r>
      <w:r w:rsidRPr="006241A8">
        <w:rPr>
          <w:rFonts w:ascii="Century Gothic" w:eastAsia="Times New Roman" w:hAnsi="Century Gothic" w:cs="Times New Roman"/>
          <w:color w:val="000000" w:themeColor="text1"/>
          <w:spacing w:val="4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obtain</w:t>
      </w:r>
      <w:r w:rsidRPr="006241A8">
        <w:rPr>
          <w:rFonts w:ascii="Century Gothic" w:eastAsia="Times New Roman" w:hAnsi="Century Gothic" w:cs="Times New Roman"/>
          <w:color w:val="000000" w:themeColor="text1"/>
          <w:spacing w:val="3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Property Approval</w:t>
      </w:r>
      <w:r w:rsidRPr="006241A8">
        <w:rPr>
          <w:rFonts w:ascii="Century Gothic" w:eastAsia="Times New Roman" w:hAnsi="Century Gothic" w:cs="Times New Roman"/>
          <w:color w:val="000000" w:themeColor="text1"/>
          <w:spacing w:val="2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from</w:t>
      </w:r>
      <w:r w:rsidRPr="006241A8">
        <w:rPr>
          <w:rFonts w:ascii="Century Gothic" w:eastAsia="Times New Roman" w:hAnsi="Century Gothic" w:cs="Times New Roman"/>
          <w:color w:val="000000" w:themeColor="text1"/>
          <w:spacing w:val="2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2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Lender,</w:t>
      </w:r>
      <w:r w:rsidRPr="006241A8">
        <w:rPr>
          <w:rFonts w:ascii="Century Gothic" w:eastAsia="Times New Roman" w:hAnsi="Century Gothic" w:cs="Times New Roman"/>
          <w:color w:val="000000" w:themeColor="text1"/>
          <w:spacing w:val="2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23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Agreement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will</w:t>
      </w:r>
      <w:r w:rsidRPr="006241A8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terminate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0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6241A8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any</w:t>
      </w:r>
      <w:r w:rsidRPr="006241A8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earnest</w:t>
      </w:r>
      <w:r w:rsidRPr="006241A8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money</w:t>
      </w:r>
      <w:r w:rsidRPr="006241A8">
        <w:rPr>
          <w:rFonts w:ascii="Century Gothic" w:eastAsia="Times New Roman" w:hAnsi="Century Gothic" w:cs="Times New Roman"/>
          <w:color w:val="000000" w:themeColor="text1"/>
          <w:spacing w:val="9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being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refunded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Buyer.</w:t>
      </w:r>
    </w:p>
    <w:p w14:paraId="3D5CEF21" w14:textId="77777777" w:rsidR="00C856F9" w:rsidRPr="006241A8" w:rsidRDefault="00C856F9" w:rsidP="00C856F9">
      <w:pPr>
        <w:widowControl w:val="0"/>
        <w:autoSpaceDE w:val="0"/>
        <w:autoSpaceDN w:val="0"/>
        <w:spacing w:before="67" w:after="0" w:line="276" w:lineRule="auto"/>
        <w:ind w:left="10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E355853" w14:textId="16E0D4D6" w:rsidR="00C856F9" w:rsidRDefault="001A2C0B" w:rsidP="00C856F9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after="0" w:line="276" w:lineRule="auto"/>
        <w:ind w:right="184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6241A8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TIME IS OF THE ESSENCE</w:t>
      </w:r>
    </w:p>
    <w:p w14:paraId="4A51DBE0" w14:textId="77777777" w:rsidR="00C856F9" w:rsidRPr="00C856F9" w:rsidRDefault="00C856F9" w:rsidP="00C856F9">
      <w:pPr>
        <w:widowControl w:val="0"/>
        <w:tabs>
          <w:tab w:val="left" w:pos="390"/>
        </w:tabs>
        <w:autoSpaceDE w:val="0"/>
        <w:autoSpaceDN w:val="0"/>
        <w:spacing w:after="0" w:line="276" w:lineRule="auto"/>
        <w:ind w:left="100" w:right="184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1CAC601A" w14:textId="47B8047E" w:rsidR="001A2C0B" w:rsidRDefault="001A2C0B" w:rsidP="00C856F9">
      <w:pPr>
        <w:widowControl w:val="0"/>
        <w:tabs>
          <w:tab w:val="left" w:pos="390"/>
        </w:tabs>
        <w:autoSpaceDE w:val="0"/>
        <w:autoSpaceDN w:val="0"/>
        <w:spacing w:after="0" w:line="276" w:lineRule="auto"/>
        <w:ind w:left="100" w:right="184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Time is of the essence for this section and strict compliance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time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performance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required.</w:t>
      </w:r>
    </w:p>
    <w:p w14:paraId="799141F7" w14:textId="77777777" w:rsidR="00C856F9" w:rsidRPr="006241A8" w:rsidRDefault="00C856F9" w:rsidP="00C856F9">
      <w:pPr>
        <w:widowControl w:val="0"/>
        <w:tabs>
          <w:tab w:val="left" w:pos="390"/>
        </w:tabs>
        <w:autoSpaceDE w:val="0"/>
        <w:autoSpaceDN w:val="0"/>
        <w:spacing w:after="0" w:line="276" w:lineRule="auto"/>
        <w:ind w:left="100" w:right="184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75658ED" w14:textId="113129BD" w:rsidR="001A2C0B" w:rsidRPr="00C856F9" w:rsidRDefault="001A2C0B" w:rsidP="00C856F9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after="0" w:line="276" w:lineRule="auto"/>
        <w:ind w:right="189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6241A8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SECURITY</w:t>
      </w:r>
    </w:p>
    <w:p w14:paraId="261AED89" w14:textId="77777777" w:rsidR="00C856F9" w:rsidRPr="006241A8" w:rsidRDefault="00C856F9" w:rsidP="00C856F9">
      <w:pPr>
        <w:widowControl w:val="0"/>
        <w:tabs>
          <w:tab w:val="left" w:pos="390"/>
        </w:tabs>
        <w:autoSpaceDE w:val="0"/>
        <w:autoSpaceDN w:val="0"/>
        <w:spacing w:after="0" w:line="276" w:lineRule="auto"/>
        <w:ind w:left="100" w:right="189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1BEF7DB8" w14:textId="68EF171B" w:rsidR="001A2C0B" w:rsidRPr="006241A8" w:rsidRDefault="001A2C0B" w:rsidP="00C856F9">
      <w:pPr>
        <w:widowControl w:val="0"/>
        <w:tabs>
          <w:tab w:val="left" w:pos="390"/>
        </w:tabs>
        <w:autoSpaceDE w:val="0"/>
        <w:autoSpaceDN w:val="0"/>
        <w:spacing w:after="0" w:line="276" w:lineRule="auto"/>
        <w:ind w:right="189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Each note for the financing described above must be secured by the vendor</w:t>
      </w:r>
      <w:r w:rsidRPr="006241A8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of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trust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lien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or</w:t>
      </w:r>
      <w:r w:rsidRPr="006241A8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equivalent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type.</w:t>
      </w:r>
    </w:p>
    <w:p w14:paraId="7CDF8D38" w14:textId="273994A2" w:rsidR="00C856F9" w:rsidRPr="00C856F9" w:rsidRDefault="001A2C0B" w:rsidP="00C856F9">
      <w:pPr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before="198" w:after="0" w:line="276" w:lineRule="auto"/>
        <w:ind w:right="182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6241A8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AUTHORIZATION TO RELEASE INFORMATION</w:t>
      </w:r>
    </w:p>
    <w:p w14:paraId="6707C4EB" w14:textId="77777777" w:rsidR="00C856F9" w:rsidRDefault="00C856F9" w:rsidP="00C856F9">
      <w:pPr>
        <w:widowControl w:val="0"/>
        <w:tabs>
          <w:tab w:val="left" w:pos="405"/>
        </w:tabs>
        <w:autoSpaceDE w:val="0"/>
        <w:autoSpaceDN w:val="0"/>
        <w:spacing w:after="0" w:line="276" w:lineRule="auto"/>
        <w:ind w:left="100" w:right="182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4DB6BF21" w14:textId="592B3788" w:rsidR="001A2C0B" w:rsidRDefault="001A2C0B" w:rsidP="00C856F9">
      <w:pPr>
        <w:widowControl w:val="0"/>
        <w:tabs>
          <w:tab w:val="left" w:pos="405"/>
        </w:tabs>
        <w:autoSpaceDE w:val="0"/>
        <w:autoSpaceDN w:val="0"/>
        <w:spacing w:after="0" w:line="276" w:lineRule="auto"/>
        <w:ind w:left="100" w:right="182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 authorizes Buyer’s lender to furnish</w:t>
      </w:r>
      <w:r w:rsidRPr="00C856F9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 Seller or Buyer or any of their representatives’ information relating to the status of the</w:t>
      </w:r>
      <w:r w:rsidRPr="00C856F9">
        <w:rPr>
          <w:rFonts w:ascii="Century Gothic" w:eastAsia="Times New Roman" w:hAnsi="Century Gothic" w:cs="Times New Roman"/>
          <w:color w:val="000000" w:themeColor="text1"/>
          <w:spacing w:val="-62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approval</w:t>
      </w:r>
      <w:r w:rsidRPr="00C856F9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</w:t>
      </w:r>
      <w:r w:rsidRPr="00C856F9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C856F9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financing. The Buyer and Seller authorize the Buyer’s lender, title</w:t>
      </w:r>
      <w:r w:rsidRPr="00C856F9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company, and escrow agent to disclose and furnish a copy of the closing disclosures</w:t>
      </w:r>
      <w:r w:rsidRPr="00C856F9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provided in relation to the closing of the Property and completion of the transaction in</w:t>
      </w:r>
      <w:r w:rsidRPr="00C856F9">
        <w:rPr>
          <w:rFonts w:ascii="Century Gothic" w:eastAsia="Times New Roman" w:hAnsi="Century Gothic" w:cs="Times New Roman"/>
          <w:color w:val="000000" w:themeColor="text1"/>
          <w:spacing w:val="1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accordance</w:t>
      </w:r>
      <w:r w:rsidRPr="00C856F9">
        <w:rPr>
          <w:rFonts w:ascii="Century Gothic" w:eastAsia="Times New Roman" w:hAnsi="Century Gothic" w:cs="Times New Roman"/>
          <w:color w:val="000000" w:themeColor="text1"/>
          <w:spacing w:val="-2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</w:t>
      </w:r>
      <w:r w:rsidRPr="00C856F9">
        <w:rPr>
          <w:rFonts w:ascii="Century Gothic" w:eastAsia="Times New Roman" w:hAnsi="Century Gothic" w:cs="Times New Roman"/>
          <w:color w:val="000000" w:themeColor="text1"/>
          <w:spacing w:val="-1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</w:t>
      </w:r>
      <w:r w:rsidRPr="00C856F9">
        <w:rPr>
          <w:rFonts w:ascii="Century Gothic" w:eastAsia="Times New Roman" w:hAnsi="Century Gothic" w:cs="Times New Roman"/>
          <w:color w:val="000000" w:themeColor="text1"/>
          <w:spacing w:val="-15"/>
          <w:sz w:val="24"/>
          <w:szCs w:val="24"/>
        </w:rPr>
        <w:t xml:space="preserve"> </w:t>
      </w:r>
      <w:r w:rsidRPr="00C856F9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Agreement.</w:t>
      </w:r>
    </w:p>
    <w:p w14:paraId="69FE2F20" w14:textId="77777777" w:rsidR="00C856F9" w:rsidRPr="00C856F9" w:rsidRDefault="00C856F9" w:rsidP="00C856F9">
      <w:pPr>
        <w:widowControl w:val="0"/>
        <w:tabs>
          <w:tab w:val="left" w:pos="405"/>
        </w:tabs>
        <w:autoSpaceDE w:val="0"/>
        <w:autoSpaceDN w:val="0"/>
        <w:spacing w:after="0" w:line="276" w:lineRule="auto"/>
        <w:ind w:left="100" w:right="182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76CF332C" w14:textId="76D927BD" w:rsidR="001A2C0B" w:rsidRPr="006241A8" w:rsidRDefault="001A2C0B" w:rsidP="00C856F9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        _________________________________             ___________________________________</w:t>
      </w:r>
    </w:p>
    <w:p w14:paraId="4CD4F180" w14:textId="36A60555" w:rsidR="001A2C0B" w:rsidRPr="006241A8" w:rsidRDefault="001A2C0B" w:rsidP="00C856F9">
      <w:pPr>
        <w:widowControl w:val="0"/>
        <w:autoSpaceDE w:val="0"/>
        <w:autoSpaceDN w:val="0"/>
        <w:spacing w:after="0"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Printed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Name                           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ab/>
        <w:t>Seller’s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Printed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Name</w:t>
      </w:r>
    </w:p>
    <w:p w14:paraId="1A27622D" w14:textId="77777777" w:rsidR="001A2C0B" w:rsidRPr="006241A8" w:rsidRDefault="001A2C0B" w:rsidP="00C856F9">
      <w:pPr>
        <w:widowControl w:val="0"/>
        <w:autoSpaceDE w:val="0"/>
        <w:autoSpaceDN w:val="0"/>
        <w:spacing w:after="0"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041A12E" w14:textId="5E520A17" w:rsidR="001A2C0B" w:rsidRPr="006241A8" w:rsidRDefault="001A2C0B" w:rsidP="00C856F9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        _________________________________             ___________________________________</w:t>
      </w:r>
    </w:p>
    <w:p w14:paraId="10D127D9" w14:textId="73EE1915" w:rsidR="001A2C0B" w:rsidRPr="006241A8" w:rsidRDefault="001A2C0B" w:rsidP="00C856F9">
      <w:pPr>
        <w:widowControl w:val="0"/>
        <w:tabs>
          <w:tab w:val="left" w:pos="5052"/>
        </w:tabs>
        <w:autoSpaceDE w:val="0"/>
        <w:autoSpaceDN w:val="0"/>
        <w:spacing w:before="60" w:after="0" w:line="276" w:lineRule="auto"/>
        <w:ind w:right="90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Signature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ab/>
        <w:t>Seller’s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Signature</w:t>
      </w:r>
    </w:p>
    <w:p w14:paraId="10453870" w14:textId="77777777" w:rsidR="001A2C0B" w:rsidRPr="006241A8" w:rsidRDefault="001A2C0B" w:rsidP="00C856F9">
      <w:pPr>
        <w:widowControl w:val="0"/>
        <w:tabs>
          <w:tab w:val="left" w:pos="5052"/>
        </w:tabs>
        <w:autoSpaceDE w:val="0"/>
        <w:autoSpaceDN w:val="0"/>
        <w:spacing w:before="60" w:after="0" w:line="276" w:lineRule="auto"/>
        <w:ind w:right="90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2F263E8" w14:textId="751E9747" w:rsidR="001A2C0B" w:rsidRPr="006241A8" w:rsidRDefault="001A2C0B" w:rsidP="00C856F9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        _________________________________             ___________________________________</w:t>
      </w:r>
    </w:p>
    <w:p w14:paraId="6E9A2806" w14:textId="4A92D344" w:rsidR="001A2C0B" w:rsidRPr="006241A8" w:rsidRDefault="001A2C0B" w:rsidP="00C856F9">
      <w:pPr>
        <w:widowControl w:val="0"/>
        <w:autoSpaceDE w:val="0"/>
        <w:autoSpaceDN w:val="0"/>
        <w:spacing w:before="10" w:after="0"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lastRenderedPageBreak/>
        <w:t xml:space="preserve">Date                                                          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ab/>
      </w:r>
      <w:proofErr w:type="spellStart"/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Date</w:t>
      </w:r>
      <w:proofErr w:type="spellEnd"/>
    </w:p>
    <w:p w14:paraId="7DBFA27A" w14:textId="77777777" w:rsidR="001A2C0B" w:rsidRPr="006241A8" w:rsidRDefault="001A2C0B" w:rsidP="00C856F9">
      <w:pPr>
        <w:widowControl w:val="0"/>
        <w:autoSpaceDE w:val="0"/>
        <w:autoSpaceDN w:val="0"/>
        <w:spacing w:before="10" w:after="0"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AFE65C4" w14:textId="248CBBA6" w:rsidR="001A2C0B" w:rsidRPr="006241A8" w:rsidRDefault="001A2C0B" w:rsidP="00C856F9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        _________________________________             ___________________________________</w:t>
      </w:r>
    </w:p>
    <w:p w14:paraId="0ADFEC59" w14:textId="3BC92D2A" w:rsidR="001A2C0B" w:rsidRPr="006241A8" w:rsidRDefault="001A2C0B" w:rsidP="00C856F9">
      <w:pPr>
        <w:widowControl w:val="0"/>
        <w:autoSpaceDE w:val="0"/>
        <w:autoSpaceDN w:val="0"/>
        <w:spacing w:before="10" w:after="0"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Printed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5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Name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ab/>
        <w:t xml:space="preserve">                                   Seller’s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6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Printed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Name</w:t>
      </w:r>
    </w:p>
    <w:p w14:paraId="2FD66E10" w14:textId="77777777" w:rsidR="001A2C0B" w:rsidRPr="006241A8" w:rsidRDefault="001A2C0B" w:rsidP="00C856F9">
      <w:pPr>
        <w:widowControl w:val="0"/>
        <w:autoSpaceDE w:val="0"/>
        <w:autoSpaceDN w:val="0"/>
        <w:spacing w:before="10" w:after="0"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4978AA6" w14:textId="77777777" w:rsidR="001A2C0B" w:rsidRPr="006241A8" w:rsidRDefault="001A2C0B" w:rsidP="00C856F9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        _________________________________             ___________________________________</w:t>
      </w:r>
    </w:p>
    <w:p w14:paraId="4330E346" w14:textId="5049326E" w:rsidR="001A2C0B" w:rsidRPr="006241A8" w:rsidRDefault="001A2C0B" w:rsidP="00C856F9">
      <w:pPr>
        <w:widowControl w:val="0"/>
        <w:tabs>
          <w:tab w:val="left" w:pos="5052"/>
        </w:tabs>
        <w:autoSpaceDE w:val="0"/>
        <w:autoSpaceDN w:val="0"/>
        <w:spacing w:before="60" w:after="0" w:line="276" w:lineRule="auto"/>
        <w:ind w:right="90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Buyer’s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7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Signature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ab/>
        <w:t>Seller’s</w:t>
      </w:r>
      <w:r w:rsidRPr="006241A8">
        <w:rPr>
          <w:rFonts w:ascii="Century Gothic" w:eastAsia="Times New Roman" w:hAnsi="Century Gothic" w:cs="Times New Roman"/>
          <w:color w:val="000000" w:themeColor="text1"/>
          <w:spacing w:val="-8"/>
          <w:sz w:val="24"/>
          <w:szCs w:val="24"/>
        </w:rPr>
        <w:t xml:space="preserve"> 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Signature</w:t>
      </w:r>
    </w:p>
    <w:p w14:paraId="23207EE7" w14:textId="77777777" w:rsidR="001A2C0B" w:rsidRPr="006241A8" w:rsidRDefault="001A2C0B" w:rsidP="00C856F9">
      <w:pPr>
        <w:widowControl w:val="0"/>
        <w:tabs>
          <w:tab w:val="left" w:pos="5052"/>
        </w:tabs>
        <w:autoSpaceDE w:val="0"/>
        <w:autoSpaceDN w:val="0"/>
        <w:spacing w:before="60" w:after="0" w:line="276" w:lineRule="auto"/>
        <w:ind w:right="90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AA8DF99" w14:textId="77777777" w:rsidR="001A2C0B" w:rsidRPr="006241A8" w:rsidRDefault="001A2C0B" w:rsidP="00C856F9">
      <w:pPr>
        <w:widowControl w:val="0"/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        _________________________________             ___________________________________</w:t>
      </w:r>
    </w:p>
    <w:p w14:paraId="240ABC49" w14:textId="77777777" w:rsidR="001A2C0B" w:rsidRPr="006241A8" w:rsidRDefault="001A2C0B" w:rsidP="00C856F9">
      <w:pPr>
        <w:widowControl w:val="0"/>
        <w:tabs>
          <w:tab w:val="left" w:pos="5039"/>
        </w:tabs>
        <w:autoSpaceDE w:val="0"/>
        <w:autoSpaceDN w:val="0"/>
        <w:spacing w:before="60" w:after="0" w:line="276" w:lineRule="auto"/>
        <w:ind w:right="77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Date</w:t>
      </w: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ab/>
      </w:r>
      <w:proofErr w:type="spellStart"/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Date</w:t>
      </w:r>
      <w:proofErr w:type="spellEnd"/>
    </w:p>
    <w:p w14:paraId="7764DF8F" w14:textId="77777777" w:rsidR="001A2C0B" w:rsidRPr="006241A8" w:rsidRDefault="001A2C0B" w:rsidP="00C856F9">
      <w:pPr>
        <w:spacing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70FE156" w14:textId="77777777" w:rsidR="001A2C0B" w:rsidRPr="006241A8" w:rsidRDefault="001A2C0B" w:rsidP="00C856F9">
      <w:pPr>
        <w:spacing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5A2709F" w14:textId="77777777" w:rsidR="001A2C0B" w:rsidRPr="006241A8" w:rsidRDefault="001A2C0B" w:rsidP="00C856F9">
      <w:pPr>
        <w:spacing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A93C85E" w14:textId="77777777" w:rsidR="001A2C0B" w:rsidRPr="006241A8" w:rsidRDefault="001A2C0B" w:rsidP="00C856F9">
      <w:pPr>
        <w:spacing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9AE987A" w14:textId="77777777" w:rsidR="001A2C0B" w:rsidRPr="006241A8" w:rsidRDefault="001A2C0B" w:rsidP="00C856F9">
      <w:pPr>
        <w:spacing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A5205FE" w14:textId="1FCC85B3" w:rsidR="001A2C0B" w:rsidRPr="006241A8" w:rsidRDefault="001A2C0B" w:rsidP="00C856F9">
      <w:pPr>
        <w:tabs>
          <w:tab w:val="left" w:pos="2450"/>
        </w:tabs>
        <w:spacing w:line="276" w:lineRule="auto"/>
        <w:rPr>
          <w:color w:val="000000" w:themeColor="text1"/>
        </w:rPr>
      </w:pPr>
      <w:r w:rsidRPr="006241A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ab/>
      </w:r>
    </w:p>
    <w:p w14:paraId="53AFDC2A" w14:textId="1C9E1C0A" w:rsidR="001A2C0B" w:rsidRPr="006241A8" w:rsidRDefault="001A2C0B" w:rsidP="00C856F9">
      <w:pPr>
        <w:spacing w:line="276" w:lineRule="auto"/>
        <w:rPr>
          <w:color w:val="000000" w:themeColor="text1"/>
        </w:rPr>
      </w:pPr>
    </w:p>
    <w:p w14:paraId="78A66ADF" w14:textId="235ED28B" w:rsidR="001A2C0B" w:rsidRPr="006241A8" w:rsidRDefault="001A2C0B" w:rsidP="00C856F9">
      <w:pPr>
        <w:spacing w:line="276" w:lineRule="auto"/>
        <w:rPr>
          <w:color w:val="000000" w:themeColor="text1"/>
        </w:rPr>
      </w:pPr>
    </w:p>
    <w:p w14:paraId="07BFD6C5" w14:textId="20D6B762" w:rsidR="001A2C0B" w:rsidRPr="006241A8" w:rsidRDefault="001A2C0B" w:rsidP="00C856F9">
      <w:pPr>
        <w:tabs>
          <w:tab w:val="left" w:pos="1891"/>
        </w:tabs>
        <w:spacing w:line="276" w:lineRule="auto"/>
        <w:rPr>
          <w:color w:val="000000" w:themeColor="text1"/>
        </w:rPr>
      </w:pPr>
    </w:p>
    <w:sectPr w:rsidR="001A2C0B" w:rsidRPr="006241A8" w:rsidSect="00EE131D">
      <w:footerReference w:type="default" r:id="rId8"/>
      <w:pgSz w:w="12240" w:h="15840"/>
      <w:pgMar w:top="1440" w:right="1080" w:bottom="1440" w:left="1080" w:header="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6F23" w14:textId="77777777" w:rsidR="00616EE1" w:rsidRDefault="00616EE1" w:rsidP="001A2C0B">
      <w:pPr>
        <w:spacing w:after="0" w:line="240" w:lineRule="auto"/>
      </w:pPr>
      <w:r>
        <w:separator/>
      </w:r>
    </w:p>
  </w:endnote>
  <w:endnote w:type="continuationSeparator" w:id="0">
    <w:p w14:paraId="59DF8734" w14:textId="77777777" w:rsidR="00616EE1" w:rsidRDefault="00616EE1" w:rsidP="001A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7050560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94841F" w14:textId="0E6D556C" w:rsidR="001A2C0B" w:rsidRPr="001A2C0B" w:rsidRDefault="001A2C0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A2C0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A2C0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A2C0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A2C0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A2C0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A2C0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A2C0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A2C0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A2C0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A2C0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A2C0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A2C0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9BE40D" w14:textId="751F6030" w:rsidR="0033716D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8D46" w14:textId="77777777" w:rsidR="00616EE1" w:rsidRDefault="00616EE1" w:rsidP="001A2C0B">
      <w:pPr>
        <w:spacing w:after="0" w:line="240" w:lineRule="auto"/>
      </w:pPr>
      <w:r>
        <w:separator/>
      </w:r>
    </w:p>
  </w:footnote>
  <w:footnote w:type="continuationSeparator" w:id="0">
    <w:p w14:paraId="5362C599" w14:textId="77777777" w:rsidR="00616EE1" w:rsidRDefault="00616EE1" w:rsidP="001A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C73"/>
    <w:multiLevelType w:val="hybridMultilevel"/>
    <w:tmpl w:val="D1ECCDB6"/>
    <w:lvl w:ilvl="0" w:tplc="702CA882">
      <w:start w:val="1"/>
      <w:numFmt w:val="upperLetter"/>
      <w:lvlText w:val="%1."/>
      <w:lvlJc w:val="left"/>
      <w:pPr>
        <w:ind w:left="820" w:hanging="360"/>
        <w:jc w:val="left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B82E9D6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48A2C31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ACC822E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D4BCD14C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E33ABD1E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6BE0F1C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F8624F1E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C5CEF506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" w15:restartNumberingAfterBreak="0">
    <w:nsid w:val="4F8A1B8F"/>
    <w:multiLevelType w:val="hybridMultilevel"/>
    <w:tmpl w:val="7AF0C982"/>
    <w:lvl w:ilvl="0" w:tplc="84B0D2F4">
      <w:start w:val="1"/>
      <w:numFmt w:val="decimal"/>
      <w:lvlText w:val="%1."/>
      <w:lvlJc w:val="left"/>
      <w:pPr>
        <w:ind w:left="100" w:hanging="290"/>
        <w:jc w:val="left"/>
      </w:pPr>
      <w:rPr>
        <w:rFonts w:ascii="Century Gothic" w:eastAsia="Times New Roman" w:hAnsi="Century Gothic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36F608D2">
      <w:start w:val="1"/>
      <w:numFmt w:val="upperLetter"/>
      <w:lvlText w:val="%2."/>
      <w:lvlJc w:val="left"/>
      <w:pPr>
        <w:ind w:left="1540" w:hanging="360"/>
        <w:jc w:val="left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2" w:tplc="D5747C8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55E255B0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B4EE9EF6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BC28E9CA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959064C8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E2100CBA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B442F938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 w15:restartNumberingAfterBreak="0">
    <w:nsid w:val="51D81280"/>
    <w:multiLevelType w:val="hybridMultilevel"/>
    <w:tmpl w:val="67E8CB8A"/>
    <w:lvl w:ilvl="0" w:tplc="ED86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87DD6"/>
    <w:multiLevelType w:val="hybridMultilevel"/>
    <w:tmpl w:val="F0F4402E"/>
    <w:lvl w:ilvl="0" w:tplc="FFFFFFFF">
      <w:start w:val="1"/>
      <w:numFmt w:val="decimal"/>
      <w:lvlText w:val="%1."/>
      <w:lvlJc w:val="left"/>
      <w:pPr>
        <w:ind w:left="100" w:hanging="2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</w:rPr>
    </w:lvl>
    <w:lvl w:ilvl="1" w:tplc="FFFFFFFF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2" w:tplc="FFFFFFFF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40" w:hanging="360"/>
      </w:pPr>
      <w:rPr>
        <w:rFonts w:hint="default"/>
      </w:rPr>
    </w:lvl>
  </w:abstractNum>
  <w:num w:numId="1" w16cid:durableId="1259633897">
    <w:abstractNumId w:val="0"/>
  </w:num>
  <w:num w:numId="2" w16cid:durableId="1170217898">
    <w:abstractNumId w:val="1"/>
  </w:num>
  <w:num w:numId="3" w16cid:durableId="1350375555">
    <w:abstractNumId w:val="3"/>
  </w:num>
  <w:num w:numId="4" w16cid:durableId="145752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B"/>
    <w:rsid w:val="00074FC9"/>
    <w:rsid w:val="001A2C0B"/>
    <w:rsid w:val="002E2643"/>
    <w:rsid w:val="00327C0B"/>
    <w:rsid w:val="003F7CED"/>
    <w:rsid w:val="0044314C"/>
    <w:rsid w:val="00520313"/>
    <w:rsid w:val="00616EE1"/>
    <w:rsid w:val="006241A8"/>
    <w:rsid w:val="006A201E"/>
    <w:rsid w:val="00847685"/>
    <w:rsid w:val="00936BCF"/>
    <w:rsid w:val="00B56D2C"/>
    <w:rsid w:val="00BF3A35"/>
    <w:rsid w:val="00C54074"/>
    <w:rsid w:val="00C856F9"/>
    <w:rsid w:val="00DD0CAB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2A776"/>
  <w15:chartTrackingRefBased/>
  <w15:docId w15:val="{6ED3CC18-83F4-455F-A0DA-4B6B3A7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A2C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C0B"/>
  </w:style>
  <w:style w:type="paragraph" w:styleId="Header">
    <w:name w:val="header"/>
    <w:basedOn w:val="Normal"/>
    <w:link w:val="HeaderChar"/>
    <w:uiPriority w:val="99"/>
    <w:unhideWhenUsed/>
    <w:rsid w:val="001A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0B"/>
  </w:style>
  <w:style w:type="paragraph" w:styleId="Footer">
    <w:name w:val="footer"/>
    <w:basedOn w:val="Normal"/>
    <w:link w:val="FooterChar"/>
    <w:uiPriority w:val="99"/>
    <w:unhideWhenUsed/>
    <w:rsid w:val="001A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0B"/>
  </w:style>
  <w:style w:type="paragraph" w:styleId="ListParagraph">
    <w:name w:val="List Paragraph"/>
    <w:basedOn w:val="Normal"/>
    <w:uiPriority w:val="34"/>
    <w:qFormat/>
    <w:rsid w:val="00DD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1289</Words>
  <Characters>7183</Characters>
  <Application>Microsoft Office Word</Application>
  <DocSecurity>0</DocSecurity>
  <Lines>167</Lines>
  <Paragraphs>65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2022-10-15T03:36:00Z</dcterms:created>
  <dcterms:modified xsi:type="dcterms:W3CDTF">2022-11-15T12:05:00Z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2022-10-15T03:54:06Z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ee56c31a-ce9f-4283-ae19-776cd7d94b2d</vt:lpwstr>
  </property>
  <property fmtid="{D5CDD505-2E9C-101B-9397-08002B2CF9AE}" pid="8" name="MSIP_Label_defa4170-0d19-0005-0004-bc88714345d2_ContentBits">
    <vt:lpwstr>0</vt:lpwstr>
  </property>
</Properties>
</file>