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8059" w14:textId="77C6F22B" w:rsidR="00CD79AB" w:rsidRPr="00CD79AB" w:rsidRDefault="00CD79AB" w:rsidP="00CD79AB">
      <w:pPr>
        <w:rPr>
          <w:rFonts w:ascii="Corbel" w:hAnsi="Corbel"/>
          <w:b/>
          <w:bCs/>
          <w:sz w:val="24"/>
          <w:szCs w:val="24"/>
        </w:rPr>
      </w:pPr>
      <w:r w:rsidRPr="00CD79AB">
        <w:rPr>
          <w:rFonts w:ascii="Corbel" w:hAnsi="Corbel"/>
          <w:b/>
          <w:bCs/>
          <w:sz w:val="24"/>
          <w:szCs w:val="24"/>
        </w:rPr>
        <w:t xml:space="preserve">Effective Date: </w:t>
      </w:r>
      <w:sdt>
        <w:sdtPr>
          <w:rPr>
            <w:rFonts w:ascii="Corbel" w:hAnsi="Corbel"/>
            <w:sz w:val="24"/>
            <w:szCs w:val="24"/>
          </w:rPr>
          <w:id w:val="-1597715084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D79AB">
            <w:rPr>
              <w:rFonts w:ascii="Corbel" w:hAnsi="Corbel"/>
              <w:sz w:val="24"/>
              <w:szCs w:val="24"/>
            </w:rPr>
            <w:t>[Date]</w:t>
          </w:r>
        </w:sdtContent>
      </w:sdt>
    </w:p>
    <w:tbl>
      <w:tblPr>
        <w:tblStyle w:val="TableGrid"/>
        <w:tblW w:w="1044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61"/>
        <w:gridCol w:w="5269"/>
        <w:gridCol w:w="1910"/>
      </w:tblGrid>
      <w:tr w:rsidR="00921B00" w:rsidRPr="00793B93" w14:paraId="4F192E42" w14:textId="77777777" w:rsidTr="00CD79AB">
        <w:trPr>
          <w:trHeight w:val="567"/>
        </w:trPr>
        <w:tc>
          <w:tcPr>
            <w:tcW w:w="32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EAAAA" w:themeFill="background2" w:themeFillShade="BF"/>
            <w:vAlign w:val="center"/>
            <w:hideMark/>
          </w:tcPr>
          <w:p w14:paraId="2CA42F4E" w14:textId="77777777" w:rsidR="009F0153" w:rsidRPr="00793B93" w:rsidRDefault="009F0153" w:rsidP="00793B93">
            <w:pPr>
              <w:rPr>
                <w:rFonts w:ascii="Corbel" w:eastAsia="Times New Roman" w:hAnsi="Corbel" w:cs="Segoe UI"/>
                <w:b/>
                <w:bCs/>
                <w:color w:val="000000" w:themeColor="text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b/>
                <w:bCs/>
                <w:color w:val="000000" w:themeColor="text1"/>
                <w:kern w:val="0"/>
                <w:sz w:val="28"/>
                <w:szCs w:val="28"/>
                <w:lang w:eastAsia="en-GB"/>
                <w14:ligatures w14:val="none"/>
              </w:rPr>
              <w:t>Service</w:t>
            </w:r>
          </w:p>
        </w:tc>
        <w:tc>
          <w:tcPr>
            <w:tcW w:w="526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EAAAA" w:themeFill="background2" w:themeFillShade="BF"/>
            <w:vAlign w:val="center"/>
            <w:hideMark/>
          </w:tcPr>
          <w:p w14:paraId="31B78CB1" w14:textId="77777777" w:rsidR="009F0153" w:rsidRPr="00793B93" w:rsidRDefault="009F0153" w:rsidP="00793B93">
            <w:pPr>
              <w:rPr>
                <w:rFonts w:ascii="Corbel" w:eastAsia="Times New Roman" w:hAnsi="Corbel" w:cs="Segoe UI"/>
                <w:b/>
                <w:bCs/>
                <w:color w:val="000000" w:themeColor="text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b/>
                <w:bCs/>
                <w:color w:val="000000" w:themeColor="text1"/>
                <w:kern w:val="0"/>
                <w:sz w:val="28"/>
                <w:szCs w:val="28"/>
                <w:lang w:eastAsia="en-GB"/>
                <w14:ligatures w14:val="none"/>
              </w:rPr>
              <w:t>Description</w:t>
            </w:r>
          </w:p>
        </w:tc>
        <w:tc>
          <w:tcPr>
            <w:tcW w:w="19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EAAAA" w:themeFill="background2" w:themeFillShade="BF"/>
            <w:vAlign w:val="center"/>
            <w:hideMark/>
          </w:tcPr>
          <w:p w14:paraId="699D3578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b/>
                <w:bCs/>
                <w:color w:val="000000" w:themeColor="text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b/>
                <w:bCs/>
                <w:color w:val="000000" w:themeColor="text1"/>
                <w:kern w:val="0"/>
                <w:sz w:val="28"/>
                <w:szCs w:val="28"/>
                <w:lang w:eastAsia="en-GB"/>
                <w14:ligatures w14:val="none"/>
              </w:rPr>
              <w:t>Fee</w:t>
            </w:r>
          </w:p>
        </w:tc>
      </w:tr>
      <w:tr w:rsidR="00921B00" w:rsidRPr="00793B93" w14:paraId="7501CFA8" w14:textId="77777777" w:rsidTr="00CD79AB">
        <w:trPr>
          <w:trHeight w:val="1304"/>
        </w:trPr>
        <w:tc>
          <w:tcPr>
            <w:tcW w:w="3261" w:type="dxa"/>
            <w:tcBorders>
              <w:top w:val="single" w:sz="4" w:space="0" w:color="767171" w:themeColor="background2" w:themeShade="80"/>
            </w:tcBorders>
            <w:vAlign w:val="center"/>
            <w:hideMark/>
          </w:tcPr>
          <w:p w14:paraId="141088E0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Initial Consultation</w:t>
            </w:r>
          </w:p>
        </w:tc>
        <w:tc>
          <w:tcPr>
            <w:tcW w:w="5269" w:type="dxa"/>
            <w:tcBorders>
              <w:top w:val="single" w:sz="4" w:space="0" w:color="767171" w:themeColor="background2" w:themeShade="80"/>
            </w:tcBorders>
            <w:vAlign w:val="center"/>
            <w:hideMark/>
          </w:tcPr>
          <w:p w14:paraId="595FA641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Preliminary discussion to assess client's needs and options</w:t>
            </w:r>
          </w:p>
        </w:tc>
        <w:tc>
          <w:tcPr>
            <w:tcW w:w="1910" w:type="dxa"/>
            <w:tcBorders>
              <w:top w:val="single" w:sz="4" w:space="0" w:color="767171" w:themeColor="background2" w:themeShade="80"/>
            </w:tcBorders>
            <w:vAlign w:val="center"/>
            <w:hideMark/>
          </w:tcPr>
          <w:p w14:paraId="457A043F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  <w:tr w:rsidR="00921B00" w:rsidRPr="00793B93" w14:paraId="58BBFBF1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61885A03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Visa Assessment</w:t>
            </w:r>
          </w:p>
        </w:tc>
        <w:tc>
          <w:tcPr>
            <w:tcW w:w="5269" w:type="dxa"/>
            <w:vAlign w:val="center"/>
            <w:hideMark/>
          </w:tcPr>
          <w:p w14:paraId="46F21A34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Comprehensive review of client's eligibility</w:t>
            </w:r>
          </w:p>
        </w:tc>
        <w:tc>
          <w:tcPr>
            <w:tcW w:w="1910" w:type="dxa"/>
            <w:vAlign w:val="center"/>
            <w:hideMark/>
          </w:tcPr>
          <w:p w14:paraId="50E4130F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$100 - $300</w:t>
            </w:r>
          </w:p>
        </w:tc>
      </w:tr>
      <w:tr w:rsidR="00921B00" w:rsidRPr="00793B93" w14:paraId="53BD85DC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3EBD300E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Document Review</w:t>
            </w:r>
          </w:p>
        </w:tc>
        <w:tc>
          <w:tcPr>
            <w:tcW w:w="5269" w:type="dxa"/>
            <w:vAlign w:val="center"/>
            <w:hideMark/>
          </w:tcPr>
          <w:p w14:paraId="7AE96B50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Examination of client's visa application documents</w:t>
            </w:r>
          </w:p>
        </w:tc>
        <w:tc>
          <w:tcPr>
            <w:tcW w:w="1910" w:type="dxa"/>
            <w:vAlign w:val="center"/>
            <w:hideMark/>
          </w:tcPr>
          <w:p w14:paraId="67C6E148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  <w:tr w:rsidR="00921B00" w:rsidRPr="00793B93" w14:paraId="7475016D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28C528AF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Visa Application Preparation</w:t>
            </w:r>
          </w:p>
        </w:tc>
        <w:tc>
          <w:tcPr>
            <w:tcW w:w="5269" w:type="dxa"/>
            <w:vAlign w:val="center"/>
            <w:hideMark/>
          </w:tcPr>
          <w:p w14:paraId="2EB67A4C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Completion and submission of visa application</w:t>
            </w:r>
          </w:p>
        </w:tc>
        <w:tc>
          <w:tcPr>
            <w:tcW w:w="1910" w:type="dxa"/>
            <w:vAlign w:val="center"/>
            <w:hideMark/>
          </w:tcPr>
          <w:p w14:paraId="297E7C58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$200 - $500</w:t>
            </w:r>
          </w:p>
        </w:tc>
      </w:tr>
      <w:tr w:rsidR="00921B00" w:rsidRPr="00793B93" w14:paraId="2AB9651C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47C49B0C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Interview Preparation</w:t>
            </w:r>
          </w:p>
        </w:tc>
        <w:tc>
          <w:tcPr>
            <w:tcW w:w="5269" w:type="dxa"/>
            <w:vAlign w:val="center"/>
            <w:hideMark/>
          </w:tcPr>
          <w:p w14:paraId="5C7CFD4A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Coaching and guidance for visa interview</w:t>
            </w:r>
          </w:p>
        </w:tc>
        <w:tc>
          <w:tcPr>
            <w:tcW w:w="1910" w:type="dxa"/>
            <w:vAlign w:val="center"/>
            <w:hideMark/>
          </w:tcPr>
          <w:p w14:paraId="420DE93B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  <w:tr w:rsidR="00921B00" w:rsidRPr="00793B93" w14:paraId="2F807AE9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2568B37F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Visa Filing and Follow-up</w:t>
            </w:r>
          </w:p>
        </w:tc>
        <w:tc>
          <w:tcPr>
            <w:tcW w:w="5269" w:type="dxa"/>
            <w:vAlign w:val="center"/>
            <w:hideMark/>
          </w:tcPr>
          <w:p w14:paraId="3CBADE30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Managing the application process and follow-up</w:t>
            </w:r>
          </w:p>
        </w:tc>
        <w:tc>
          <w:tcPr>
            <w:tcW w:w="1910" w:type="dxa"/>
            <w:vAlign w:val="center"/>
            <w:hideMark/>
          </w:tcPr>
          <w:p w14:paraId="67EAA31D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$100 - $300</w:t>
            </w:r>
          </w:p>
        </w:tc>
      </w:tr>
      <w:tr w:rsidR="00921B00" w:rsidRPr="00793B93" w14:paraId="7D97B249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6EF7FB48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Expedited Processing Assistance</w:t>
            </w:r>
          </w:p>
        </w:tc>
        <w:tc>
          <w:tcPr>
            <w:tcW w:w="5269" w:type="dxa"/>
            <w:vAlign w:val="center"/>
            <w:hideMark/>
          </w:tcPr>
          <w:p w14:paraId="3A6FF3AA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Priority handling of time-sensitive applications</w:t>
            </w:r>
          </w:p>
        </w:tc>
        <w:tc>
          <w:tcPr>
            <w:tcW w:w="1910" w:type="dxa"/>
            <w:vAlign w:val="center"/>
            <w:hideMark/>
          </w:tcPr>
          <w:p w14:paraId="73E399FF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$50 - $200</w:t>
            </w:r>
          </w:p>
        </w:tc>
      </w:tr>
      <w:tr w:rsidR="00921B00" w:rsidRPr="00793B93" w14:paraId="6B4563B1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46A0A2EF" w14:textId="0AA92E6E" w:rsidR="00793B93" w:rsidRDefault="009F0153" w:rsidP="00ED3D4E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Visa Status Updates</w:t>
            </w:r>
          </w:p>
          <w:p w14:paraId="3F9F9507" w14:textId="77777777" w:rsidR="00793B93" w:rsidRPr="00793B93" w:rsidRDefault="00793B93" w:rsidP="00ED3D4E">
            <w:pPr>
              <w:rPr>
                <w:rFonts w:ascii="Corbel" w:eastAsia="Times New Roman" w:hAnsi="Corbel" w:cs="Segoe UI"/>
                <w:sz w:val="24"/>
                <w:szCs w:val="24"/>
                <w:lang w:eastAsia="en-GB"/>
              </w:rPr>
            </w:pPr>
          </w:p>
        </w:tc>
        <w:tc>
          <w:tcPr>
            <w:tcW w:w="5269" w:type="dxa"/>
            <w:vAlign w:val="center"/>
            <w:hideMark/>
          </w:tcPr>
          <w:p w14:paraId="682506C8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Regular updates on the application status</w:t>
            </w:r>
          </w:p>
        </w:tc>
        <w:tc>
          <w:tcPr>
            <w:tcW w:w="1910" w:type="dxa"/>
            <w:vAlign w:val="center"/>
            <w:hideMark/>
          </w:tcPr>
          <w:p w14:paraId="6F820D4E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$20 - $50</w:t>
            </w:r>
          </w:p>
        </w:tc>
      </w:tr>
      <w:tr w:rsidR="00921B00" w:rsidRPr="00793B93" w14:paraId="744719AC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600E6EF7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Document Translation</w:t>
            </w:r>
          </w:p>
        </w:tc>
        <w:tc>
          <w:tcPr>
            <w:tcW w:w="5269" w:type="dxa"/>
            <w:vAlign w:val="center"/>
            <w:hideMark/>
          </w:tcPr>
          <w:p w14:paraId="24C3E8B4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Translation of application documents</w:t>
            </w:r>
          </w:p>
        </w:tc>
        <w:tc>
          <w:tcPr>
            <w:tcW w:w="1910" w:type="dxa"/>
            <w:vAlign w:val="center"/>
            <w:hideMark/>
          </w:tcPr>
          <w:p w14:paraId="0AC2F53F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$20 - $100</w:t>
            </w:r>
          </w:p>
        </w:tc>
      </w:tr>
      <w:tr w:rsidR="00921B00" w:rsidRPr="00793B93" w14:paraId="131BD0D8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66B0C6A1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Appeal Assistance</w:t>
            </w:r>
          </w:p>
        </w:tc>
        <w:tc>
          <w:tcPr>
            <w:tcW w:w="5269" w:type="dxa"/>
            <w:vAlign w:val="center"/>
            <w:hideMark/>
          </w:tcPr>
          <w:p w14:paraId="26C1051A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Guidance and support for visa application appeals</w:t>
            </w:r>
          </w:p>
        </w:tc>
        <w:tc>
          <w:tcPr>
            <w:tcW w:w="1910" w:type="dxa"/>
            <w:vAlign w:val="center"/>
            <w:hideMark/>
          </w:tcPr>
          <w:p w14:paraId="55ED7E86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$100 - $300</w:t>
            </w:r>
          </w:p>
        </w:tc>
      </w:tr>
      <w:tr w:rsidR="00921B00" w:rsidRPr="00793B93" w14:paraId="743233C2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2D27B31B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Premium Package (Full Service)</w:t>
            </w:r>
          </w:p>
        </w:tc>
        <w:tc>
          <w:tcPr>
            <w:tcW w:w="5269" w:type="dxa"/>
            <w:vAlign w:val="center"/>
            <w:hideMark/>
          </w:tcPr>
          <w:p w14:paraId="670ED4F8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End-to-end support including all services</w:t>
            </w:r>
          </w:p>
        </w:tc>
        <w:tc>
          <w:tcPr>
            <w:tcW w:w="1910" w:type="dxa"/>
            <w:vAlign w:val="center"/>
            <w:hideMark/>
          </w:tcPr>
          <w:p w14:paraId="3F0D16D8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$600 - $1500</w:t>
            </w:r>
          </w:p>
        </w:tc>
      </w:tr>
      <w:tr w:rsidR="00921B00" w:rsidRPr="00793B93" w14:paraId="292FD3A6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44F88AC5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Business/Investor Visa Consultation</w:t>
            </w:r>
          </w:p>
        </w:tc>
        <w:tc>
          <w:tcPr>
            <w:tcW w:w="5269" w:type="dxa"/>
            <w:vAlign w:val="center"/>
            <w:hideMark/>
          </w:tcPr>
          <w:p w14:paraId="0DF0739F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Specialized advice for business and investor visas</w:t>
            </w:r>
          </w:p>
        </w:tc>
        <w:tc>
          <w:tcPr>
            <w:tcW w:w="1910" w:type="dxa"/>
            <w:vAlign w:val="center"/>
            <w:hideMark/>
          </w:tcPr>
          <w:p w14:paraId="5C905C3F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$150 - $400</w:t>
            </w:r>
          </w:p>
        </w:tc>
      </w:tr>
      <w:tr w:rsidR="00921B00" w:rsidRPr="00793B93" w14:paraId="15920EFC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2AD75D53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Family/Spousal Visa Consultation</w:t>
            </w:r>
          </w:p>
        </w:tc>
        <w:tc>
          <w:tcPr>
            <w:tcW w:w="5269" w:type="dxa"/>
            <w:vAlign w:val="center"/>
            <w:hideMark/>
          </w:tcPr>
          <w:p w14:paraId="232400B6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Guidance on family-related visa applications</w:t>
            </w:r>
          </w:p>
        </w:tc>
        <w:tc>
          <w:tcPr>
            <w:tcW w:w="1910" w:type="dxa"/>
            <w:vAlign w:val="center"/>
            <w:hideMark/>
          </w:tcPr>
          <w:p w14:paraId="373C0B80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$100 - $300</w:t>
            </w:r>
          </w:p>
        </w:tc>
      </w:tr>
      <w:tr w:rsidR="00921B00" w:rsidRPr="00793B93" w14:paraId="5FF61D5C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1F559917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Student Visa Consultation</w:t>
            </w:r>
          </w:p>
        </w:tc>
        <w:tc>
          <w:tcPr>
            <w:tcW w:w="5269" w:type="dxa"/>
            <w:vAlign w:val="center"/>
            <w:hideMark/>
          </w:tcPr>
          <w:p w14:paraId="31DEBC08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Assistance with student visa applications</w:t>
            </w:r>
          </w:p>
        </w:tc>
        <w:tc>
          <w:tcPr>
            <w:tcW w:w="1910" w:type="dxa"/>
            <w:vAlign w:val="center"/>
            <w:hideMark/>
          </w:tcPr>
          <w:p w14:paraId="48E04CFB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$100 - $300</w:t>
            </w:r>
          </w:p>
        </w:tc>
      </w:tr>
      <w:tr w:rsidR="00921B00" w:rsidRPr="00793B93" w14:paraId="00583964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7FD14D00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Work Visa Consultation</w:t>
            </w:r>
          </w:p>
        </w:tc>
        <w:tc>
          <w:tcPr>
            <w:tcW w:w="5269" w:type="dxa"/>
            <w:vAlign w:val="center"/>
            <w:hideMark/>
          </w:tcPr>
          <w:p w14:paraId="1B83FF80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Advice and support for work-related visas</w:t>
            </w:r>
          </w:p>
        </w:tc>
        <w:tc>
          <w:tcPr>
            <w:tcW w:w="1910" w:type="dxa"/>
            <w:vAlign w:val="center"/>
            <w:hideMark/>
          </w:tcPr>
          <w:p w14:paraId="31ED86C6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$100 - $300</w:t>
            </w:r>
          </w:p>
        </w:tc>
      </w:tr>
      <w:tr w:rsidR="00921B00" w:rsidRPr="00793B93" w14:paraId="2B91D560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539E748A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Travel Visa Consultation</w:t>
            </w:r>
          </w:p>
        </w:tc>
        <w:tc>
          <w:tcPr>
            <w:tcW w:w="5269" w:type="dxa"/>
            <w:vAlign w:val="center"/>
            <w:hideMark/>
          </w:tcPr>
          <w:p w14:paraId="00E9A95B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Guidance on tourist and travel visas</w:t>
            </w:r>
          </w:p>
        </w:tc>
        <w:tc>
          <w:tcPr>
            <w:tcW w:w="1910" w:type="dxa"/>
            <w:vAlign w:val="center"/>
            <w:hideMark/>
          </w:tcPr>
          <w:p w14:paraId="1F12B40B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  <w:tr w:rsidR="00921B00" w:rsidRPr="00793B93" w14:paraId="15DA235C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14B39EE1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Citizenship Application Assistance</w:t>
            </w:r>
          </w:p>
        </w:tc>
        <w:tc>
          <w:tcPr>
            <w:tcW w:w="5269" w:type="dxa"/>
            <w:vAlign w:val="center"/>
            <w:hideMark/>
          </w:tcPr>
          <w:p w14:paraId="49E2D526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Support for applying for citizenship</w:t>
            </w:r>
          </w:p>
        </w:tc>
        <w:tc>
          <w:tcPr>
            <w:tcW w:w="1910" w:type="dxa"/>
            <w:vAlign w:val="center"/>
            <w:hideMark/>
          </w:tcPr>
          <w:p w14:paraId="1E17E5DD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$150 - $400</w:t>
            </w:r>
          </w:p>
        </w:tc>
      </w:tr>
      <w:tr w:rsidR="00921B00" w:rsidRPr="00793B93" w14:paraId="739AFA68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6C8B2C41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Group/Corporate Rates</w:t>
            </w:r>
          </w:p>
        </w:tc>
        <w:tc>
          <w:tcPr>
            <w:tcW w:w="5269" w:type="dxa"/>
            <w:vAlign w:val="center"/>
            <w:hideMark/>
          </w:tcPr>
          <w:p w14:paraId="322D9D6B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Discounted rates for multiple clients or corporate groups</w:t>
            </w:r>
          </w:p>
        </w:tc>
        <w:tc>
          <w:tcPr>
            <w:tcW w:w="1910" w:type="dxa"/>
            <w:vAlign w:val="center"/>
            <w:hideMark/>
          </w:tcPr>
          <w:p w14:paraId="1AFCE99D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Customized</w:t>
            </w:r>
          </w:p>
        </w:tc>
      </w:tr>
      <w:tr w:rsidR="00921B00" w:rsidRPr="00793B93" w14:paraId="0566ED03" w14:textId="77777777" w:rsidTr="00CD79AB">
        <w:trPr>
          <w:trHeight w:val="1304"/>
        </w:trPr>
        <w:tc>
          <w:tcPr>
            <w:tcW w:w="3261" w:type="dxa"/>
            <w:vAlign w:val="center"/>
            <w:hideMark/>
          </w:tcPr>
          <w:p w14:paraId="1B8567D6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Hourly Consultation</w:t>
            </w:r>
          </w:p>
        </w:tc>
        <w:tc>
          <w:tcPr>
            <w:tcW w:w="5269" w:type="dxa"/>
            <w:vAlign w:val="center"/>
            <w:hideMark/>
          </w:tcPr>
          <w:p w14:paraId="67ED408D" w14:textId="77777777" w:rsidR="009F0153" w:rsidRPr="00793B93" w:rsidRDefault="009F0153" w:rsidP="00793B93">
            <w:pPr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Customized advice on an hourly basis</w:t>
            </w:r>
          </w:p>
        </w:tc>
        <w:tc>
          <w:tcPr>
            <w:tcW w:w="1910" w:type="dxa"/>
            <w:vAlign w:val="center"/>
            <w:hideMark/>
          </w:tcPr>
          <w:p w14:paraId="13D249D3" w14:textId="77777777" w:rsidR="009F0153" w:rsidRPr="00793B93" w:rsidRDefault="009F0153" w:rsidP="00793B93">
            <w:pPr>
              <w:jc w:val="center"/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B93">
              <w:rPr>
                <w:rFonts w:ascii="Corbel" w:eastAsia="Times New Roman" w:hAnsi="Corbel" w:cs="Segoe UI"/>
                <w:color w:val="000000" w:themeColor="text1"/>
                <w:kern w:val="0"/>
                <w:sz w:val="24"/>
                <w:szCs w:val="24"/>
                <w:lang w:eastAsia="en-GB"/>
                <w14:ligatures w14:val="none"/>
              </w:rPr>
              <w:t>$50 - $150</w:t>
            </w:r>
          </w:p>
        </w:tc>
      </w:tr>
    </w:tbl>
    <w:p w14:paraId="4D191AD8" w14:textId="77777777" w:rsidR="009F0153" w:rsidRPr="00793B93" w:rsidRDefault="009F0153">
      <w:pPr>
        <w:rPr>
          <w:rFonts w:ascii="Corbel" w:hAnsi="Corbel"/>
        </w:rPr>
      </w:pPr>
    </w:p>
    <w:p w14:paraId="6F569ADB" w14:textId="1E3B15F2" w:rsidR="009F0153" w:rsidRPr="00ED3D4E" w:rsidRDefault="009F0153">
      <w:pPr>
        <w:rPr>
          <w:rFonts w:ascii="Corbel" w:hAnsi="Corbel"/>
          <w:sz w:val="24"/>
          <w:szCs w:val="24"/>
        </w:rPr>
      </w:pPr>
      <w:r w:rsidRPr="00ED3D4E">
        <w:rPr>
          <w:rFonts w:ascii="Corbel" w:hAnsi="Corbel"/>
          <w:sz w:val="24"/>
          <w:szCs w:val="24"/>
        </w:rPr>
        <w:t>Please remember that these fee ranges are indicative and can vary significantly based on location, consultant reputation, complexity of the case, and additional services provided.</w:t>
      </w:r>
    </w:p>
    <w:sectPr w:rsidR="009F0153" w:rsidRPr="00ED3D4E" w:rsidSect="00793B93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5FA6" w14:textId="77777777" w:rsidR="008A291A" w:rsidRDefault="008A291A" w:rsidP="00921B00">
      <w:pPr>
        <w:spacing w:after="0" w:line="240" w:lineRule="auto"/>
      </w:pPr>
      <w:r>
        <w:separator/>
      </w:r>
    </w:p>
  </w:endnote>
  <w:endnote w:type="continuationSeparator" w:id="0">
    <w:p w14:paraId="4428F911" w14:textId="77777777" w:rsidR="008A291A" w:rsidRDefault="008A291A" w:rsidP="0092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709"/>
      <w:gridCol w:w="1984"/>
      <w:gridCol w:w="709"/>
      <w:gridCol w:w="2126"/>
      <w:gridCol w:w="709"/>
      <w:gridCol w:w="2551"/>
    </w:tblGrid>
    <w:tr w:rsidR="00793B93" w14:paraId="4CDD2B93" w14:textId="77777777" w:rsidTr="00793B93">
      <w:trPr>
        <w:trHeight w:val="737"/>
      </w:trPr>
      <w:tc>
        <w:tcPr>
          <w:tcW w:w="3403" w:type="dxa"/>
          <w:vAlign w:val="center"/>
          <w:hideMark/>
        </w:tcPr>
        <w:p w14:paraId="605814D5" w14:textId="7DEBA749" w:rsidR="00793B93" w:rsidRDefault="00793B93" w:rsidP="00793B93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511615D" wp14:editId="388914B1">
                <wp:simplePos x="0" y="0"/>
                <wp:positionH relativeFrom="column">
                  <wp:posOffset>483235</wp:posOffset>
                </wp:positionH>
                <wp:positionV relativeFrom="paragraph">
                  <wp:posOffset>18415</wp:posOffset>
                </wp:positionV>
                <wp:extent cx="848995" cy="287655"/>
                <wp:effectExtent l="0" t="0" r="8255" b="0"/>
                <wp:wrapNone/>
                <wp:docPr id="1079908796" name="Pictur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  <w:hideMark/>
        </w:tcPr>
        <w:p w14:paraId="2E2426BE" w14:textId="7BF4CCC8" w:rsidR="00793B93" w:rsidRDefault="00793B93" w:rsidP="00793B93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6D0F204" wp14:editId="2A077A8A">
                <wp:simplePos x="0" y="0"/>
                <wp:positionH relativeFrom="column">
                  <wp:posOffset>40640</wp:posOffset>
                </wp:positionH>
                <wp:positionV relativeFrom="paragraph">
                  <wp:posOffset>106045</wp:posOffset>
                </wp:positionV>
                <wp:extent cx="251460" cy="251460"/>
                <wp:effectExtent l="0" t="0" r="0" b="0"/>
                <wp:wrapNone/>
                <wp:docPr id="968762787" name="Graphic 3" descr="Receiver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762787" name="Graphic 3" descr="Receiver with solid fil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  <w:hideMark/>
        </w:tcPr>
        <w:p w14:paraId="3BEF0810" w14:textId="77777777" w:rsidR="00793B93" w:rsidRDefault="00793B93" w:rsidP="00793B93">
          <w:pPr>
            <w:pStyle w:val="Footer"/>
          </w:pPr>
          <w:r>
            <w:t>[Phone Number]</w:t>
          </w:r>
        </w:p>
      </w:tc>
      <w:tc>
        <w:tcPr>
          <w:tcW w:w="709" w:type="dxa"/>
          <w:vAlign w:val="center"/>
          <w:hideMark/>
        </w:tcPr>
        <w:p w14:paraId="5C151AC3" w14:textId="5E32F6C3" w:rsidR="00793B93" w:rsidRDefault="00793B93" w:rsidP="00793B93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8E17D5C" wp14:editId="0D1E4B14">
                <wp:simplePos x="0" y="0"/>
                <wp:positionH relativeFrom="column">
                  <wp:posOffset>43815</wp:posOffset>
                </wp:positionH>
                <wp:positionV relativeFrom="paragraph">
                  <wp:posOffset>-36830</wp:posOffset>
                </wp:positionV>
                <wp:extent cx="251460" cy="251460"/>
                <wp:effectExtent l="0" t="0" r="0" b="0"/>
                <wp:wrapNone/>
                <wp:docPr id="434061092" name="Graphic 2" descr="Email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061092" name="Graphic 2" descr="Email with solid fill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14:paraId="30B09996" w14:textId="77777777" w:rsidR="00793B93" w:rsidRDefault="00793B93" w:rsidP="00793B93">
          <w:pPr>
            <w:pStyle w:val="Footer"/>
          </w:pPr>
          <w:r>
            <w:t>[Email Address]</w:t>
          </w:r>
        </w:p>
      </w:tc>
      <w:tc>
        <w:tcPr>
          <w:tcW w:w="709" w:type="dxa"/>
          <w:vAlign w:val="center"/>
          <w:hideMark/>
        </w:tcPr>
        <w:p w14:paraId="0200D4CE" w14:textId="5F235056" w:rsidR="00793B93" w:rsidRDefault="00793B93" w:rsidP="00793B93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9320A5" wp14:editId="1E3E828E">
                <wp:simplePos x="0" y="0"/>
                <wp:positionH relativeFrom="column">
                  <wp:posOffset>43815</wp:posOffset>
                </wp:positionH>
                <wp:positionV relativeFrom="paragraph">
                  <wp:posOffset>-11430</wp:posOffset>
                </wp:positionV>
                <wp:extent cx="251460" cy="251460"/>
                <wp:effectExtent l="0" t="0" r="0" b="0"/>
                <wp:wrapNone/>
                <wp:docPr id="49316947" name="Graphic 1" descr="World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16947" name="Graphic 1" descr="World with solid fil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  <w:vAlign w:val="center"/>
          <w:hideMark/>
        </w:tcPr>
        <w:p w14:paraId="74F096FC" w14:textId="77777777" w:rsidR="00793B93" w:rsidRDefault="00793B93" w:rsidP="00793B93">
          <w:pPr>
            <w:pStyle w:val="Footer"/>
          </w:pPr>
          <w:r>
            <w:t>[Website]</w:t>
          </w:r>
        </w:p>
      </w:tc>
    </w:tr>
  </w:tbl>
  <w:p w14:paraId="3057E3E9" w14:textId="77777777" w:rsidR="00793B93" w:rsidRDefault="00793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BB35" w14:textId="77777777" w:rsidR="008A291A" w:rsidRDefault="008A291A" w:rsidP="00921B00">
      <w:pPr>
        <w:spacing w:after="0" w:line="240" w:lineRule="auto"/>
      </w:pPr>
      <w:r>
        <w:separator/>
      </w:r>
    </w:p>
  </w:footnote>
  <w:footnote w:type="continuationSeparator" w:id="0">
    <w:p w14:paraId="3BE51633" w14:textId="77777777" w:rsidR="008A291A" w:rsidRDefault="008A291A" w:rsidP="0092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4"/>
      <w:gridCol w:w="5274"/>
    </w:tblGrid>
    <w:tr w:rsidR="00CD79AB" w:rsidRPr="00CD79AB" w14:paraId="5D16945E" w14:textId="77777777" w:rsidTr="00CD79AB">
      <w:tc>
        <w:tcPr>
          <w:tcW w:w="5274" w:type="dxa"/>
        </w:tcPr>
        <w:p w14:paraId="7E0550F3" w14:textId="11EB916C" w:rsidR="00CD79AB" w:rsidRPr="00CD79AB" w:rsidRDefault="00CD79AB" w:rsidP="00CD79AB">
          <w:pPr>
            <w:pStyle w:val="Header"/>
            <w:rPr>
              <w:rFonts w:ascii="Corbel" w:hAnsi="Corbel"/>
              <w:b/>
              <w:bCs/>
              <w:sz w:val="24"/>
              <w:szCs w:val="24"/>
              <w:lang w:val="en-US"/>
            </w:rPr>
          </w:pPr>
          <w:r w:rsidRPr="00CD79AB">
            <w:rPr>
              <w:rFonts w:ascii="Corbel" w:hAnsi="Corbel"/>
              <w:b/>
              <w:bCs/>
              <w:sz w:val="24"/>
              <w:szCs w:val="24"/>
              <w:lang w:val="en-US"/>
            </w:rPr>
            <w:t>[Visa Consultancy Name]</w:t>
          </w:r>
        </w:p>
      </w:tc>
      <w:tc>
        <w:tcPr>
          <w:tcW w:w="5274" w:type="dxa"/>
        </w:tcPr>
        <w:p w14:paraId="2CFF66C6" w14:textId="31D73A26" w:rsidR="00CD79AB" w:rsidRPr="00CD79AB" w:rsidRDefault="00CD79AB" w:rsidP="00CD79AB">
          <w:pPr>
            <w:pStyle w:val="Header"/>
            <w:jc w:val="right"/>
            <w:rPr>
              <w:rFonts w:ascii="Corbel" w:hAnsi="Corbel"/>
              <w:b/>
              <w:bCs/>
              <w:sz w:val="24"/>
              <w:szCs w:val="24"/>
            </w:rPr>
          </w:pPr>
          <w:r w:rsidRPr="00CD79AB">
            <w:rPr>
              <w:rFonts w:ascii="Corbel" w:hAnsi="Corbel"/>
              <w:b/>
              <w:bCs/>
              <w:sz w:val="24"/>
              <w:szCs w:val="24"/>
            </w:rPr>
            <w:t>Fee Schedule</w:t>
          </w:r>
        </w:p>
      </w:tc>
    </w:tr>
  </w:tbl>
  <w:p w14:paraId="03DD1D35" w14:textId="11022BDD" w:rsidR="00793B93" w:rsidRPr="00CD79AB" w:rsidRDefault="00793B93" w:rsidP="00CD7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53"/>
    <w:rsid w:val="00193656"/>
    <w:rsid w:val="004F557D"/>
    <w:rsid w:val="006F06C2"/>
    <w:rsid w:val="00793B93"/>
    <w:rsid w:val="008A291A"/>
    <w:rsid w:val="00921B00"/>
    <w:rsid w:val="009F0153"/>
    <w:rsid w:val="00CD79AB"/>
    <w:rsid w:val="00DB12A0"/>
    <w:rsid w:val="00ED3D4E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D7AED"/>
  <w15:chartTrackingRefBased/>
  <w15:docId w15:val="{A4F25C41-F9C5-4882-95BD-B87ADA3A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00"/>
  </w:style>
  <w:style w:type="paragraph" w:styleId="Footer">
    <w:name w:val="footer"/>
    <w:basedOn w:val="Normal"/>
    <w:link w:val="FooterChar"/>
    <w:uiPriority w:val="99"/>
    <w:unhideWhenUsed/>
    <w:rsid w:val="0092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00"/>
  </w:style>
  <w:style w:type="table" w:styleId="TableGrid">
    <w:name w:val="Table Grid"/>
    <w:basedOn w:val="TableNormal"/>
    <w:uiPriority w:val="39"/>
    <w:rsid w:val="0092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7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/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39ED-7AB1-4C74-98EE-451B72E9BDF4}"/>
      </w:docPartPr>
      <w:docPartBody>
        <w:p w:rsidR="00000000" w:rsidRDefault="00214AD2">
          <w:r w:rsidRPr="00C327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D2"/>
    <w:rsid w:val="00214AD2"/>
    <w:rsid w:val="0095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A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dcterms:created xsi:type="dcterms:W3CDTF">2023-08-29T10:22:00Z</dcterms:created>
  <dcterms:modified xsi:type="dcterms:W3CDTF">2023-09-06T06:00:00Z</dcterms:modified>
</cp:coreProperties>
</file>