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CFA7" w14:textId="377CBE19" w:rsidR="00511EB6" w:rsidRPr="00E97DBC" w:rsidRDefault="00E97DBC" w:rsidP="00E97DBC">
      <w:pPr>
        <w:spacing w:line="276" w:lineRule="auto"/>
        <w:jc w:val="center"/>
        <w:rPr>
          <w:rFonts w:ascii="Segoe UI" w:hAnsi="Segoe UI" w:cs="Segoe UI"/>
          <w:b/>
          <w:bCs/>
          <w:sz w:val="40"/>
          <w:szCs w:val="40"/>
        </w:rPr>
      </w:pPr>
      <w:r w:rsidRPr="00E97DBC">
        <w:rPr>
          <w:rFonts w:ascii="Segoe UI" w:hAnsi="Segoe UI" w:cs="Segoe UI"/>
          <w:b/>
          <w:bCs/>
          <w:sz w:val="40"/>
          <w:szCs w:val="40"/>
        </w:rPr>
        <w:t xml:space="preserve">REMEDIATION PLAN </w:t>
      </w:r>
    </w:p>
    <w:p w14:paraId="2D430567" w14:textId="6F5F0D23" w:rsidR="00511EB6" w:rsidRPr="00E97DBC" w:rsidRDefault="00511EB6" w:rsidP="00E97DBC">
      <w:pPr>
        <w:spacing w:line="276" w:lineRule="auto"/>
        <w:rPr>
          <w:rFonts w:ascii="Segoe UI" w:hAnsi="Segoe UI" w:cs="Segoe UI"/>
          <w:sz w:val="24"/>
          <w:szCs w:val="24"/>
        </w:rPr>
      </w:pPr>
      <w:r w:rsidRPr="00E97DBC">
        <w:rPr>
          <w:rFonts w:ascii="Segoe UI" w:hAnsi="Segoe UI" w:cs="Segoe UI"/>
          <w:sz w:val="24"/>
          <w:szCs w:val="24"/>
        </w:rPr>
        <w:t xml:space="preserve">Problem Statement: </w:t>
      </w:r>
      <w:r w:rsidR="00007BE2" w:rsidRPr="00E97DBC">
        <w:rPr>
          <w:rFonts w:ascii="Segoe UI" w:hAnsi="Segoe UI" w:cs="Segoe UI"/>
          <w:sz w:val="24"/>
          <w:szCs w:val="24"/>
        </w:rPr>
        <w:t>Healthcare organization identifies challenges related to medication errors.</w:t>
      </w:r>
    </w:p>
    <w:tbl>
      <w:tblPr>
        <w:tblStyle w:val="TableGrid"/>
        <w:tblW w:w="5000" w:type="pct"/>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3421"/>
        <w:gridCol w:w="4363"/>
      </w:tblGrid>
      <w:tr w:rsidR="00511EB6" w:rsidRPr="00E97DBC" w14:paraId="569163DC" w14:textId="77777777" w:rsidTr="003749C8">
        <w:trPr>
          <w:trHeight w:val="720"/>
        </w:trPr>
        <w:tc>
          <w:tcPr>
            <w:tcW w:w="1093" w:type="pct"/>
            <w:vAlign w:val="center"/>
          </w:tcPr>
          <w:p w14:paraId="05CEFD22" w14:textId="0B19A0B0" w:rsidR="00511EB6" w:rsidRPr="00E97DBC" w:rsidRDefault="00511EB6" w:rsidP="00E97DBC">
            <w:pPr>
              <w:spacing w:line="276" w:lineRule="auto"/>
              <w:jc w:val="center"/>
              <w:rPr>
                <w:rFonts w:ascii="Segoe UI" w:hAnsi="Segoe UI" w:cs="Segoe UI"/>
                <w:b/>
                <w:bCs/>
                <w:sz w:val="28"/>
                <w:szCs w:val="28"/>
              </w:rPr>
            </w:pPr>
            <w:r w:rsidRPr="00E97DBC">
              <w:rPr>
                <w:rFonts w:ascii="Segoe UI" w:hAnsi="Segoe UI" w:cs="Segoe UI"/>
                <w:b/>
                <w:bCs/>
                <w:sz w:val="28"/>
                <w:szCs w:val="28"/>
              </w:rPr>
              <w:t>Step</w:t>
            </w:r>
          </w:p>
        </w:tc>
        <w:tc>
          <w:tcPr>
            <w:tcW w:w="1717" w:type="pct"/>
            <w:vAlign w:val="center"/>
          </w:tcPr>
          <w:p w14:paraId="70D1C502" w14:textId="71364325" w:rsidR="00511EB6" w:rsidRPr="00E97DBC" w:rsidRDefault="00511EB6" w:rsidP="00E97DBC">
            <w:pPr>
              <w:spacing w:line="276" w:lineRule="auto"/>
              <w:jc w:val="center"/>
              <w:rPr>
                <w:rFonts w:ascii="Segoe UI" w:hAnsi="Segoe UI" w:cs="Segoe UI"/>
                <w:b/>
                <w:bCs/>
                <w:sz w:val="28"/>
                <w:szCs w:val="28"/>
              </w:rPr>
            </w:pPr>
            <w:r w:rsidRPr="00E97DBC">
              <w:rPr>
                <w:rFonts w:ascii="Segoe UI" w:hAnsi="Segoe UI" w:cs="Segoe UI"/>
                <w:b/>
                <w:bCs/>
                <w:sz w:val="28"/>
                <w:szCs w:val="28"/>
              </w:rPr>
              <w:t>Description</w:t>
            </w:r>
          </w:p>
        </w:tc>
        <w:tc>
          <w:tcPr>
            <w:tcW w:w="2190" w:type="pct"/>
            <w:vAlign w:val="center"/>
          </w:tcPr>
          <w:p w14:paraId="3A7FDEC1" w14:textId="49BAE005" w:rsidR="00511EB6" w:rsidRPr="00E97DBC" w:rsidRDefault="00511EB6" w:rsidP="00E97DBC">
            <w:pPr>
              <w:spacing w:line="276" w:lineRule="auto"/>
              <w:jc w:val="center"/>
              <w:rPr>
                <w:rFonts w:ascii="Segoe UI" w:hAnsi="Segoe UI" w:cs="Segoe UI"/>
                <w:b/>
                <w:bCs/>
                <w:sz w:val="28"/>
                <w:szCs w:val="28"/>
              </w:rPr>
            </w:pPr>
            <w:r w:rsidRPr="00E97DBC">
              <w:rPr>
                <w:rFonts w:ascii="Segoe UI" w:hAnsi="Segoe UI" w:cs="Segoe UI"/>
                <w:b/>
                <w:bCs/>
                <w:sz w:val="28"/>
                <w:szCs w:val="28"/>
              </w:rPr>
              <w:t>Example</w:t>
            </w:r>
          </w:p>
        </w:tc>
      </w:tr>
      <w:tr w:rsidR="00511EB6" w:rsidRPr="00E97DBC" w14:paraId="5C21C10C" w14:textId="77777777" w:rsidTr="003749C8">
        <w:trPr>
          <w:trHeight w:val="1440"/>
        </w:trPr>
        <w:tc>
          <w:tcPr>
            <w:tcW w:w="1093" w:type="pct"/>
            <w:vAlign w:val="center"/>
          </w:tcPr>
          <w:p w14:paraId="22B0CF48" w14:textId="21310A24" w:rsidR="00511EB6" w:rsidRPr="00E97DBC" w:rsidRDefault="00511EB6" w:rsidP="00E97DBC">
            <w:pPr>
              <w:spacing w:line="276" w:lineRule="auto"/>
              <w:jc w:val="center"/>
              <w:rPr>
                <w:rFonts w:ascii="Segoe UI" w:hAnsi="Segoe UI" w:cs="Segoe UI"/>
                <w:b/>
                <w:bCs/>
                <w:sz w:val="28"/>
                <w:szCs w:val="28"/>
              </w:rPr>
            </w:pPr>
            <w:r w:rsidRPr="00E97DBC">
              <w:rPr>
                <w:rFonts w:ascii="Segoe UI" w:hAnsi="Segoe UI" w:cs="Segoe UI"/>
                <w:b/>
                <w:bCs/>
                <w:sz w:val="28"/>
                <w:szCs w:val="28"/>
              </w:rPr>
              <w:t>1.</w:t>
            </w:r>
          </w:p>
        </w:tc>
        <w:tc>
          <w:tcPr>
            <w:tcW w:w="1717" w:type="pct"/>
            <w:vAlign w:val="center"/>
          </w:tcPr>
          <w:p w14:paraId="740CC742" w14:textId="715ED740" w:rsidR="00511EB6" w:rsidRPr="00E97DBC" w:rsidRDefault="00511EB6" w:rsidP="00E97DBC">
            <w:pPr>
              <w:spacing w:line="276" w:lineRule="auto"/>
              <w:rPr>
                <w:rFonts w:ascii="Segoe UI" w:hAnsi="Segoe UI" w:cs="Segoe UI"/>
                <w:sz w:val="24"/>
                <w:szCs w:val="24"/>
              </w:rPr>
            </w:pPr>
            <w:r w:rsidRPr="00E97DBC">
              <w:rPr>
                <w:rFonts w:ascii="Segoe UI" w:hAnsi="Segoe UI" w:cs="Segoe UI"/>
                <w:sz w:val="24"/>
                <w:szCs w:val="24"/>
              </w:rPr>
              <w:t>Conducting a risk assessment</w:t>
            </w:r>
          </w:p>
        </w:tc>
        <w:tc>
          <w:tcPr>
            <w:tcW w:w="2190" w:type="pct"/>
            <w:vAlign w:val="center"/>
          </w:tcPr>
          <w:p w14:paraId="29452178" w14:textId="5E7499B9" w:rsidR="00511EB6" w:rsidRPr="00E97DBC" w:rsidRDefault="00511EB6" w:rsidP="00E97DBC">
            <w:pPr>
              <w:spacing w:line="276" w:lineRule="auto"/>
              <w:rPr>
                <w:rFonts w:ascii="Segoe UI" w:hAnsi="Segoe UI" w:cs="Segoe UI"/>
                <w:sz w:val="20"/>
                <w:szCs w:val="20"/>
              </w:rPr>
            </w:pPr>
            <w:r w:rsidRPr="00E97DBC">
              <w:rPr>
                <w:rFonts w:ascii="Segoe UI" w:hAnsi="Segoe UI" w:cs="Segoe UI"/>
                <w:sz w:val="20"/>
                <w:szCs w:val="20"/>
              </w:rPr>
              <w:t>Identify risks such as medication errors, adverse drug reactions, or inadequate medication reconciliation processes. Assess the likelihood and potential impact of each risk.</w:t>
            </w:r>
          </w:p>
        </w:tc>
      </w:tr>
      <w:tr w:rsidR="00511EB6" w:rsidRPr="00E97DBC" w14:paraId="5F3896B6" w14:textId="77777777" w:rsidTr="003749C8">
        <w:trPr>
          <w:trHeight w:val="1872"/>
        </w:trPr>
        <w:tc>
          <w:tcPr>
            <w:tcW w:w="1093" w:type="pct"/>
            <w:vAlign w:val="center"/>
          </w:tcPr>
          <w:p w14:paraId="15F7DC01" w14:textId="3A3A4891" w:rsidR="00511EB6" w:rsidRPr="00E97DBC" w:rsidRDefault="00511EB6" w:rsidP="00E97DBC">
            <w:pPr>
              <w:spacing w:line="276" w:lineRule="auto"/>
              <w:jc w:val="center"/>
              <w:rPr>
                <w:rFonts w:ascii="Segoe UI" w:hAnsi="Segoe UI" w:cs="Segoe UI"/>
                <w:b/>
                <w:bCs/>
                <w:sz w:val="28"/>
                <w:szCs w:val="28"/>
              </w:rPr>
            </w:pPr>
            <w:r w:rsidRPr="00E97DBC">
              <w:rPr>
                <w:rFonts w:ascii="Segoe UI" w:hAnsi="Segoe UI" w:cs="Segoe UI"/>
                <w:b/>
                <w:bCs/>
                <w:sz w:val="28"/>
                <w:szCs w:val="28"/>
              </w:rPr>
              <w:t>2.</w:t>
            </w:r>
          </w:p>
        </w:tc>
        <w:tc>
          <w:tcPr>
            <w:tcW w:w="1717" w:type="pct"/>
            <w:vAlign w:val="center"/>
          </w:tcPr>
          <w:p w14:paraId="60BFC264" w14:textId="68FEADE7" w:rsidR="00511EB6" w:rsidRPr="00E97DBC" w:rsidRDefault="00511EB6" w:rsidP="00E97DBC">
            <w:pPr>
              <w:spacing w:line="276" w:lineRule="auto"/>
              <w:rPr>
                <w:rFonts w:ascii="Segoe UI" w:hAnsi="Segoe UI" w:cs="Segoe UI"/>
                <w:sz w:val="24"/>
                <w:szCs w:val="24"/>
              </w:rPr>
            </w:pPr>
            <w:r w:rsidRPr="00E97DBC">
              <w:rPr>
                <w:rFonts w:ascii="Segoe UI" w:hAnsi="Segoe UI" w:cs="Segoe UI"/>
                <w:sz w:val="24"/>
                <w:szCs w:val="24"/>
              </w:rPr>
              <w:t>Identifying the root cause of the problem</w:t>
            </w:r>
          </w:p>
        </w:tc>
        <w:tc>
          <w:tcPr>
            <w:tcW w:w="2190" w:type="pct"/>
            <w:vAlign w:val="center"/>
          </w:tcPr>
          <w:p w14:paraId="379160BA" w14:textId="0D625ED9" w:rsidR="00511EB6" w:rsidRPr="00E97DBC" w:rsidRDefault="00511EB6" w:rsidP="00E97DBC">
            <w:pPr>
              <w:spacing w:line="276" w:lineRule="auto"/>
              <w:rPr>
                <w:rFonts w:ascii="Segoe UI" w:hAnsi="Segoe UI" w:cs="Segoe UI"/>
                <w:sz w:val="20"/>
                <w:szCs w:val="20"/>
              </w:rPr>
            </w:pPr>
            <w:r w:rsidRPr="00E97DBC">
              <w:rPr>
                <w:rFonts w:ascii="Segoe UI" w:hAnsi="Segoe UI" w:cs="Segoe UI"/>
                <w:sz w:val="20"/>
                <w:szCs w:val="20"/>
              </w:rPr>
              <w:t>Determine that communication breakdowns among healthcare teams, insufficient training on medication administration, and lack of robust medication reconciliation protocols contribute to the medication errors.</w:t>
            </w:r>
          </w:p>
        </w:tc>
      </w:tr>
      <w:tr w:rsidR="00511EB6" w:rsidRPr="00E97DBC" w14:paraId="6E448322" w14:textId="77777777" w:rsidTr="003749C8">
        <w:trPr>
          <w:trHeight w:val="3600"/>
        </w:trPr>
        <w:tc>
          <w:tcPr>
            <w:tcW w:w="1093" w:type="pct"/>
            <w:vAlign w:val="center"/>
          </w:tcPr>
          <w:p w14:paraId="18FAA77A" w14:textId="11DD5BD7" w:rsidR="00511EB6" w:rsidRPr="00E97DBC" w:rsidRDefault="00511EB6" w:rsidP="00E97DBC">
            <w:pPr>
              <w:spacing w:line="276" w:lineRule="auto"/>
              <w:jc w:val="center"/>
              <w:rPr>
                <w:rFonts w:ascii="Segoe UI" w:hAnsi="Segoe UI" w:cs="Segoe UI"/>
                <w:b/>
                <w:bCs/>
                <w:sz w:val="28"/>
                <w:szCs w:val="28"/>
              </w:rPr>
            </w:pPr>
            <w:r w:rsidRPr="00E97DBC">
              <w:rPr>
                <w:rFonts w:ascii="Segoe UI" w:hAnsi="Segoe UI" w:cs="Segoe UI"/>
                <w:b/>
                <w:bCs/>
                <w:sz w:val="28"/>
                <w:szCs w:val="28"/>
              </w:rPr>
              <w:t>3.</w:t>
            </w:r>
          </w:p>
        </w:tc>
        <w:tc>
          <w:tcPr>
            <w:tcW w:w="1717" w:type="pct"/>
            <w:vAlign w:val="center"/>
          </w:tcPr>
          <w:p w14:paraId="62F7A140" w14:textId="7418F2A3" w:rsidR="00511EB6" w:rsidRPr="00E97DBC" w:rsidRDefault="00511EB6" w:rsidP="00E97DBC">
            <w:pPr>
              <w:spacing w:line="276" w:lineRule="auto"/>
              <w:rPr>
                <w:rFonts w:ascii="Segoe UI" w:hAnsi="Segoe UI" w:cs="Segoe UI"/>
                <w:sz w:val="24"/>
                <w:szCs w:val="24"/>
              </w:rPr>
            </w:pPr>
            <w:r w:rsidRPr="00E97DBC">
              <w:rPr>
                <w:rFonts w:ascii="Segoe UI" w:hAnsi="Segoe UI" w:cs="Segoe UI"/>
                <w:sz w:val="24"/>
                <w:szCs w:val="24"/>
              </w:rPr>
              <w:t>Developing an action plan</w:t>
            </w:r>
          </w:p>
        </w:tc>
        <w:tc>
          <w:tcPr>
            <w:tcW w:w="2190" w:type="pct"/>
            <w:vAlign w:val="center"/>
          </w:tcPr>
          <w:p w14:paraId="50F1FB5A" w14:textId="7C214582" w:rsidR="00511EB6" w:rsidRPr="00E97DBC" w:rsidRDefault="00511EB6" w:rsidP="00E97DBC">
            <w:pPr>
              <w:spacing w:line="276" w:lineRule="auto"/>
              <w:rPr>
                <w:rFonts w:ascii="Segoe UI" w:hAnsi="Segoe UI" w:cs="Segoe UI"/>
                <w:sz w:val="20"/>
                <w:szCs w:val="20"/>
              </w:rPr>
            </w:pPr>
            <w:r w:rsidRPr="00E97DBC">
              <w:rPr>
                <w:rFonts w:ascii="Segoe UI" w:hAnsi="Segoe UI" w:cs="Segoe UI"/>
                <w:sz w:val="20"/>
                <w:szCs w:val="20"/>
              </w:rPr>
              <w:t>Implement standardized communication protocols, provide comprehensive training programs for healthcare professionals on safe medication administration practices, and enhance medication reconciliation processes through the use of technology and standardized procedures. Set a timeline of six months for protocol implementation, ongoing training programs, and continuous enhancement of medication reconciliation practices.</w:t>
            </w:r>
          </w:p>
        </w:tc>
      </w:tr>
      <w:tr w:rsidR="00511EB6" w:rsidRPr="00E97DBC" w14:paraId="0E115A86" w14:textId="77777777" w:rsidTr="003749C8">
        <w:trPr>
          <w:trHeight w:val="2016"/>
        </w:trPr>
        <w:tc>
          <w:tcPr>
            <w:tcW w:w="1093" w:type="pct"/>
            <w:vAlign w:val="center"/>
          </w:tcPr>
          <w:p w14:paraId="5567AE94" w14:textId="23747474" w:rsidR="00511EB6" w:rsidRPr="00E97DBC" w:rsidRDefault="00511EB6" w:rsidP="00E97DBC">
            <w:pPr>
              <w:spacing w:line="276" w:lineRule="auto"/>
              <w:jc w:val="center"/>
              <w:rPr>
                <w:rFonts w:ascii="Segoe UI" w:hAnsi="Segoe UI" w:cs="Segoe UI"/>
                <w:b/>
                <w:bCs/>
                <w:sz w:val="28"/>
                <w:szCs w:val="28"/>
              </w:rPr>
            </w:pPr>
            <w:r w:rsidRPr="00E97DBC">
              <w:rPr>
                <w:rFonts w:ascii="Segoe UI" w:hAnsi="Segoe UI" w:cs="Segoe UI"/>
                <w:b/>
                <w:bCs/>
                <w:sz w:val="28"/>
                <w:szCs w:val="28"/>
              </w:rPr>
              <w:t>4.</w:t>
            </w:r>
          </w:p>
        </w:tc>
        <w:tc>
          <w:tcPr>
            <w:tcW w:w="1717" w:type="pct"/>
            <w:vAlign w:val="center"/>
          </w:tcPr>
          <w:p w14:paraId="05A14E18" w14:textId="45A45318" w:rsidR="00511EB6" w:rsidRPr="00E97DBC" w:rsidRDefault="00511EB6" w:rsidP="00E97DBC">
            <w:pPr>
              <w:spacing w:line="276" w:lineRule="auto"/>
              <w:rPr>
                <w:rFonts w:ascii="Segoe UI" w:hAnsi="Segoe UI" w:cs="Segoe UI"/>
                <w:sz w:val="24"/>
                <w:szCs w:val="24"/>
              </w:rPr>
            </w:pPr>
            <w:r w:rsidRPr="00E97DBC">
              <w:rPr>
                <w:rFonts w:ascii="Segoe UI" w:hAnsi="Segoe UI" w:cs="Segoe UI"/>
                <w:sz w:val="24"/>
                <w:szCs w:val="24"/>
              </w:rPr>
              <w:t>Assigning responsibilities and resources</w:t>
            </w:r>
          </w:p>
        </w:tc>
        <w:tc>
          <w:tcPr>
            <w:tcW w:w="2190" w:type="pct"/>
            <w:vAlign w:val="center"/>
          </w:tcPr>
          <w:p w14:paraId="183D9888" w14:textId="4C148819" w:rsidR="00511EB6" w:rsidRPr="00E97DBC" w:rsidRDefault="00511EB6" w:rsidP="00E97DBC">
            <w:pPr>
              <w:spacing w:line="276" w:lineRule="auto"/>
              <w:rPr>
                <w:rFonts w:ascii="Segoe UI" w:hAnsi="Segoe UI" w:cs="Segoe UI"/>
                <w:sz w:val="20"/>
                <w:szCs w:val="20"/>
              </w:rPr>
            </w:pPr>
            <w:r w:rsidRPr="00E97DBC">
              <w:rPr>
                <w:rFonts w:ascii="Segoe UI" w:hAnsi="Segoe UI" w:cs="Segoe UI"/>
                <w:sz w:val="20"/>
                <w:szCs w:val="20"/>
              </w:rPr>
              <w:t>Assign pharmacists and nurses to lead the implementation of communication protocols and staff training initiatives, allocate a budget for training materials and technology upgrades, and engage IT support for system enhancements.</w:t>
            </w:r>
          </w:p>
        </w:tc>
      </w:tr>
      <w:tr w:rsidR="00511EB6" w:rsidRPr="00E97DBC" w14:paraId="05FC1E5E" w14:textId="77777777" w:rsidTr="003749C8">
        <w:trPr>
          <w:trHeight w:val="2304"/>
        </w:trPr>
        <w:tc>
          <w:tcPr>
            <w:tcW w:w="1093" w:type="pct"/>
            <w:vAlign w:val="center"/>
          </w:tcPr>
          <w:p w14:paraId="4ACA743C" w14:textId="4AB612C1" w:rsidR="00511EB6" w:rsidRPr="00E97DBC" w:rsidRDefault="00511EB6" w:rsidP="00E97DBC">
            <w:pPr>
              <w:spacing w:line="276" w:lineRule="auto"/>
              <w:jc w:val="center"/>
              <w:rPr>
                <w:rFonts w:ascii="Segoe UI" w:hAnsi="Segoe UI" w:cs="Segoe UI"/>
                <w:b/>
                <w:bCs/>
                <w:sz w:val="28"/>
                <w:szCs w:val="28"/>
              </w:rPr>
            </w:pPr>
            <w:r w:rsidRPr="00E97DBC">
              <w:rPr>
                <w:rFonts w:ascii="Segoe UI" w:hAnsi="Segoe UI" w:cs="Segoe UI"/>
                <w:b/>
                <w:bCs/>
                <w:sz w:val="28"/>
                <w:szCs w:val="28"/>
              </w:rPr>
              <w:t>5.</w:t>
            </w:r>
          </w:p>
        </w:tc>
        <w:tc>
          <w:tcPr>
            <w:tcW w:w="1717" w:type="pct"/>
            <w:vAlign w:val="center"/>
          </w:tcPr>
          <w:p w14:paraId="53DA0C6B" w14:textId="45FA50A0" w:rsidR="00511EB6" w:rsidRPr="00E97DBC" w:rsidRDefault="00511EB6" w:rsidP="00E97DBC">
            <w:pPr>
              <w:spacing w:line="276" w:lineRule="auto"/>
              <w:rPr>
                <w:rFonts w:ascii="Segoe UI" w:hAnsi="Segoe UI" w:cs="Segoe UI"/>
                <w:sz w:val="24"/>
                <w:szCs w:val="24"/>
              </w:rPr>
            </w:pPr>
            <w:r w:rsidRPr="00E97DBC">
              <w:rPr>
                <w:rFonts w:ascii="Segoe UI" w:hAnsi="Segoe UI" w:cs="Segoe UI"/>
                <w:sz w:val="24"/>
                <w:szCs w:val="24"/>
              </w:rPr>
              <w:t>Monitoring progress and reporting results</w:t>
            </w:r>
          </w:p>
        </w:tc>
        <w:tc>
          <w:tcPr>
            <w:tcW w:w="2190" w:type="pct"/>
            <w:vAlign w:val="center"/>
          </w:tcPr>
          <w:p w14:paraId="6F1B50EA" w14:textId="2EF3F426" w:rsidR="00511EB6" w:rsidRPr="00E97DBC" w:rsidRDefault="00511EB6" w:rsidP="00E97DBC">
            <w:pPr>
              <w:spacing w:line="276" w:lineRule="auto"/>
              <w:rPr>
                <w:rFonts w:ascii="Segoe UI" w:hAnsi="Segoe UI" w:cs="Segoe UI"/>
                <w:sz w:val="20"/>
                <w:szCs w:val="20"/>
              </w:rPr>
            </w:pPr>
            <w:r w:rsidRPr="00E97DBC">
              <w:rPr>
                <w:rFonts w:ascii="Segoe UI" w:hAnsi="Segoe UI" w:cs="Segoe UI"/>
                <w:sz w:val="20"/>
                <w:szCs w:val="20"/>
              </w:rPr>
              <w:t>Regularly assess medication error rates, track staff adherence to protocols, and gather feedback from patients and staff. Generate progress reports to update the healthcare administration, regulatory bodies, and stakeholders on completed actions, ongoing initiatives, and improvements in medication safety measures.</w:t>
            </w:r>
          </w:p>
        </w:tc>
      </w:tr>
    </w:tbl>
    <w:p w14:paraId="650D7875" w14:textId="77777777" w:rsidR="00511EB6" w:rsidRPr="00E97DBC" w:rsidRDefault="00511EB6" w:rsidP="00E97DBC">
      <w:pPr>
        <w:spacing w:line="276" w:lineRule="auto"/>
        <w:rPr>
          <w:rFonts w:ascii="Segoe UI" w:hAnsi="Segoe UI" w:cs="Segoe UI"/>
          <w:sz w:val="6"/>
          <w:szCs w:val="6"/>
        </w:rPr>
      </w:pPr>
    </w:p>
    <w:sectPr w:rsidR="00511EB6" w:rsidRPr="00E97DBC" w:rsidSect="003749C8">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6B0AA" w14:textId="77777777" w:rsidR="00793F47" w:rsidRDefault="00793F47" w:rsidP="003749C8">
      <w:pPr>
        <w:spacing w:after="0" w:line="240" w:lineRule="auto"/>
      </w:pPr>
      <w:r>
        <w:separator/>
      </w:r>
    </w:p>
  </w:endnote>
  <w:endnote w:type="continuationSeparator" w:id="0">
    <w:p w14:paraId="3442610C" w14:textId="77777777" w:rsidR="00793F47" w:rsidRDefault="00793F47" w:rsidP="00374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BE02" w14:textId="77777777" w:rsidR="003749C8" w:rsidRDefault="00374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0F13" w14:textId="3A3BA6C2" w:rsidR="003749C8" w:rsidRPr="003749C8" w:rsidRDefault="003749C8" w:rsidP="003749C8">
    <w:pPr>
      <w:pStyle w:val="Footer"/>
      <w:tabs>
        <w:tab w:val="clear" w:pos="9360"/>
        <w:tab w:val="right" w:pos="10080"/>
      </w:tabs>
      <w:jc w:val="both"/>
      <w:rPr>
        <w:rFonts w:ascii="Century Gothic" w:hAnsi="Century Gothic" w:cs="Segoe UI"/>
        <w:color w:val="A6A6A6" w:themeColor="background1" w:themeShade="A6"/>
        <w:sz w:val="18"/>
        <w:szCs w:val="18"/>
      </w:rPr>
    </w:pPr>
    <w:r w:rsidRPr="006A6F81">
      <w:rPr>
        <w:rFonts w:ascii="Century Gothic" w:hAnsi="Century Gothic" w:cs="Segoe UI"/>
        <w:iCs/>
        <w:color w:val="A6A6A6" w:themeColor="background1" w:themeShade="A6"/>
        <w:sz w:val="18"/>
        <w:szCs w:val="18"/>
      </w:rPr>
      <w:t>©Wordtemplatesonline.net</w:t>
    </w:r>
    <w:r w:rsidRPr="006A6F81">
      <w:rPr>
        <w:rFonts w:ascii="Century Gothic" w:hAnsi="Century Gothic" w:cs="Segoe UI"/>
        <w:color w:val="A6A6A6" w:themeColor="background1" w:themeShade="A6"/>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1C1B" w14:textId="77777777" w:rsidR="003749C8" w:rsidRDefault="00374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74573" w14:textId="77777777" w:rsidR="00793F47" w:rsidRDefault="00793F47" w:rsidP="003749C8">
      <w:pPr>
        <w:spacing w:after="0" w:line="240" w:lineRule="auto"/>
      </w:pPr>
      <w:r>
        <w:separator/>
      </w:r>
    </w:p>
  </w:footnote>
  <w:footnote w:type="continuationSeparator" w:id="0">
    <w:p w14:paraId="0CC3735B" w14:textId="77777777" w:rsidR="00793F47" w:rsidRDefault="00793F47" w:rsidP="00374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A9B6" w14:textId="77777777" w:rsidR="003749C8" w:rsidRDefault="00374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7BA4" w14:textId="77777777" w:rsidR="003749C8" w:rsidRDefault="003749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17E3" w14:textId="77777777" w:rsidR="003749C8" w:rsidRDefault="003749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1EB6"/>
    <w:rsid w:val="00007BE2"/>
    <w:rsid w:val="003749C8"/>
    <w:rsid w:val="0037611C"/>
    <w:rsid w:val="00511EB6"/>
    <w:rsid w:val="00537634"/>
    <w:rsid w:val="00722792"/>
    <w:rsid w:val="00793F47"/>
    <w:rsid w:val="00B55B6F"/>
    <w:rsid w:val="00E9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1DF3"/>
  <w15:chartTrackingRefBased/>
  <w15:docId w15:val="{CF78C200-9474-4771-BDAF-67B01F76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4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9C8"/>
  </w:style>
  <w:style w:type="paragraph" w:styleId="Footer">
    <w:name w:val="footer"/>
    <w:basedOn w:val="Normal"/>
    <w:link w:val="FooterChar"/>
    <w:uiPriority w:val="99"/>
    <w:unhideWhenUsed/>
    <w:rsid w:val="00374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zaidiaiman507@gmail.com</cp:lastModifiedBy>
  <cp:revision>4</cp:revision>
  <dcterms:created xsi:type="dcterms:W3CDTF">2023-05-16T05:45:00Z</dcterms:created>
  <dcterms:modified xsi:type="dcterms:W3CDTF">2023-10-30T11:28:00Z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2023-05-16T05:47:16Z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87338e12-934c-4188-b3d7-6ff10f9f3dd5</vt:lpwstr>
  </property>
  <property fmtid="{D5CDD505-2E9C-101B-9397-08002B2CF9AE}" pid="8" name="MSIP_Label_defa4170-0d19-0005-0004-bc88714345d2_ContentBits">
    <vt:lpwstr>0</vt:lpwstr>
  </property>
</Properties>
</file>