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1D39" w14:textId="2D391739" w:rsidR="00920CC4" w:rsidRPr="00ED5D38" w:rsidRDefault="001A393F" w:rsidP="00920CC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D5D38">
        <w:rPr>
          <w:rFonts w:ascii="Century Gothic" w:hAnsi="Century Gothic"/>
          <w:b/>
          <w:bCs/>
          <w:sz w:val="36"/>
          <w:szCs w:val="36"/>
          <w:u w:val="single"/>
        </w:rPr>
        <w:t>EMAIL TEMPLATE</w:t>
      </w:r>
    </w:p>
    <w:p w14:paraId="2A8784CA" w14:textId="4823DDB4" w:rsidR="00920CC4" w:rsidRDefault="00920CC4" w:rsidP="00920CC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D5D38">
        <w:rPr>
          <w:rFonts w:ascii="Century Gothic" w:hAnsi="Century Gothic"/>
          <w:b/>
          <w:bCs/>
          <w:sz w:val="36"/>
          <w:szCs w:val="36"/>
          <w:u w:val="single"/>
        </w:rPr>
        <w:t>LETTER FOR APPEALING A HEALTH INSURANCE CLAIM DENIAL</w:t>
      </w:r>
    </w:p>
    <w:p w14:paraId="22FD2CF1" w14:textId="77777777" w:rsidR="00920CC4" w:rsidRPr="00920CC4" w:rsidRDefault="00920CC4" w:rsidP="00920CC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84D82F1" w14:textId="2FD04458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/>
          <w:iCs/>
        </w:rPr>
      </w:pPr>
      <w:r w:rsidRPr="0076042F">
        <w:rPr>
          <w:rFonts w:ascii="Century Gothic" w:hAnsi="Century Gothic"/>
          <w:b/>
          <w:iCs/>
        </w:rPr>
        <w:t>[PRESCRIBER LETTERHEAD]</w:t>
      </w:r>
    </w:p>
    <w:p w14:paraId="30A54399" w14:textId="77777777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/>
          <w:iCs/>
        </w:rPr>
      </w:pPr>
    </w:p>
    <w:p w14:paraId="66A621B0" w14:textId="3F2C5AA7" w:rsidR="0076042F" w:rsidRDefault="0076042F" w:rsidP="0076042F">
      <w:pPr>
        <w:pStyle w:val="BodyText"/>
        <w:spacing w:line="276" w:lineRule="auto"/>
        <w:rPr>
          <w:rFonts w:ascii="Century Gothic" w:hAnsi="Century Gothic"/>
          <w:b/>
          <w:iCs/>
        </w:rPr>
      </w:pPr>
      <w:r>
        <w:rPr>
          <w:rFonts w:ascii="Century Gothic" w:hAnsi="Century Gothic"/>
          <w:b/>
          <w:iCs/>
        </w:rPr>
        <w:t>[</w:t>
      </w:r>
      <w:r w:rsidRPr="0076042F">
        <w:rPr>
          <w:rFonts w:ascii="Century Gothic" w:hAnsi="Century Gothic"/>
          <w:b/>
          <w:iCs/>
        </w:rPr>
        <w:t>Date</w:t>
      </w:r>
      <w:r>
        <w:rPr>
          <w:rFonts w:ascii="Century Gothic" w:hAnsi="Century Gothic"/>
          <w:b/>
          <w:iCs/>
        </w:rPr>
        <w:t>]</w:t>
      </w:r>
    </w:p>
    <w:p w14:paraId="44AD18B6" w14:textId="77777777" w:rsidR="0076042F" w:rsidRDefault="0076042F" w:rsidP="0076042F">
      <w:pPr>
        <w:pStyle w:val="BodyText"/>
        <w:spacing w:line="276" w:lineRule="auto"/>
        <w:rPr>
          <w:rFonts w:ascii="Century Gothic" w:hAnsi="Century Gothic"/>
          <w:b/>
          <w:iCs/>
        </w:rPr>
      </w:pPr>
    </w:p>
    <w:p w14:paraId="4F1F1B93" w14:textId="73DB71E3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/>
          <w:iCs/>
        </w:rPr>
      </w:pPr>
      <w:r>
        <w:rPr>
          <w:rFonts w:ascii="Century Gothic" w:hAnsi="Century Gothic"/>
          <w:b/>
          <w:iCs/>
        </w:rPr>
        <w:t>[</w:t>
      </w:r>
      <w:r w:rsidRPr="0076042F">
        <w:rPr>
          <w:rFonts w:ascii="Century Gothic" w:hAnsi="Century Gothic"/>
          <w:b/>
          <w:iCs/>
        </w:rPr>
        <w:t>Payer name</w:t>
      </w:r>
      <w:r>
        <w:rPr>
          <w:rFonts w:ascii="Century Gothic" w:hAnsi="Century Gothic"/>
          <w:b/>
          <w:iCs/>
        </w:rPr>
        <w:t>]</w:t>
      </w:r>
    </w:p>
    <w:p w14:paraId="7771ABD1" w14:textId="77777777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  <w:r w:rsidRPr="0076042F">
        <w:rPr>
          <w:rFonts w:ascii="Century Gothic" w:hAnsi="Century Gothic"/>
          <w:bCs/>
          <w:iCs/>
        </w:rPr>
        <w:t>ATTN: APPEALS</w:t>
      </w:r>
    </w:p>
    <w:p w14:paraId="13A9CAF2" w14:textId="51CB5787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/>
          <w:iCs/>
        </w:rPr>
      </w:pPr>
      <w:r w:rsidRPr="0076042F">
        <w:rPr>
          <w:rFonts w:ascii="Century Gothic" w:hAnsi="Century Gothic"/>
          <w:b/>
          <w:iCs/>
        </w:rPr>
        <w:t>[Type in payer name]</w:t>
      </w:r>
    </w:p>
    <w:p w14:paraId="5ED973D3" w14:textId="6AF0835E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/>
          <w:iCs/>
        </w:rPr>
      </w:pPr>
      <w:r w:rsidRPr="0076042F">
        <w:rPr>
          <w:rFonts w:ascii="Century Gothic" w:hAnsi="Century Gothic"/>
          <w:b/>
          <w:iCs/>
        </w:rPr>
        <w:t>[Type in payer address]</w:t>
      </w:r>
    </w:p>
    <w:p w14:paraId="573D4C14" w14:textId="77777777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/>
          <w:iCs/>
        </w:rPr>
      </w:pPr>
    </w:p>
    <w:p w14:paraId="2274671A" w14:textId="77777777" w:rsid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  <w:r w:rsidRPr="0076042F">
        <w:rPr>
          <w:rFonts w:ascii="Century Gothic" w:hAnsi="Century Gothic"/>
          <w:bCs/>
          <w:iCs/>
        </w:rPr>
        <w:t xml:space="preserve">Patient: </w:t>
      </w:r>
      <w:r w:rsidRPr="0076042F">
        <w:rPr>
          <w:rFonts w:ascii="Century Gothic" w:hAnsi="Century Gothic"/>
          <w:b/>
          <w:iCs/>
        </w:rPr>
        <w:t>(Type in patient’s first and last name)</w:t>
      </w:r>
      <w:r w:rsidRPr="0076042F">
        <w:rPr>
          <w:rFonts w:ascii="Century Gothic" w:hAnsi="Century Gothic"/>
          <w:bCs/>
          <w:iCs/>
        </w:rPr>
        <w:t xml:space="preserve"> </w:t>
      </w:r>
    </w:p>
    <w:p w14:paraId="3D3751E8" w14:textId="77777777" w:rsid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  <w:r w:rsidRPr="0076042F">
        <w:rPr>
          <w:rFonts w:ascii="Century Gothic" w:hAnsi="Century Gothic"/>
          <w:bCs/>
          <w:iCs/>
        </w:rPr>
        <w:t xml:space="preserve">Subscriber ID#: (Type in insurance ID#) </w:t>
      </w:r>
    </w:p>
    <w:p w14:paraId="659C80B7" w14:textId="66A403EC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  <w:r w:rsidRPr="0076042F">
        <w:rPr>
          <w:rFonts w:ascii="Century Gothic" w:hAnsi="Century Gothic"/>
          <w:bCs/>
          <w:iCs/>
        </w:rPr>
        <w:t>Subscriber Group #: (Type in insurance group#)</w:t>
      </w:r>
    </w:p>
    <w:p w14:paraId="652CBD7D" w14:textId="77777777" w:rsid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</w:p>
    <w:p w14:paraId="4002EA6F" w14:textId="0E4E1949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  <w:r w:rsidRPr="0076042F">
        <w:rPr>
          <w:rFonts w:ascii="Century Gothic" w:hAnsi="Century Gothic"/>
          <w:bCs/>
          <w:iCs/>
        </w:rPr>
        <w:t>Re: NOURIANZTM (Istradefylline) tablets, for oral use</w:t>
      </w:r>
    </w:p>
    <w:p w14:paraId="4D587586" w14:textId="77777777" w:rsid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</w:p>
    <w:p w14:paraId="2447E188" w14:textId="55A167BA" w:rsid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  <w:r w:rsidRPr="0076042F">
        <w:rPr>
          <w:rFonts w:ascii="Century Gothic" w:hAnsi="Century Gothic"/>
          <w:bCs/>
          <w:iCs/>
        </w:rPr>
        <w:t>Dates of Service: (Include all denied dates of service) Dear Appeals Reviewer:</w:t>
      </w:r>
    </w:p>
    <w:p w14:paraId="562E2C8E" w14:textId="7112BC1B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  <w:r w:rsidRPr="0076042F">
        <w:rPr>
          <w:rFonts w:ascii="Century Gothic" w:hAnsi="Century Gothic"/>
          <w:bCs/>
          <w:iCs/>
        </w:rPr>
        <w:t xml:space="preserve">I am writing to request appeal of the above denial(s) of Neuroanatomy (istradefylline) for my patient </w:t>
      </w:r>
      <w:r w:rsidRPr="00920CC4">
        <w:rPr>
          <w:rFonts w:ascii="Century Gothic" w:hAnsi="Century Gothic"/>
          <w:b/>
          <w:iCs/>
        </w:rPr>
        <w:t>[patient name].</w:t>
      </w:r>
      <w:r w:rsidRPr="0076042F">
        <w:rPr>
          <w:rFonts w:ascii="Century Gothic" w:hAnsi="Century Gothic"/>
          <w:bCs/>
          <w:iCs/>
        </w:rPr>
        <w:t xml:space="preserve"> I understand from your denial letter that the denials were based on </w:t>
      </w:r>
      <w:r w:rsidRPr="00920CC4">
        <w:rPr>
          <w:rFonts w:ascii="Century Gothic" w:hAnsi="Century Gothic"/>
          <w:b/>
          <w:iCs/>
        </w:rPr>
        <w:t>[denial reason].</w:t>
      </w:r>
      <w:r w:rsidRPr="0076042F">
        <w:rPr>
          <w:rFonts w:ascii="Century Gothic" w:hAnsi="Century Gothic"/>
          <w:bCs/>
          <w:iCs/>
        </w:rPr>
        <w:t xml:space="preserve"> I would like to address </w:t>
      </w:r>
      <w:r w:rsidRPr="00920CC4">
        <w:rPr>
          <w:rFonts w:ascii="Century Gothic" w:hAnsi="Century Gothic"/>
          <w:b/>
          <w:iCs/>
        </w:rPr>
        <w:t>[that reason/those reasons]</w:t>
      </w:r>
      <w:r w:rsidRPr="0076042F">
        <w:rPr>
          <w:rFonts w:ascii="Century Gothic" w:hAnsi="Century Gothic"/>
          <w:bCs/>
          <w:iCs/>
        </w:rPr>
        <w:t xml:space="preserve"> now.</w:t>
      </w:r>
    </w:p>
    <w:p w14:paraId="44702CEF" w14:textId="77777777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</w:p>
    <w:p w14:paraId="1E78B580" w14:textId="47C176AC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  <w:r w:rsidRPr="0076042F">
        <w:rPr>
          <w:rFonts w:ascii="Century Gothic" w:hAnsi="Century Gothic"/>
          <w:bCs/>
          <w:iCs/>
        </w:rPr>
        <w:t>On August 27, 2</w:t>
      </w:r>
      <w:r>
        <w:rPr>
          <w:rFonts w:ascii="Century Gothic" w:hAnsi="Century Gothic"/>
          <w:bCs/>
          <w:iCs/>
        </w:rPr>
        <w:t>0XX</w:t>
      </w:r>
      <w:r w:rsidRPr="0076042F">
        <w:rPr>
          <w:rFonts w:ascii="Century Gothic" w:hAnsi="Century Gothic"/>
          <w:bCs/>
          <w:iCs/>
        </w:rPr>
        <w:t xml:space="preserve">, the FDA approved </w:t>
      </w:r>
      <w:proofErr w:type="spellStart"/>
      <w:r w:rsidRPr="0076042F">
        <w:rPr>
          <w:rFonts w:ascii="Century Gothic" w:hAnsi="Century Gothic"/>
          <w:bCs/>
          <w:iCs/>
        </w:rPr>
        <w:t>Nourianz</w:t>
      </w:r>
      <w:proofErr w:type="spellEnd"/>
      <w:r w:rsidRPr="0076042F">
        <w:rPr>
          <w:rFonts w:ascii="Century Gothic" w:hAnsi="Century Gothic"/>
          <w:bCs/>
          <w:iCs/>
        </w:rPr>
        <w:t>, an adenosine receptor antagonist, for adjunctive treatment to levodopa/carbidopa in adult patients with Parkinson’s</w:t>
      </w:r>
    </w:p>
    <w:p w14:paraId="17D7BFD3" w14:textId="77777777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  <w:r w:rsidRPr="0076042F">
        <w:rPr>
          <w:rFonts w:ascii="Century Gothic" w:hAnsi="Century Gothic"/>
          <w:bCs/>
          <w:iCs/>
        </w:rPr>
        <w:t>disease (PD) experiencing “OFF” episodes."</w:t>
      </w:r>
    </w:p>
    <w:p w14:paraId="4AE6D0B4" w14:textId="77777777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</w:p>
    <w:p w14:paraId="13E15512" w14:textId="5990B0F0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  <w:r w:rsidRPr="0076042F">
        <w:rPr>
          <w:rFonts w:ascii="Century Gothic" w:hAnsi="Century Gothic"/>
          <w:bCs/>
          <w:iCs/>
        </w:rPr>
        <w:t xml:space="preserve">Please see the enclosed documentation demonstrating the medical necessity of </w:t>
      </w:r>
      <w:proofErr w:type="spellStart"/>
      <w:r w:rsidRPr="0076042F">
        <w:rPr>
          <w:rFonts w:ascii="Century Gothic" w:hAnsi="Century Gothic"/>
          <w:bCs/>
          <w:iCs/>
        </w:rPr>
        <w:t>Nourianz</w:t>
      </w:r>
      <w:proofErr w:type="spellEnd"/>
      <w:r w:rsidRPr="0076042F">
        <w:rPr>
          <w:rFonts w:ascii="Century Gothic" w:hAnsi="Century Gothic"/>
          <w:bCs/>
          <w:iCs/>
        </w:rPr>
        <w:t xml:space="preserve"> as an adjunct treatment for my patient, </w:t>
      </w:r>
      <w:r w:rsidRPr="00920CC4">
        <w:rPr>
          <w:rFonts w:ascii="Century Gothic" w:hAnsi="Century Gothic"/>
          <w:b/>
          <w:iCs/>
        </w:rPr>
        <w:t>[Patient’s name].</w:t>
      </w:r>
      <w:r w:rsidRPr="0076042F">
        <w:rPr>
          <w:rFonts w:ascii="Century Gothic" w:hAnsi="Century Gothic"/>
          <w:bCs/>
          <w:iCs/>
        </w:rPr>
        <w:t xml:space="preserve"> (He/she) has Parkinson’s disease and is experiencing “OFF” episodes on levodopa/carbidopa. I would appreciate prompt review of this information for authorization of </w:t>
      </w:r>
      <w:proofErr w:type="spellStart"/>
      <w:r w:rsidRPr="0076042F">
        <w:rPr>
          <w:rFonts w:ascii="Century Gothic" w:hAnsi="Century Gothic"/>
          <w:bCs/>
          <w:iCs/>
        </w:rPr>
        <w:t>Nourianz</w:t>
      </w:r>
      <w:proofErr w:type="spellEnd"/>
      <w:r w:rsidRPr="0076042F">
        <w:rPr>
          <w:rFonts w:ascii="Century Gothic" w:hAnsi="Century Gothic"/>
          <w:bCs/>
          <w:iCs/>
        </w:rPr>
        <w:t>.</w:t>
      </w:r>
    </w:p>
    <w:p w14:paraId="4689588C" w14:textId="77777777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  <w:r w:rsidRPr="0076042F">
        <w:rPr>
          <w:rFonts w:ascii="Century Gothic" w:hAnsi="Century Gothic"/>
          <w:bCs/>
          <w:iCs/>
        </w:rPr>
        <w:t xml:space="preserve"> </w:t>
      </w:r>
    </w:p>
    <w:p w14:paraId="1E16D7DD" w14:textId="77777777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  <w:r w:rsidRPr="0076042F">
        <w:rPr>
          <w:rFonts w:ascii="Century Gothic" w:hAnsi="Century Gothic"/>
          <w:bCs/>
          <w:iCs/>
        </w:rPr>
        <w:t>Patient’s Clinical History</w:t>
      </w:r>
    </w:p>
    <w:p w14:paraId="6D640D6D" w14:textId="5C41D6BF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  <w:r w:rsidRPr="0076042F">
        <w:rPr>
          <w:rFonts w:ascii="Century Gothic" w:hAnsi="Century Gothic"/>
          <w:b/>
          <w:iCs/>
        </w:rPr>
        <w:t>[Patient’s name]</w:t>
      </w:r>
      <w:r w:rsidRPr="0076042F">
        <w:rPr>
          <w:rFonts w:ascii="Century Gothic" w:hAnsi="Century Gothic"/>
          <w:bCs/>
          <w:iCs/>
        </w:rPr>
        <w:t xml:space="preserve"> is a </w:t>
      </w:r>
      <w:r w:rsidRPr="0076042F">
        <w:rPr>
          <w:rFonts w:ascii="Century Gothic" w:hAnsi="Century Gothic"/>
          <w:b/>
          <w:iCs/>
        </w:rPr>
        <w:t>[age]</w:t>
      </w:r>
      <w:r w:rsidRPr="0076042F">
        <w:rPr>
          <w:rFonts w:ascii="Century Gothic" w:hAnsi="Century Gothic"/>
          <w:bCs/>
          <w:iCs/>
        </w:rPr>
        <w:t xml:space="preserve"> year old </w:t>
      </w:r>
      <w:r w:rsidRPr="0076042F">
        <w:rPr>
          <w:rFonts w:ascii="Century Gothic" w:hAnsi="Century Gothic"/>
          <w:b/>
          <w:iCs/>
        </w:rPr>
        <w:t>[male/female]</w:t>
      </w:r>
      <w:r w:rsidRPr="0076042F">
        <w:rPr>
          <w:rFonts w:ascii="Century Gothic" w:hAnsi="Century Gothic"/>
          <w:bCs/>
          <w:iCs/>
        </w:rPr>
        <w:t xml:space="preserve"> who was diagnosed in </w:t>
      </w:r>
      <w:r w:rsidRPr="0076042F">
        <w:rPr>
          <w:rFonts w:ascii="Century Gothic" w:hAnsi="Century Gothic"/>
          <w:b/>
          <w:iCs/>
        </w:rPr>
        <w:t>[date]</w:t>
      </w:r>
      <w:r w:rsidRPr="0076042F">
        <w:rPr>
          <w:rFonts w:ascii="Century Gothic" w:hAnsi="Century Gothic"/>
          <w:bCs/>
          <w:iCs/>
        </w:rPr>
        <w:t xml:space="preserve"> with </w:t>
      </w:r>
      <w:r w:rsidRPr="0076042F">
        <w:rPr>
          <w:rFonts w:ascii="Century Gothic" w:hAnsi="Century Gothic"/>
          <w:bCs/>
          <w:iCs/>
        </w:rPr>
        <w:lastRenderedPageBreak/>
        <w:t xml:space="preserve">Parkinson’s disease. </w:t>
      </w:r>
      <w:r w:rsidRPr="0076042F">
        <w:rPr>
          <w:rFonts w:ascii="Century Gothic" w:hAnsi="Century Gothic"/>
          <w:b/>
          <w:iCs/>
        </w:rPr>
        <w:t>[Patient’s name]</w:t>
      </w:r>
      <w:r w:rsidRPr="0076042F">
        <w:rPr>
          <w:rFonts w:ascii="Century Gothic" w:hAnsi="Century Gothic"/>
          <w:bCs/>
          <w:iCs/>
        </w:rPr>
        <w:t xml:space="preserve"> has been treated with levodopa/carbidopa for </w:t>
      </w:r>
      <w:r w:rsidRPr="00920CC4">
        <w:rPr>
          <w:rFonts w:ascii="Century Gothic" w:hAnsi="Century Gothic"/>
          <w:b/>
          <w:iCs/>
        </w:rPr>
        <w:t>[X]</w:t>
      </w:r>
      <w:r w:rsidRPr="0076042F">
        <w:rPr>
          <w:rFonts w:ascii="Century Gothic" w:hAnsi="Century Gothic"/>
          <w:bCs/>
          <w:iCs/>
        </w:rPr>
        <w:t xml:space="preserve"> years. Patients with Parkinson’s disease who are on levodopa/carbidopa and other concomitant anti-Parkinson</w:t>
      </w:r>
    </w:p>
    <w:p w14:paraId="32640E20" w14:textId="77777777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  <w:r w:rsidRPr="0076042F">
        <w:rPr>
          <w:rFonts w:ascii="Century Gothic" w:hAnsi="Century Gothic"/>
          <w:bCs/>
          <w:iCs/>
        </w:rPr>
        <w:t>medications experiencing “OFF” episodes, have limited treatment options.</w:t>
      </w:r>
    </w:p>
    <w:p w14:paraId="437EC175" w14:textId="77777777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</w:p>
    <w:p w14:paraId="70D08B8E" w14:textId="77777777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  <w:r w:rsidRPr="0076042F">
        <w:rPr>
          <w:rFonts w:ascii="Century Gothic" w:hAnsi="Century Gothic"/>
          <w:b/>
          <w:iCs/>
        </w:rPr>
        <w:t xml:space="preserve">[He/She] </w:t>
      </w:r>
      <w:r w:rsidRPr="0076042F">
        <w:rPr>
          <w:rFonts w:ascii="Century Gothic" w:hAnsi="Century Gothic"/>
          <w:bCs/>
          <w:iCs/>
        </w:rPr>
        <w:t xml:space="preserve">underwent </w:t>
      </w:r>
      <w:r w:rsidRPr="00920CC4">
        <w:rPr>
          <w:rFonts w:ascii="Century Gothic" w:hAnsi="Century Gothic"/>
          <w:b/>
          <w:iCs/>
        </w:rPr>
        <w:t>[describe treatment to date].</w:t>
      </w:r>
    </w:p>
    <w:p w14:paraId="0B86AF90" w14:textId="77777777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/>
          <w:iCs/>
        </w:rPr>
      </w:pPr>
      <w:r w:rsidRPr="0076042F">
        <w:rPr>
          <w:rFonts w:ascii="Century Gothic" w:hAnsi="Century Gothic"/>
          <w:bCs/>
          <w:iCs/>
        </w:rPr>
        <w:t>□</w:t>
      </w:r>
      <w:r w:rsidRPr="0076042F">
        <w:rPr>
          <w:rFonts w:ascii="Century Gothic" w:hAnsi="Century Gothic"/>
          <w:bCs/>
          <w:iCs/>
        </w:rPr>
        <w:tab/>
      </w:r>
      <w:r w:rsidRPr="0076042F">
        <w:rPr>
          <w:rFonts w:ascii="Century Gothic" w:hAnsi="Century Gothic"/>
          <w:b/>
          <w:iCs/>
        </w:rPr>
        <w:t>[Be sure to include diagnosis and dates]</w:t>
      </w:r>
    </w:p>
    <w:p w14:paraId="4909ED38" w14:textId="77777777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/>
          <w:iCs/>
        </w:rPr>
      </w:pPr>
      <w:r w:rsidRPr="0076042F">
        <w:rPr>
          <w:rFonts w:ascii="Century Gothic" w:hAnsi="Century Gothic"/>
          <w:b/>
          <w:iCs/>
        </w:rPr>
        <w:t>□</w:t>
      </w:r>
      <w:r w:rsidRPr="0076042F">
        <w:rPr>
          <w:rFonts w:ascii="Century Gothic" w:hAnsi="Century Gothic"/>
          <w:b/>
          <w:iCs/>
        </w:rPr>
        <w:tab/>
        <w:t>[Past treatments]</w:t>
      </w:r>
    </w:p>
    <w:p w14:paraId="1CDE693E" w14:textId="77777777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/>
          <w:iCs/>
        </w:rPr>
      </w:pPr>
      <w:r w:rsidRPr="0076042F">
        <w:rPr>
          <w:rFonts w:ascii="Century Gothic" w:hAnsi="Century Gothic"/>
          <w:b/>
          <w:iCs/>
        </w:rPr>
        <w:t>□</w:t>
      </w:r>
      <w:r w:rsidRPr="0076042F">
        <w:rPr>
          <w:rFonts w:ascii="Century Gothic" w:hAnsi="Century Gothic"/>
          <w:b/>
          <w:iCs/>
        </w:rPr>
        <w:tab/>
        <w:t>[Patient's ability to manage current disease]</w:t>
      </w:r>
    </w:p>
    <w:p w14:paraId="1B783895" w14:textId="77777777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/>
          <w:iCs/>
        </w:rPr>
      </w:pPr>
      <w:r w:rsidRPr="0076042F">
        <w:rPr>
          <w:rFonts w:ascii="Century Gothic" w:hAnsi="Century Gothic"/>
          <w:b/>
          <w:iCs/>
        </w:rPr>
        <w:t>□</w:t>
      </w:r>
      <w:r w:rsidRPr="0076042F">
        <w:rPr>
          <w:rFonts w:ascii="Century Gothic" w:hAnsi="Century Gothic"/>
          <w:b/>
          <w:iCs/>
        </w:rPr>
        <w:tab/>
        <w:t>[Social &amp; family information (especially if younger patient)]</w:t>
      </w:r>
    </w:p>
    <w:p w14:paraId="6E1F636C" w14:textId="77777777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/>
          <w:iCs/>
        </w:rPr>
      </w:pPr>
      <w:r w:rsidRPr="0076042F">
        <w:rPr>
          <w:rFonts w:ascii="Century Gothic" w:hAnsi="Century Gothic"/>
          <w:b/>
          <w:iCs/>
        </w:rPr>
        <w:t>[</w:t>
      </w:r>
      <w:proofErr w:type="gramStart"/>
      <w:r w:rsidRPr="0076042F">
        <w:rPr>
          <w:rFonts w:ascii="Century Gothic" w:hAnsi="Century Gothic"/>
          <w:b/>
          <w:iCs/>
        </w:rPr>
        <w:t>i.e.</w:t>
      </w:r>
      <w:proofErr w:type="gramEnd"/>
      <w:r w:rsidRPr="0076042F">
        <w:rPr>
          <w:rFonts w:ascii="Century Gothic" w:hAnsi="Century Gothic"/>
          <w:b/>
          <w:iCs/>
        </w:rPr>
        <w:t xml:space="preserve"> young children or grandchildren, contributes to the well-being of the family, part-time work, volunteer work]</w:t>
      </w:r>
    </w:p>
    <w:p w14:paraId="45362863" w14:textId="77777777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/>
          <w:iCs/>
        </w:rPr>
      </w:pPr>
    </w:p>
    <w:p w14:paraId="49B82512" w14:textId="77777777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  <w:r w:rsidRPr="0076042F">
        <w:rPr>
          <w:rFonts w:ascii="Century Gothic" w:hAnsi="Century Gothic"/>
          <w:bCs/>
          <w:iCs/>
        </w:rPr>
        <w:t>Treatment Rationale</w:t>
      </w:r>
    </w:p>
    <w:p w14:paraId="38730BD7" w14:textId="45812499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  <w:proofErr w:type="spellStart"/>
      <w:r w:rsidRPr="0076042F">
        <w:rPr>
          <w:rFonts w:ascii="Century Gothic" w:hAnsi="Century Gothic"/>
          <w:bCs/>
          <w:iCs/>
        </w:rPr>
        <w:t>Nourianz</w:t>
      </w:r>
      <w:proofErr w:type="spellEnd"/>
      <w:r w:rsidRPr="0076042F">
        <w:rPr>
          <w:rFonts w:ascii="Century Gothic" w:hAnsi="Century Gothic"/>
          <w:bCs/>
          <w:iCs/>
        </w:rPr>
        <w:t>™ (</w:t>
      </w:r>
      <w:proofErr w:type="spellStart"/>
      <w:r w:rsidRPr="0076042F">
        <w:rPr>
          <w:rFonts w:ascii="Century Gothic" w:hAnsi="Century Gothic"/>
          <w:bCs/>
          <w:iCs/>
        </w:rPr>
        <w:t>istradefylline</w:t>
      </w:r>
      <w:proofErr w:type="spellEnd"/>
      <w:r w:rsidRPr="0076042F">
        <w:rPr>
          <w:rFonts w:ascii="Century Gothic" w:hAnsi="Century Gothic"/>
          <w:bCs/>
          <w:iCs/>
        </w:rPr>
        <w:t>) was approved by the FDA on Aug 27, 20</w:t>
      </w:r>
      <w:r>
        <w:rPr>
          <w:rFonts w:ascii="Century Gothic" w:hAnsi="Century Gothic"/>
          <w:bCs/>
          <w:iCs/>
        </w:rPr>
        <w:t>XX</w:t>
      </w:r>
      <w:r w:rsidRPr="0076042F">
        <w:rPr>
          <w:rFonts w:ascii="Century Gothic" w:hAnsi="Century Gothic"/>
          <w:bCs/>
          <w:iCs/>
        </w:rPr>
        <w:t>, as adjunctive treatment to levodopa/carbidopa for the treatment of adult patients with Parkinson’s disease (PD) experiencing “off” episodes. This approval was based on results from 4, 12-week registrational trials that demonstrated that patients with istradefylline plus levodopa/carbidopa experienced a greater reduction in OFF time compared with patients treated with placebo plus levodopa/carbidopa.</w:t>
      </w:r>
    </w:p>
    <w:p w14:paraId="309A0AF4" w14:textId="77777777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</w:p>
    <w:p w14:paraId="20A2EFEF" w14:textId="77777777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  <w:proofErr w:type="spellStart"/>
      <w:r w:rsidRPr="0076042F">
        <w:rPr>
          <w:rFonts w:ascii="Century Gothic" w:hAnsi="Century Gothic"/>
          <w:bCs/>
          <w:iCs/>
        </w:rPr>
        <w:t>Nourianz</w:t>
      </w:r>
      <w:proofErr w:type="spellEnd"/>
      <w:r w:rsidRPr="0076042F">
        <w:rPr>
          <w:rFonts w:ascii="Century Gothic" w:hAnsi="Century Gothic"/>
          <w:bCs/>
          <w:iCs/>
        </w:rPr>
        <w:t xml:space="preserve"> is the only adenosine receptor antagonist indicated to reduce OFF episodes thus providing an alternate MOA to potentially address this patient’s medical need.</w:t>
      </w:r>
    </w:p>
    <w:p w14:paraId="25DB6DA1" w14:textId="77777777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</w:p>
    <w:p w14:paraId="6E09901A" w14:textId="77777777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  <w:r w:rsidRPr="0076042F">
        <w:rPr>
          <w:rFonts w:ascii="Century Gothic" w:hAnsi="Century Gothic"/>
          <w:bCs/>
          <w:iCs/>
        </w:rPr>
        <w:t>Summary</w:t>
      </w:r>
    </w:p>
    <w:p w14:paraId="7FEA34BF" w14:textId="77777777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  <w:r w:rsidRPr="0076042F">
        <w:rPr>
          <w:rFonts w:ascii="Century Gothic" w:hAnsi="Century Gothic"/>
          <w:bCs/>
          <w:iCs/>
        </w:rPr>
        <w:t xml:space="preserve">In summary, I am appealing the denial(s) of </w:t>
      </w:r>
      <w:proofErr w:type="spellStart"/>
      <w:r w:rsidRPr="0076042F">
        <w:rPr>
          <w:rFonts w:ascii="Century Gothic" w:hAnsi="Century Gothic"/>
          <w:bCs/>
          <w:iCs/>
        </w:rPr>
        <w:t>Nourianz</w:t>
      </w:r>
      <w:proofErr w:type="spellEnd"/>
      <w:r w:rsidRPr="0076042F">
        <w:rPr>
          <w:rFonts w:ascii="Century Gothic" w:hAnsi="Century Gothic"/>
          <w:bCs/>
          <w:iCs/>
        </w:rPr>
        <w:t xml:space="preserve"> as an adjunct therapy for my patient, </w:t>
      </w:r>
      <w:r w:rsidRPr="00920CC4">
        <w:rPr>
          <w:rFonts w:ascii="Century Gothic" w:hAnsi="Century Gothic"/>
          <w:b/>
          <w:iCs/>
        </w:rPr>
        <w:t xml:space="preserve">[Patient Name]. [He/She] </w:t>
      </w:r>
      <w:r w:rsidRPr="0076042F">
        <w:rPr>
          <w:rFonts w:ascii="Century Gothic" w:hAnsi="Century Gothic"/>
          <w:bCs/>
          <w:iCs/>
        </w:rPr>
        <w:t xml:space="preserve">was diagnosed with Parkinson’s disease and is experiencing “OFF” episodes on levodopa/carbidopa. As you know, there are limited treatment options for “OFF” episodes. I am requesting that you reconsider coverage based on the information above. I am readily available at my office </w:t>
      </w:r>
      <w:r w:rsidRPr="00920CC4">
        <w:rPr>
          <w:rFonts w:ascii="Century Gothic" w:hAnsi="Century Gothic"/>
          <w:b/>
          <w:iCs/>
        </w:rPr>
        <w:t>phone [MD phone#]</w:t>
      </w:r>
      <w:r w:rsidRPr="0076042F">
        <w:rPr>
          <w:rFonts w:ascii="Century Gothic" w:hAnsi="Century Gothic"/>
          <w:bCs/>
          <w:iCs/>
        </w:rPr>
        <w:t xml:space="preserve"> to address any questions or concerns you might have regarding this appeal.</w:t>
      </w:r>
    </w:p>
    <w:p w14:paraId="397040FA" w14:textId="77777777" w:rsidR="00920CC4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  <w:r w:rsidRPr="0076042F">
        <w:rPr>
          <w:rFonts w:ascii="Century Gothic" w:hAnsi="Century Gothic"/>
          <w:bCs/>
          <w:iCs/>
        </w:rPr>
        <w:t xml:space="preserve">Thank you for your time and consideration. </w:t>
      </w:r>
    </w:p>
    <w:p w14:paraId="2AA44C9B" w14:textId="77777777" w:rsidR="00920CC4" w:rsidRDefault="00920CC4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</w:p>
    <w:p w14:paraId="56F6749A" w14:textId="22798306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  <w:r w:rsidRPr="0076042F">
        <w:rPr>
          <w:rFonts w:ascii="Century Gothic" w:hAnsi="Century Gothic"/>
          <w:bCs/>
          <w:iCs/>
        </w:rPr>
        <w:t>Sincerely,</w:t>
      </w:r>
    </w:p>
    <w:p w14:paraId="4A9B11FF" w14:textId="77777777" w:rsidR="00920CC4" w:rsidRDefault="00920CC4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</w:p>
    <w:p w14:paraId="47E42378" w14:textId="7C1B9E76" w:rsidR="0076042F" w:rsidRPr="0076042F" w:rsidRDefault="0076042F" w:rsidP="0076042F">
      <w:pPr>
        <w:pStyle w:val="BodyText"/>
        <w:spacing w:line="276" w:lineRule="auto"/>
        <w:rPr>
          <w:rFonts w:ascii="Century Gothic" w:hAnsi="Century Gothic"/>
          <w:bCs/>
          <w:iCs/>
        </w:rPr>
      </w:pPr>
      <w:r w:rsidRPr="0076042F">
        <w:rPr>
          <w:rFonts w:ascii="Century Gothic" w:hAnsi="Century Gothic"/>
          <w:bCs/>
          <w:iCs/>
        </w:rPr>
        <w:t>(Physician’s name and credentials)</w:t>
      </w:r>
    </w:p>
    <w:p w14:paraId="26953DE1" w14:textId="4080E2AC" w:rsidR="0076042F" w:rsidRPr="0076042F" w:rsidRDefault="00920CC4" w:rsidP="00920CC4">
      <w:pPr>
        <w:pStyle w:val="BodyText"/>
        <w:spacing w:line="276" w:lineRule="auto"/>
        <w:ind w:left="0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  </w:t>
      </w:r>
      <w:r w:rsidR="0076042F" w:rsidRPr="0076042F">
        <w:rPr>
          <w:rFonts w:ascii="Century Gothic" w:hAnsi="Century Gothic"/>
          <w:bCs/>
          <w:iCs/>
        </w:rPr>
        <w:t>Suggested Enclosures USPI</w:t>
      </w:r>
    </w:p>
    <w:p w14:paraId="68BDDF1D" w14:textId="7ED4B06B" w:rsidR="00FB23AF" w:rsidRPr="0076042F" w:rsidRDefault="00920CC4" w:rsidP="0076042F">
      <w:pPr>
        <w:pStyle w:val="BodyText"/>
        <w:spacing w:line="276" w:lineRule="auto"/>
        <w:ind w:left="0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  </w:t>
      </w:r>
      <w:r w:rsidR="0076042F" w:rsidRPr="0076042F">
        <w:rPr>
          <w:rFonts w:ascii="Century Gothic" w:hAnsi="Century Gothic"/>
          <w:bCs/>
          <w:iCs/>
        </w:rPr>
        <w:t>Relevant clinical/chart notes</w:t>
      </w:r>
    </w:p>
    <w:sectPr w:rsidR="00FB23AF" w:rsidRPr="0076042F" w:rsidSect="0076042F">
      <w:type w:val="continuous"/>
      <w:pgSz w:w="12240" w:h="15840"/>
      <w:pgMar w:top="1440" w:right="1080" w:bottom="1440" w:left="1080" w:header="0" w:footer="96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1F27" w14:textId="77777777" w:rsidR="00E210A8" w:rsidRDefault="00E210A8">
      <w:r>
        <w:separator/>
      </w:r>
    </w:p>
  </w:endnote>
  <w:endnote w:type="continuationSeparator" w:id="0">
    <w:p w14:paraId="549EE67E" w14:textId="77777777" w:rsidR="00E210A8" w:rsidRDefault="00E2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26D1" w14:textId="77777777" w:rsidR="00E210A8" w:rsidRDefault="00E210A8">
      <w:r>
        <w:separator/>
      </w:r>
    </w:p>
  </w:footnote>
  <w:footnote w:type="continuationSeparator" w:id="0">
    <w:p w14:paraId="6948615D" w14:textId="77777777" w:rsidR="00E210A8" w:rsidRDefault="00E21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2D49"/>
    <w:multiLevelType w:val="hybridMultilevel"/>
    <w:tmpl w:val="1F9AC2FE"/>
    <w:lvl w:ilvl="0" w:tplc="24CE4DD6">
      <w:numFmt w:val="bullet"/>
      <w:lvlText w:val="□"/>
      <w:lvlJc w:val="left"/>
      <w:pPr>
        <w:ind w:left="347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w w:val="128"/>
        <w:sz w:val="24"/>
        <w:szCs w:val="24"/>
        <w:lang w:val="en-US" w:eastAsia="en-US" w:bidi="ar-SA"/>
      </w:rPr>
    </w:lvl>
    <w:lvl w:ilvl="1" w:tplc="5CB04DA6">
      <w:numFmt w:val="bullet"/>
      <w:lvlText w:val="•"/>
      <w:lvlJc w:val="left"/>
      <w:pPr>
        <w:ind w:left="1262" w:hanging="248"/>
      </w:pPr>
      <w:rPr>
        <w:rFonts w:hint="default"/>
        <w:lang w:val="en-US" w:eastAsia="en-US" w:bidi="ar-SA"/>
      </w:rPr>
    </w:lvl>
    <w:lvl w:ilvl="2" w:tplc="330EE99C">
      <w:numFmt w:val="bullet"/>
      <w:lvlText w:val="•"/>
      <w:lvlJc w:val="left"/>
      <w:pPr>
        <w:ind w:left="2184" w:hanging="248"/>
      </w:pPr>
      <w:rPr>
        <w:rFonts w:hint="default"/>
        <w:lang w:val="en-US" w:eastAsia="en-US" w:bidi="ar-SA"/>
      </w:rPr>
    </w:lvl>
    <w:lvl w:ilvl="3" w:tplc="988A6ED4">
      <w:numFmt w:val="bullet"/>
      <w:lvlText w:val="•"/>
      <w:lvlJc w:val="left"/>
      <w:pPr>
        <w:ind w:left="3106" w:hanging="248"/>
      </w:pPr>
      <w:rPr>
        <w:rFonts w:hint="default"/>
        <w:lang w:val="en-US" w:eastAsia="en-US" w:bidi="ar-SA"/>
      </w:rPr>
    </w:lvl>
    <w:lvl w:ilvl="4" w:tplc="2D78D9EA">
      <w:numFmt w:val="bullet"/>
      <w:lvlText w:val="•"/>
      <w:lvlJc w:val="left"/>
      <w:pPr>
        <w:ind w:left="4028" w:hanging="248"/>
      </w:pPr>
      <w:rPr>
        <w:rFonts w:hint="default"/>
        <w:lang w:val="en-US" w:eastAsia="en-US" w:bidi="ar-SA"/>
      </w:rPr>
    </w:lvl>
    <w:lvl w:ilvl="5" w:tplc="73B68090">
      <w:numFmt w:val="bullet"/>
      <w:lvlText w:val="•"/>
      <w:lvlJc w:val="left"/>
      <w:pPr>
        <w:ind w:left="4950" w:hanging="248"/>
      </w:pPr>
      <w:rPr>
        <w:rFonts w:hint="default"/>
        <w:lang w:val="en-US" w:eastAsia="en-US" w:bidi="ar-SA"/>
      </w:rPr>
    </w:lvl>
    <w:lvl w:ilvl="6" w:tplc="98D80C7E">
      <w:numFmt w:val="bullet"/>
      <w:lvlText w:val="•"/>
      <w:lvlJc w:val="left"/>
      <w:pPr>
        <w:ind w:left="5872" w:hanging="248"/>
      </w:pPr>
      <w:rPr>
        <w:rFonts w:hint="default"/>
        <w:lang w:val="en-US" w:eastAsia="en-US" w:bidi="ar-SA"/>
      </w:rPr>
    </w:lvl>
    <w:lvl w:ilvl="7" w:tplc="C31C8AF8">
      <w:numFmt w:val="bullet"/>
      <w:lvlText w:val="•"/>
      <w:lvlJc w:val="left"/>
      <w:pPr>
        <w:ind w:left="6794" w:hanging="248"/>
      </w:pPr>
      <w:rPr>
        <w:rFonts w:hint="default"/>
        <w:lang w:val="en-US" w:eastAsia="en-US" w:bidi="ar-SA"/>
      </w:rPr>
    </w:lvl>
    <w:lvl w:ilvl="8" w:tplc="BB007E94">
      <w:numFmt w:val="bullet"/>
      <w:lvlText w:val="•"/>
      <w:lvlJc w:val="left"/>
      <w:pPr>
        <w:ind w:left="7716" w:hanging="248"/>
      </w:pPr>
      <w:rPr>
        <w:rFonts w:hint="default"/>
        <w:lang w:val="en-US" w:eastAsia="en-US" w:bidi="ar-SA"/>
      </w:rPr>
    </w:lvl>
  </w:abstractNum>
  <w:num w:numId="1" w16cid:durableId="100886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23AF"/>
    <w:rsid w:val="001A393F"/>
    <w:rsid w:val="0076042F"/>
    <w:rsid w:val="00920CC4"/>
    <w:rsid w:val="00E210A8"/>
    <w:rsid w:val="00F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284CF"/>
  <w15:docId w15:val="{D88EC9C1-B1CB-4DCF-A786-50EB7684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1216" w:right="1216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47" w:hanging="2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2022-08-24T11:16:00Z</dcterms:created>
  <dcterms:modified xsi:type="dcterms:W3CDTF">2022-08-25T11:10:00Z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Veeva Vault</vt:lpwstr>
  </property>
  <property fmtid="{D5CDD505-2E9C-101B-9397-08002B2CF9AE}" pid="4" name="LastSaved">
    <vt:filetime>2022-08-24T00:00:00Z</vt:filetime>
  </property>
</Properties>
</file>