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154183C" w14:textId="23C95084" w:rsidR="00402F9D" w:rsidRPr="001D64C8" w:rsidRDefault="001D64C8" w:rsidP="001D64C8">
      <w:pPr>
        <w:spacing w:line="0" w:lineRule="atLeast"/>
        <w:jc w:val="center"/>
        <w:rPr>
          <w:rFonts w:ascii="Lato" w:eastAsia="Arial" w:hAnsi="Lato"/>
          <w:b/>
          <w:color w:val="000000" w:themeColor="text1"/>
          <w:sz w:val="32"/>
          <w:szCs w:val="32"/>
        </w:rPr>
      </w:pPr>
      <w:r>
        <w:rPr>
          <w:rFonts w:ascii="Lato" w:eastAsia="Arial" w:hAnsi="Lato"/>
          <w:b/>
          <w:color w:val="000000" w:themeColor="text1"/>
          <w:sz w:val="32"/>
          <w:szCs w:val="32"/>
        </w:rPr>
        <w:t xml:space="preserve">        </w:t>
      </w:r>
      <w:r w:rsidRPr="001D64C8">
        <w:rPr>
          <w:rFonts w:ascii="Lato" w:eastAsia="Arial" w:hAnsi="Lato"/>
          <w:b/>
          <w:color w:val="000000" w:themeColor="text1"/>
          <w:sz w:val="32"/>
          <w:szCs w:val="32"/>
        </w:rPr>
        <w:t>BUILT ENVIRONMENT AND HEALTH INITIATIVE</w:t>
      </w:r>
    </w:p>
    <w:p w14:paraId="12325BCA" w14:textId="77777777" w:rsidR="00402F9D" w:rsidRPr="001D64C8" w:rsidRDefault="00402F9D" w:rsidP="001D64C8">
      <w:pPr>
        <w:spacing w:line="191" w:lineRule="exact"/>
        <w:rPr>
          <w:rFonts w:ascii="Lato" w:eastAsia="Times New Roman" w:hAnsi="Lato"/>
          <w:color w:val="000000" w:themeColor="text1"/>
          <w:sz w:val="24"/>
          <w:szCs w:val="24"/>
        </w:rPr>
      </w:pPr>
    </w:p>
    <w:p w14:paraId="30F80B62" w14:textId="361B8B36" w:rsidR="00402F9D" w:rsidRPr="001D64C8" w:rsidRDefault="001D64C8" w:rsidP="001D64C8">
      <w:pPr>
        <w:spacing w:line="0" w:lineRule="atLeast"/>
        <w:jc w:val="center"/>
        <w:rPr>
          <w:rFonts w:ascii="Lato" w:eastAsia="Arial" w:hAnsi="Lato"/>
          <w:b/>
          <w:color w:val="000000" w:themeColor="text1"/>
        </w:rPr>
      </w:pPr>
      <w:r w:rsidRPr="001D64C8">
        <w:rPr>
          <w:rFonts w:ascii="Lato" w:eastAsia="Arial" w:hAnsi="Lato"/>
          <w:b/>
          <w:color w:val="000000" w:themeColor="text1"/>
          <w:sz w:val="18"/>
          <w:szCs w:val="18"/>
        </w:rPr>
        <w:t xml:space="preserve">             </w:t>
      </w:r>
      <w:r w:rsidR="008E1AD0" w:rsidRPr="001D64C8">
        <w:rPr>
          <w:rFonts w:ascii="Lato" w:eastAsia="Arial" w:hAnsi="Lato"/>
          <w:b/>
          <w:color w:val="000000" w:themeColor="text1"/>
        </w:rPr>
        <w:t>The physical design of our communities can improve or worsen our health.</w:t>
      </w:r>
    </w:p>
    <w:p w14:paraId="36D97A05" w14:textId="77777777" w:rsidR="00402F9D" w:rsidRPr="001D64C8" w:rsidRDefault="00402F9D" w:rsidP="001D64C8">
      <w:pPr>
        <w:spacing w:line="0" w:lineRule="atLeast"/>
        <w:jc w:val="center"/>
        <w:rPr>
          <w:rFonts w:ascii="Lato" w:eastAsia="Arial" w:hAnsi="Lato"/>
          <w:b/>
          <w:color w:val="000000" w:themeColor="text1"/>
          <w:sz w:val="18"/>
          <w:szCs w:val="18"/>
        </w:rPr>
        <w:sectPr w:rsidR="00402F9D" w:rsidRPr="001D64C8">
          <w:pgSz w:w="12240" w:h="15840"/>
          <w:pgMar w:top="650" w:right="2300" w:bottom="191" w:left="720" w:header="0" w:footer="0" w:gutter="0"/>
          <w:cols w:space="0" w:equalWidth="0">
            <w:col w:w="9220"/>
          </w:cols>
          <w:docGrid w:linePitch="360"/>
        </w:sectPr>
      </w:pPr>
    </w:p>
    <w:p w14:paraId="502AD19E" w14:textId="7D2299D0" w:rsidR="00402F9D" w:rsidRDefault="00402F9D" w:rsidP="001D64C8">
      <w:pPr>
        <w:spacing w:line="317" w:lineRule="exact"/>
        <w:jc w:val="both"/>
        <w:rPr>
          <w:rFonts w:ascii="Lato" w:eastAsia="Times New Roman" w:hAnsi="Lato"/>
          <w:color w:val="000000" w:themeColor="text1"/>
          <w:sz w:val="18"/>
          <w:szCs w:val="18"/>
        </w:rPr>
      </w:pPr>
    </w:p>
    <w:p w14:paraId="3373B3CE" w14:textId="77777777" w:rsidR="001D64C8" w:rsidRPr="001D64C8" w:rsidRDefault="001D64C8" w:rsidP="001D64C8">
      <w:pPr>
        <w:spacing w:line="317" w:lineRule="exact"/>
        <w:jc w:val="both"/>
        <w:rPr>
          <w:rFonts w:ascii="Lato" w:eastAsia="Times New Roman" w:hAnsi="Lato"/>
          <w:color w:val="000000" w:themeColor="text1"/>
          <w:sz w:val="18"/>
          <w:szCs w:val="18"/>
        </w:rPr>
      </w:pPr>
    </w:p>
    <w:p w14:paraId="15B87A9C" w14:textId="77777777" w:rsidR="00402F9D" w:rsidRPr="001D64C8" w:rsidRDefault="008E1AD0" w:rsidP="001D64C8">
      <w:pPr>
        <w:spacing w:line="255" w:lineRule="auto"/>
        <w:jc w:val="both"/>
        <w:rPr>
          <w:rFonts w:ascii="Lato" w:eastAsia="Arial" w:hAnsi="Lato"/>
          <w:color w:val="000000" w:themeColor="text1"/>
          <w:sz w:val="18"/>
          <w:szCs w:val="18"/>
        </w:rPr>
      </w:pPr>
      <w:r w:rsidRPr="001D64C8">
        <w:rPr>
          <w:rFonts w:ascii="Lato" w:eastAsia="Arial" w:hAnsi="Lato"/>
          <w:b/>
          <w:color w:val="000000" w:themeColor="text1"/>
          <w:sz w:val="18"/>
          <w:szCs w:val="18"/>
        </w:rPr>
        <w:t xml:space="preserve">CDC’s Built Environment and Health Initiative (BEHI) focuses on </w:t>
      </w:r>
      <w:r w:rsidRPr="001D64C8">
        <w:rPr>
          <w:rFonts w:ascii="Lato" w:eastAsia="Arial" w:hAnsi="Lato"/>
          <w:color w:val="000000" w:themeColor="text1"/>
          <w:sz w:val="18"/>
          <w:szCs w:val="18"/>
        </w:rPr>
        <w:t>the relationship</w:t>
      </w:r>
      <w:r w:rsidRPr="001D64C8">
        <w:rPr>
          <w:rFonts w:ascii="Lato" w:eastAsia="Arial" w:hAnsi="Lato"/>
          <w:b/>
          <w:color w:val="000000" w:themeColor="text1"/>
          <w:sz w:val="18"/>
          <w:szCs w:val="18"/>
        </w:rPr>
        <w:t xml:space="preserve"> </w:t>
      </w:r>
      <w:r w:rsidRPr="001D64C8">
        <w:rPr>
          <w:rFonts w:ascii="Lato" w:eastAsia="Arial" w:hAnsi="Lato"/>
          <w:color w:val="000000" w:themeColor="text1"/>
          <w:sz w:val="18"/>
          <w:szCs w:val="18"/>
        </w:rPr>
        <w:t>between the built environment and several serious health conditions. This initiative (also known as the Healthy Community Design Initiative) gives state and local governments the knowledge and tools needed to make planning and transportation decisions that protect American lives and reduce healthcare costs.</w:t>
      </w:r>
    </w:p>
    <w:p w14:paraId="61446ED6" w14:textId="77777777" w:rsidR="00402F9D" w:rsidRPr="001D64C8" w:rsidRDefault="00402F9D" w:rsidP="001D64C8">
      <w:pPr>
        <w:spacing w:line="68" w:lineRule="exact"/>
        <w:jc w:val="both"/>
        <w:rPr>
          <w:rFonts w:ascii="Lato" w:eastAsia="Times New Roman" w:hAnsi="Lato"/>
          <w:color w:val="000000" w:themeColor="text1"/>
          <w:sz w:val="18"/>
          <w:szCs w:val="18"/>
        </w:rPr>
      </w:pPr>
    </w:p>
    <w:p w14:paraId="195D027A" w14:textId="77777777" w:rsidR="00402F9D" w:rsidRPr="001D64C8" w:rsidRDefault="008E1AD0" w:rsidP="001D64C8">
      <w:pPr>
        <w:spacing w:line="259" w:lineRule="auto"/>
        <w:ind w:right="540"/>
        <w:jc w:val="both"/>
        <w:rPr>
          <w:rFonts w:ascii="Lato" w:eastAsia="Arial" w:hAnsi="Lato"/>
          <w:color w:val="000000" w:themeColor="text1"/>
          <w:sz w:val="18"/>
          <w:szCs w:val="18"/>
        </w:rPr>
      </w:pPr>
      <w:r w:rsidRPr="001D64C8">
        <w:rPr>
          <w:rFonts w:ascii="Lato" w:eastAsia="Arial" w:hAnsi="Lato"/>
          <w:b/>
          <w:color w:val="000000" w:themeColor="text1"/>
          <w:sz w:val="18"/>
          <w:szCs w:val="18"/>
        </w:rPr>
        <w:t xml:space="preserve">CDC’s Built Environment and Health Initiative is the only </w:t>
      </w:r>
      <w:r w:rsidRPr="001D64C8">
        <w:rPr>
          <w:rFonts w:ascii="Lato" w:eastAsia="Arial" w:hAnsi="Lato"/>
          <w:color w:val="000000" w:themeColor="text1"/>
          <w:sz w:val="18"/>
          <w:szCs w:val="18"/>
        </w:rPr>
        <w:t>federal program whose</w:t>
      </w:r>
      <w:r w:rsidRPr="001D64C8">
        <w:rPr>
          <w:rFonts w:ascii="Lato" w:eastAsia="Arial" w:hAnsi="Lato"/>
          <w:b/>
          <w:color w:val="000000" w:themeColor="text1"/>
          <w:sz w:val="18"/>
          <w:szCs w:val="18"/>
        </w:rPr>
        <w:t xml:space="preserve"> </w:t>
      </w:r>
      <w:r w:rsidRPr="001D64C8">
        <w:rPr>
          <w:rFonts w:ascii="Lato" w:eastAsia="Arial" w:hAnsi="Lato"/>
          <w:color w:val="000000" w:themeColor="text1"/>
          <w:sz w:val="18"/>
          <w:szCs w:val="18"/>
        </w:rPr>
        <w:t>primary purpose is to improve the health of all Americans through evidence-based changes to the built environment.</w:t>
      </w:r>
    </w:p>
    <w:p w14:paraId="2034CA07" w14:textId="77777777" w:rsidR="00402F9D" w:rsidRPr="001D64C8" w:rsidRDefault="00402F9D" w:rsidP="001D64C8">
      <w:pPr>
        <w:spacing w:line="67" w:lineRule="exact"/>
        <w:jc w:val="both"/>
        <w:rPr>
          <w:rFonts w:ascii="Lato" w:eastAsia="Times New Roman" w:hAnsi="Lato"/>
          <w:color w:val="000000" w:themeColor="text1"/>
          <w:sz w:val="18"/>
          <w:szCs w:val="18"/>
        </w:rPr>
      </w:pPr>
    </w:p>
    <w:p w14:paraId="3E81067F" w14:textId="77777777" w:rsidR="00C40514" w:rsidRDefault="00C40514" w:rsidP="001D64C8">
      <w:pPr>
        <w:spacing w:line="253" w:lineRule="auto"/>
        <w:ind w:right="1160"/>
        <w:jc w:val="both"/>
        <w:rPr>
          <w:rFonts w:ascii="Lato" w:eastAsia="Arial" w:hAnsi="Lato"/>
          <w:b/>
          <w:color w:val="000000" w:themeColor="text1"/>
          <w:sz w:val="18"/>
          <w:szCs w:val="18"/>
        </w:rPr>
      </w:pPr>
    </w:p>
    <w:p w14:paraId="243741DE" w14:textId="74A379B5" w:rsidR="00402F9D" w:rsidRPr="001D64C8" w:rsidRDefault="008E1AD0" w:rsidP="001D64C8">
      <w:pPr>
        <w:spacing w:line="253" w:lineRule="auto"/>
        <w:ind w:right="1160"/>
        <w:jc w:val="both"/>
        <w:rPr>
          <w:rFonts w:ascii="Lato" w:eastAsia="Arial" w:hAnsi="Lato"/>
          <w:b/>
          <w:color w:val="000000" w:themeColor="text1"/>
          <w:sz w:val="18"/>
          <w:szCs w:val="18"/>
        </w:rPr>
      </w:pPr>
      <w:r w:rsidRPr="001D64C8">
        <w:rPr>
          <w:rFonts w:ascii="Lato" w:eastAsia="Arial" w:hAnsi="Lato"/>
          <w:b/>
          <w:color w:val="000000" w:themeColor="text1"/>
          <w:sz w:val="18"/>
          <w:szCs w:val="18"/>
        </w:rPr>
        <w:t>What does the Built Environment and Health Initiative do?</w:t>
      </w:r>
    </w:p>
    <w:p w14:paraId="76E69486" w14:textId="77777777" w:rsidR="00402F9D" w:rsidRPr="001D64C8" w:rsidRDefault="00402F9D" w:rsidP="001D64C8">
      <w:pPr>
        <w:spacing w:line="40" w:lineRule="exact"/>
        <w:jc w:val="both"/>
        <w:rPr>
          <w:rFonts w:ascii="Lato" w:eastAsia="Times New Roman" w:hAnsi="Lato"/>
          <w:color w:val="000000" w:themeColor="text1"/>
          <w:sz w:val="18"/>
          <w:szCs w:val="18"/>
        </w:rPr>
      </w:pPr>
    </w:p>
    <w:p w14:paraId="06DCBF56" w14:textId="76E305C8" w:rsidR="00402F9D" w:rsidRDefault="008E1AD0" w:rsidP="001D64C8">
      <w:pPr>
        <w:spacing w:line="261" w:lineRule="auto"/>
        <w:ind w:right="760"/>
        <w:jc w:val="both"/>
        <w:rPr>
          <w:rFonts w:ascii="Lato" w:eastAsia="Arial" w:hAnsi="Lato"/>
          <w:color w:val="000000" w:themeColor="text1"/>
          <w:sz w:val="18"/>
          <w:szCs w:val="18"/>
        </w:rPr>
      </w:pPr>
      <w:r w:rsidRPr="001D64C8">
        <w:rPr>
          <w:rFonts w:ascii="Lato" w:eastAsia="Arial" w:hAnsi="Lato"/>
          <w:color w:val="000000" w:themeColor="text1"/>
          <w:sz w:val="18"/>
          <w:szCs w:val="18"/>
        </w:rPr>
        <w:t>BEHI helps communities use health information to make efficient, locally relevant decisions about transportation and land-use projects by:</w:t>
      </w:r>
    </w:p>
    <w:p w14:paraId="7E61CD14" w14:textId="77777777" w:rsidR="00C40514" w:rsidRPr="001D64C8" w:rsidRDefault="00C40514" w:rsidP="001D64C8">
      <w:pPr>
        <w:spacing w:line="261" w:lineRule="auto"/>
        <w:ind w:right="760"/>
        <w:jc w:val="both"/>
        <w:rPr>
          <w:rFonts w:ascii="Lato" w:eastAsia="Arial" w:hAnsi="Lato"/>
          <w:color w:val="000000" w:themeColor="text1"/>
          <w:sz w:val="18"/>
          <w:szCs w:val="18"/>
        </w:rPr>
      </w:pPr>
    </w:p>
    <w:p w14:paraId="5DA4F406" w14:textId="77777777" w:rsidR="00402F9D" w:rsidRPr="001D64C8" w:rsidRDefault="00402F9D" w:rsidP="001D64C8">
      <w:pPr>
        <w:spacing w:line="62" w:lineRule="exact"/>
        <w:jc w:val="both"/>
        <w:rPr>
          <w:rFonts w:ascii="Lato" w:eastAsia="Times New Roman" w:hAnsi="Lato"/>
          <w:color w:val="000000" w:themeColor="text1"/>
          <w:sz w:val="18"/>
          <w:szCs w:val="18"/>
        </w:rPr>
      </w:pPr>
    </w:p>
    <w:p w14:paraId="1C326359" w14:textId="77777777" w:rsidR="00402F9D" w:rsidRPr="001D64C8" w:rsidRDefault="008E1AD0" w:rsidP="001D64C8">
      <w:pPr>
        <w:numPr>
          <w:ilvl w:val="0"/>
          <w:numId w:val="1"/>
        </w:numPr>
        <w:tabs>
          <w:tab w:val="left" w:pos="320"/>
        </w:tabs>
        <w:spacing w:line="0" w:lineRule="atLeast"/>
        <w:ind w:hanging="186"/>
        <w:jc w:val="both"/>
        <w:rPr>
          <w:rFonts w:ascii="Lato" w:eastAsia="Arial" w:hAnsi="Lato"/>
          <w:color w:val="000000" w:themeColor="text1"/>
          <w:sz w:val="18"/>
          <w:szCs w:val="18"/>
        </w:rPr>
      </w:pPr>
      <w:r w:rsidRPr="001D64C8">
        <w:rPr>
          <w:rFonts w:ascii="Lato" w:eastAsia="Arial" w:hAnsi="Lato"/>
          <w:b/>
          <w:color w:val="000000" w:themeColor="text1"/>
          <w:sz w:val="18"/>
          <w:szCs w:val="18"/>
        </w:rPr>
        <w:t>Supporting health impact assessments (HIAs) that</w:t>
      </w:r>
    </w:p>
    <w:p w14:paraId="541A06A7" w14:textId="77777777" w:rsidR="00402F9D" w:rsidRPr="001D64C8" w:rsidRDefault="00402F9D" w:rsidP="001D64C8">
      <w:pPr>
        <w:spacing w:line="107" w:lineRule="exact"/>
        <w:ind w:left="360" w:hanging="360"/>
        <w:jc w:val="both"/>
        <w:rPr>
          <w:rFonts w:ascii="Lato" w:eastAsia="Arial" w:hAnsi="Lato"/>
          <w:color w:val="000000" w:themeColor="text1"/>
          <w:sz w:val="18"/>
          <w:szCs w:val="18"/>
        </w:rPr>
      </w:pPr>
    </w:p>
    <w:p w14:paraId="057E0CCA" w14:textId="77777777" w:rsidR="00402F9D" w:rsidRPr="001D64C8" w:rsidRDefault="008E1AD0" w:rsidP="001D64C8">
      <w:pPr>
        <w:spacing w:line="261" w:lineRule="auto"/>
        <w:ind w:right="180" w:hanging="180"/>
        <w:jc w:val="both"/>
        <w:rPr>
          <w:rFonts w:ascii="Lato" w:eastAsia="Arial" w:hAnsi="Lato"/>
          <w:color w:val="000000" w:themeColor="text1"/>
          <w:sz w:val="18"/>
          <w:szCs w:val="18"/>
        </w:rPr>
      </w:pPr>
      <w:r w:rsidRPr="001D64C8">
        <w:rPr>
          <w:rFonts w:ascii="Lato" w:eastAsia="Arial" w:hAnsi="Lato"/>
          <w:color w:val="000000" w:themeColor="text1"/>
          <w:sz w:val="18"/>
          <w:szCs w:val="18"/>
        </w:rPr>
        <w:t>–– Inform local decision makers outside of the traditional public health arenas about how changes to the built environment can affect public health.</w:t>
      </w:r>
    </w:p>
    <w:p w14:paraId="4FBD45DF" w14:textId="77777777" w:rsidR="00402F9D" w:rsidRPr="001D64C8" w:rsidRDefault="00402F9D" w:rsidP="001D64C8">
      <w:pPr>
        <w:spacing w:line="69" w:lineRule="exact"/>
        <w:jc w:val="both"/>
        <w:rPr>
          <w:rFonts w:ascii="Lato" w:eastAsia="Arial" w:hAnsi="Lato"/>
          <w:color w:val="000000" w:themeColor="text1"/>
          <w:sz w:val="18"/>
          <w:szCs w:val="18"/>
        </w:rPr>
      </w:pPr>
    </w:p>
    <w:p w14:paraId="2B2E6776" w14:textId="77777777" w:rsidR="00402F9D" w:rsidRPr="001D64C8" w:rsidRDefault="008E1AD0" w:rsidP="001D64C8">
      <w:pPr>
        <w:spacing w:line="261" w:lineRule="auto"/>
        <w:ind w:right="180" w:hanging="180"/>
        <w:jc w:val="both"/>
        <w:rPr>
          <w:rFonts w:ascii="Lato" w:eastAsia="Arial" w:hAnsi="Lato"/>
          <w:color w:val="000000" w:themeColor="text1"/>
          <w:sz w:val="18"/>
          <w:szCs w:val="18"/>
        </w:rPr>
      </w:pPr>
      <w:r w:rsidRPr="001D64C8">
        <w:rPr>
          <w:rFonts w:ascii="Lato" w:eastAsia="Arial" w:hAnsi="Lato"/>
          <w:color w:val="000000" w:themeColor="text1"/>
          <w:sz w:val="18"/>
          <w:szCs w:val="18"/>
        </w:rPr>
        <w:t>–– Help communities evaluate the potential positive and negative health effects of a plan, project, or policy before it is built or implemented.</w:t>
      </w:r>
    </w:p>
    <w:p w14:paraId="2E43DF7A" w14:textId="77777777" w:rsidR="00402F9D" w:rsidRPr="001D64C8" w:rsidRDefault="00402F9D" w:rsidP="001D64C8">
      <w:pPr>
        <w:spacing w:line="62" w:lineRule="exact"/>
        <w:jc w:val="both"/>
        <w:rPr>
          <w:rFonts w:ascii="Lato" w:eastAsia="Arial" w:hAnsi="Lato"/>
          <w:color w:val="000000" w:themeColor="text1"/>
          <w:sz w:val="18"/>
          <w:szCs w:val="18"/>
        </w:rPr>
      </w:pPr>
    </w:p>
    <w:p w14:paraId="7CE11B57" w14:textId="77777777" w:rsidR="00402F9D" w:rsidRPr="001D64C8" w:rsidRDefault="008E1AD0" w:rsidP="001D64C8">
      <w:pPr>
        <w:numPr>
          <w:ilvl w:val="0"/>
          <w:numId w:val="1"/>
        </w:numPr>
        <w:tabs>
          <w:tab w:val="left" w:pos="320"/>
        </w:tabs>
        <w:spacing w:line="269" w:lineRule="auto"/>
        <w:ind w:right="280" w:hanging="186"/>
        <w:jc w:val="both"/>
        <w:rPr>
          <w:rFonts w:ascii="Lato" w:eastAsia="Arial" w:hAnsi="Lato"/>
          <w:color w:val="000000" w:themeColor="text1"/>
          <w:sz w:val="18"/>
          <w:szCs w:val="18"/>
        </w:rPr>
      </w:pPr>
      <w:r w:rsidRPr="001D64C8">
        <w:rPr>
          <w:rFonts w:ascii="Lato" w:eastAsia="Arial" w:hAnsi="Lato"/>
          <w:b/>
          <w:color w:val="000000" w:themeColor="text1"/>
          <w:sz w:val="18"/>
          <w:szCs w:val="18"/>
        </w:rPr>
        <w:t xml:space="preserve">Forging ongoing relationships </w:t>
      </w:r>
      <w:r w:rsidRPr="001D64C8">
        <w:rPr>
          <w:rFonts w:ascii="Lato" w:eastAsia="Arial" w:hAnsi="Lato"/>
          <w:color w:val="000000" w:themeColor="text1"/>
          <w:sz w:val="18"/>
          <w:szCs w:val="18"/>
        </w:rPr>
        <w:t>with local governments or planning commissions,</w:t>
      </w:r>
      <w:r w:rsidRPr="001D64C8">
        <w:rPr>
          <w:rFonts w:ascii="Lato" w:eastAsia="Arial" w:hAnsi="Lato"/>
          <w:b/>
          <w:color w:val="000000" w:themeColor="text1"/>
          <w:sz w:val="18"/>
          <w:szCs w:val="18"/>
        </w:rPr>
        <w:t xml:space="preserve"> </w:t>
      </w:r>
      <w:r w:rsidRPr="001D64C8">
        <w:rPr>
          <w:rFonts w:ascii="Lato" w:eastAsia="Arial" w:hAnsi="Lato"/>
          <w:color w:val="000000" w:themeColor="text1"/>
          <w:sz w:val="18"/>
          <w:szCs w:val="18"/>
        </w:rPr>
        <w:t>thus building infrastructure that maximizes good health.</w:t>
      </w:r>
    </w:p>
    <w:p w14:paraId="62E2D882" w14:textId="77777777" w:rsidR="00402F9D" w:rsidRPr="001D64C8" w:rsidRDefault="00402F9D" w:rsidP="001D64C8">
      <w:pPr>
        <w:spacing w:line="54" w:lineRule="exact"/>
        <w:jc w:val="both"/>
        <w:rPr>
          <w:rFonts w:ascii="Lato" w:eastAsia="Arial" w:hAnsi="Lato"/>
          <w:color w:val="000000" w:themeColor="text1"/>
          <w:sz w:val="18"/>
          <w:szCs w:val="18"/>
        </w:rPr>
      </w:pPr>
    </w:p>
    <w:p w14:paraId="3398CF77" w14:textId="77777777" w:rsidR="00402F9D" w:rsidRPr="001D64C8" w:rsidRDefault="008E1AD0" w:rsidP="001D64C8">
      <w:pPr>
        <w:numPr>
          <w:ilvl w:val="0"/>
          <w:numId w:val="1"/>
        </w:numPr>
        <w:tabs>
          <w:tab w:val="left" w:pos="320"/>
        </w:tabs>
        <w:spacing w:line="269" w:lineRule="auto"/>
        <w:ind w:right="760" w:hanging="186"/>
        <w:jc w:val="both"/>
        <w:rPr>
          <w:rFonts w:ascii="Lato" w:eastAsia="Arial" w:hAnsi="Lato"/>
          <w:color w:val="000000" w:themeColor="text1"/>
          <w:sz w:val="18"/>
          <w:szCs w:val="18"/>
        </w:rPr>
      </w:pPr>
      <w:r w:rsidRPr="001D64C8">
        <w:rPr>
          <w:rFonts w:ascii="Lato" w:eastAsia="Arial" w:hAnsi="Lato"/>
          <w:b/>
          <w:color w:val="000000" w:themeColor="text1"/>
          <w:sz w:val="18"/>
          <w:szCs w:val="18"/>
        </w:rPr>
        <w:t xml:space="preserve">Providing scientific expertise </w:t>
      </w:r>
      <w:r w:rsidRPr="001D64C8">
        <w:rPr>
          <w:rFonts w:ascii="Lato" w:eastAsia="Arial" w:hAnsi="Lato"/>
          <w:color w:val="000000" w:themeColor="text1"/>
          <w:sz w:val="18"/>
          <w:szCs w:val="18"/>
        </w:rPr>
        <w:t>through the use of transportation and health</w:t>
      </w:r>
      <w:r w:rsidRPr="001D64C8">
        <w:rPr>
          <w:rFonts w:ascii="Lato" w:eastAsia="Arial" w:hAnsi="Lato"/>
          <w:b/>
          <w:color w:val="000000" w:themeColor="text1"/>
          <w:sz w:val="18"/>
          <w:szCs w:val="18"/>
        </w:rPr>
        <w:t xml:space="preserve"> </w:t>
      </w:r>
      <w:r w:rsidRPr="001D64C8">
        <w:rPr>
          <w:rFonts w:ascii="Lato" w:eastAsia="Arial" w:hAnsi="Lato"/>
          <w:color w:val="000000" w:themeColor="text1"/>
          <w:sz w:val="18"/>
          <w:szCs w:val="18"/>
        </w:rPr>
        <w:t>modeling tools to help drive local decision-making.</w:t>
      </w:r>
    </w:p>
    <w:p w14:paraId="085BD2B7" w14:textId="77777777" w:rsidR="00402F9D" w:rsidRPr="001D64C8" w:rsidRDefault="00402F9D" w:rsidP="001D64C8">
      <w:pPr>
        <w:spacing w:line="54" w:lineRule="exact"/>
        <w:jc w:val="both"/>
        <w:rPr>
          <w:rFonts w:ascii="Lato" w:eastAsia="Arial" w:hAnsi="Lato"/>
          <w:color w:val="000000" w:themeColor="text1"/>
          <w:sz w:val="18"/>
          <w:szCs w:val="18"/>
        </w:rPr>
      </w:pPr>
    </w:p>
    <w:p w14:paraId="45AF58B9" w14:textId="77777777" w:rsidR="00402F9D" w:rsidRPr="001D64C8" w:rsidRDefault="008E1AD0" w:rsidP="001D64C8">
      <w:pPr>
        <w:numPr>
          <w:ilvl w:val="0"/>
          <w:numId w:val="1"/>
        </w:numPr>
        <w:tabs>
          <w:tab w:val="left" w:pos="320"/>
        </w:tabs>
        <w:spacing w:line="269" w:lineRule="auto"/>
        <w:ind w:right="360" w:hanging="186"/>
        <w:jc w:val="both"/>
        <w:rPr>
          <w:rFonts w:ascii="Lato" w:eastAsia="Arial" w:hAnsi="Lato"/>
          <w:color w:val="000000" w:themeColor="text1"/>
          <w:sz w:val="18"/>
          <w:szCs w:val="18"/>
        </w:rPr>
      </w:pPr>
      <w:r w:rsidRPr="001D64C8">
        <w:rPr>
          <w:rFonts w:ascii="Lato" w:eastAsia="Arial" w:hAnsi="Lato"/>
          <w:b/>
          <w:color w:val="000000" w:themeColor="text1"/>
          <w:sz w:val="18"/>
          <w:szCs w:val="18"/>
        </w:rPr>
        <w:t xml:space="preserve">Providing training </w:t>
      </w:r>
      <w:r w:rsidRPr="001D64C8">
        <w:rPr>
          <w:rFonts w:ascii="Lato" w:eastAsia="Arial" w:hAnsi="Lato"/>
          <w:color w:val="000000" w:themeColor="text1"/>
          <w:sz w:val="18"/>
          <w:szCs w:val="18"/>
        </w:rPr>
        <w:t>on how proposed projects; policies; and state, tribal, and local</w:t>
      </w:r>
      <w:r w:rsidRPr="001D64C8">
        <w:rPr>
          <w:rFonts w:ascii="Lato" w:eastAsia="Arial" w:hAnsi="Lato"/>
          <w:b/>
          <w:color w:val="000000" w:themeColor="text1"/>
          <w:sz w:val="18"/>
          <w:szCs w:val="18"/>
        </w:rPr>
        <w:t xml:space="preserve"> </w:t>
      </w:r>
      <w:r w:rsidRPr="001D64C8">
        <w:rPr>
          <w:rFonts w:ascii="Lato" w:eastAsia="Arial" w:hAnsi="Lato"/>
          <w:color w:val="000000" w:themeColor="text1"/>
          <w:sz w:val="18"/>
          <w:szCs w:val="18"/>
        </w:rPr>
        <w:t>decisions can affect community health.</w:t>
      </w:r>
    </w:p>
    <w:p w14:paraId="72EB8B6B" w14:textId="77777777" w:rsidR="00402F9D" w:rsidRPr="001D64C8" w:rsidRDefault="00402F9D" w:rsidP="001D64C8">
      <w:pPr>
        <w:spacing w:line="54" w:lineRule="exact"/>
        <w:jc w:val="both"/>
        <w:rPr>
          <w:rFonts w:ascii="Lato" w:eastAsia="Arial" w:hAnsi="Lato"/>
          <w:color w:val="000000" w:themeColor="text1"/>
          <w:sz w:val="18"/>
          <w:szCs w:val="18"/>
        </w:rPr>
      </w:pPr>
    </w:p>
    <w:p w14:paraId="51507C62" w14:textId="09056930" w:rsidR="00402F9D" w:rsidRDefault="008E1AD0" w:rsidP="001D64C8">
      <w:pPr>
        <w:numPr>
          <w:ilvl w:val="0"/>
          <w:numId w:val="1"/>
        </w:numPr>
        <w:tabs>
          <w:tab w:val="left" w:pos="320"/>
        </w:tabs>
        <w:spacing w:line="325" w:lineRule="auto"/>
        <w:ind w:hanging="186"/>
        <w:jc w:val="both"/>
        <w:rPr>
          <w:rFonts w:ascii="Lato" w:eastAsia="Arial" w:hAnsi="Lato"/>
          <w:color w:val="000000" w:themeColor="text1"/>
          <w:sz w:val="18"/>
          <w:szCs w:val="18"/>
        </w:rPr>
      </w:pPr>
      <w:r w:rsidRPr="001D64C8">
        <w:rPr>
          <w:rFonts w:ascii="Lato" w:eastAsia="Arial" w:hAnsi="Lato"/>
          <w:b/>
          <w:color w:val="000000" w:themeColor="text1"/>
          <w:sz w:val="18"/>
          <w:szCs w:val="18"/>
        </w:rPr>
        <w:t xml:space="preserve">Tracking key environmental public health indicators </w:t>
      </w:r>
      <w:r w:rsidRPr="001D64C8">
        <w:rPr>
          <w:rFonts w:ascii="Lato" w:eastAsia="Arial" w:hAnsi="Lato"/>
          <w:color w:val="000000" w:themeColor="text1"/>
          <w:sz w:val="18"/>
          <w:szCs w:val="18"/>
        </w:rPr>
        <w:t>by monitoring and evaluating</w:t>
      </w:r>
      <w:r w:rsidRPr="001D64C8">
        <w:rPr>
          <w:rFonts w:ascii="Lato" w:eastAsia="Arial" w:hAnsi="Lato"/>
          <w:b/>
          <w:color w:val="000000" w:themeColor="text1"/>
          <w:sz w:val="18"/>
          <w:szCs w:val="18"/>
        </w:rPr>
        <w:t xml:space="preserve"> </w:t>
      </w:r>
      <w:r w:rsidRPr="001D64C8">
        <w:rPr>
          <w:rFonts w:ascii="Lato" w:eastAsia="Arial" w:hAnsi="Lato"/>
          <w:color w:val="000000" w:themeColor="text1"/>
          <w:sz w:val="18"/>
          <w:szCs w:val="18"/>
        </w:rPr>
        <w:t>active transportation and by tracking local and state community design data.</w:t>
      </w:r>
    </w:p>
    <w:p w14:paraId="4E7F3944" w14:textId="77777777" w:rsidR="00C40514" w:rsidRDefault="00C40514" w:rsidP="00C40514">
      <w:pPr>
        <w:pStyle w:val="ListParagraph"/>
        <w:rPr>
          <w:rFonts w:ascii="Lato" w:eastAsia="Arial" w:hAnsi="Lato"/>
          <w:color w:val="000000" w:themeColor="text1"/>
          <w:sz w:val="18"/>
          <w:szCs w:val="18"/>
        </w:rPr>
      </w:pPr>
    </w:p>
    <w:p w14:paraId="2FA0FFB9" w14:textId="77777777" w:rsidR="00C40514" w:rsidRPr="001D64C8" w:rsidRDefault="00C40514" w:rsidP="00C40514">
      <w:pPr>
        <w:tabs>
          <w:tab w:val="left" w:pos="320"/>
        </w:tabs>
        <w:spacing w:line="325" w:lineRule="auto"/>
        <w:jc w:val="both"/>
        <w:rPr>
          <w:rFonts w:ascii="Lato" w:eastAsia="Arial" w:hAnsi="Lato"/>
          <w:color w:val="000000" w:themeColor="text1"/>
          <w:sz w:val="18"/>
          <w:szCs w:val="18"/>
        </w:rPr>
      </w:pPr>
    </w:p>
    <w:p w14:paraId="17C0A6D4" w14:textId="77777777" w:rsidR="00402F9D" w:rsidRPr="001D64C8" w:rsidRDefault="00402F9D" w:rsidP="001D64C8">
      <w:pPr>
        <w:spacing w:line="101" w:lineRule="exact"/>
        <w:jc w:val="both"/>
        <w:rPr>
          <w:rFonts w:ascii="Lato" w:eastAsia="Times New Roman" w:hAnsi="Lato"/>
          <w:color w:val="000000" w:themeColor="text1"/>
          <w:sz w:val="18"/>
          <w:szCs w:val="18"/>
        </w:rPr>
      </w:pPr>
    </w:p>
    <w:p w14:paraId="54CCC3B8" w14:textId="01C4D679" w:rsidR="00402F9D" w:rsidRDefault="008E1AD0" w:rsidP="001D64C8">
      <w:pPr>
        <w:spacing w:line="253" w:lineRule="auto"/>
        <w:ind w:right="1080"/>
        <w:jc w:val="both"/>
        <w:rPr>
          <w:rFonts w:ascii="Lato" w:eastAsia="Arial" w:hAnsi="Lato"/>
          <w:b/>
          <w:color w:val="000000" w:themeColor="text1"/>
          <w:sz w:val="18"/>
          <w:szCs w:val="18"/>
        </w:rPr>
      </w:pPr>
      <w:r w:rsidRPr="001D64C8">
        <w:rPr>
          <w:rFonts w:ascii="Lato" w:eastAsia="Arial" w:hAnsi="Lato"/>
          <w:b/>
          <w:color w:val="000000" w:themeColor="text1"/>
          <w:sz w:val="18"/>
          <w:szCs w:val="18"/>
        </w:rPr>
        <w:t>Is the Built Environment and Health Initiative making a difference?</w:t>
      </w:r>
    </w:p>
    <w:p w14:paraId="7764A197" w14:textId="77777777" w:rsidR="00C40514" w:rsidRPr="001D64C8" w:rsidRDefault="00C40514" w:rsidP="001D64C8">
      <w:pPr>
        <w:spacing w:line="253" w:lineRule="auto"/>
        <w:ind w:right="1080"/>
        <w:jc w:val="both"/>
        <w:rPr>
          <w:rFonts w:ascii="Lato" w:eastAsia="Arial" w:hAnsi="Lato"/>
          <w:b/>
          <w:color w:val="000000" w:themeColor="text1"/>
          <w:sz w:val="18"/>
          <w:szCs w:val="18"/>
        </w:rPr>
      </w:pPr>
    </w:p>
    <w:p w14:paraId="4E7D463B" w14:textId="77777777" w:rsidR="00402F9D" w:rsidRPr="001D64C8" w:rsidRDefault="00402F9D" w:rsidP="001D64C8">
      <w:pPr>
        <w:spacing w:line="33" w:lineRule="exact"/>
        <w:jc w:val="both"/>
        <w:rPr>
          <w:rFonts w:ascii="Lato" w:eastAsia="Times New Roman" w:hAnsi="Lato"/>
          <w:color w:val="000000" w:themeColor="text1"/>
          <w:sz w:val="18"/>
          <w:szCs w:val="18"/>
        </w:rPr>
      </w:pPr>
    </w:p>
    <w:p w14:paraId="36FC1DDA" w14:textId="77777777" w:rsidR="00402F9D" w:rsidRPr="001D64C8" w:rsidRDefault="008E1AD0" w:rsidP="001D64C8">
      <w:pPr>
        <w:spacing w:line="294" w:lineRule="auto"/>
        <w:ind w:right="180"/>
        <w:jc w:val="both"/>
        <w:rPr>
          <w:rFonts w:ascii="Lato" w:eastAsia="Arial" w:hAnsi="Lato"/>
          <w:color w:val="000000" w:themeColor="text1"/>
          <w:sz w:val="18"/>
          <w:szCs w:val="18"/>
        </w:rPr>
      </w:pPr>
      <w:r w:rsidRPr="001D64C8">
        <w:rPr>
          <w:rFonts w:ascii="Lato" w:eastAsia="Arial" w:hAnsi="Lato"/>
          <w:b/>
          <w:color w:val="000000" w:themeColor="text1"/>
          <w:sz w:val="18"/>
          <w:szCs w:val="18"/>
        </w:rPr>
        <w:t>CDC’s Built Environment and Health Initiative has supported approximately 1/3 of the 350+ HIAs conducted in the United States to date</w:t>
      </w:r>
      <w:r w:rsidRPr="001D64C8">
        <w:rPr>
          <w:rFonts w:ascii="Lato" w:eastAsia="Arial" w:hAnsi="Lato"/>
          <w:color w:val="000000" w:themeColor="text1"/>
          <w:sz w:val="18"/>
          <w:szCs w:val="18"/>
        </w:rPr>
        <w:t>—and we continue to do so</w:t>
      </w:r>
      <w:r w:rsidRPr="001D64C8">
        <w:rPr>
          <w:rFonts w:ascii="Lato" w:eastAsia="Arial" w:hAnsi="Lato"/>
          <w:b/>
          <w:color w:val="000000" w:themeColor="text1"/>
          <w:sz w:val="18"/>
          <w:szCs w:val="18"/>
        </w:rPr>
        <w:t xml:space="preserve"> </w:t>
      </w:r>
      <w:r w:rsidRPr="001D64C8">
        <w:rPr>
          <w:rFonts w:ascii="Lato" w:eastAsia="Arial" w:hAnsi="Lato"/>
          <w:color w:val="000000" w:themeColor="text1"/>
          <w:sz w:val="18"/>
          <w:szCs w:val="18"/>
        </w:rPr>
        <w:t>through our 3-year cooperative agreements with local and state governments and mini-grants distributed through the National Association of County and City Health Officials.</w:t>
      </w:r>
    </w:p>
    <w:p w14:paraId="0111F490" w14:textId="77777777" w:rsidR="00402F9D" w:rsidRPr="001D64C8" w:rsidRDefault="00402F9D" w:rsidP="001D64C8">
      <w:pPr>
        <w:spacing w:line="36" w:lineRule="exact"/>
        <w:jc w:val="both"/>
        <w:rPr>
          <w:rFonts w:ascii="Lato" w:eastAsia="Times New Roman" w:hAnsi="Lato"/>
          <w:color w:val="000000" w:themeColor="text1"/>
          <w:sz w:val="18"/>
          <w:szCs w:val="18"/>
        </w:rPr>
      </w:pPr>
    </w:p>
    <w:p w14:paraId="6CD1C0C5" w14:textId="77777777" w:rsidR="001D64C8" w:rsidRPr="001D64C8" w:rsidRDefault="001D64C8" w:rsidP="001D64C8">
      <w:pPr>
        <w:spacing w:line="0" w:lineRule="atLeast"/>
        <w:jc w:val="both"/>
        <w:rPr>
          <w:rFonts w:ascii="Lato" w:eastAsia="Arial" w:hAnsi="Lato"/>
          <w:b/>
          <w:color w:val="000000" w:themeColor="text1"/>
        </w:rPr>
      </w:pPr>
    </w:p>
    <w:p w14:paraId="28DFECEA" w14:textId="2F178618" w:rsidR="00402F9D" w:rsidRDefault="008E1AD0" w:rsidP="001D64C8">
      <w:pPr>
        <w:spacing w:line="0" w:lineRule="atLeast"/>
        <w:jc w:val="both"/>
        <w:rPr>
          <w:rFonts w:ascii="Lato" w:eastAsia="Arial" w:hAnsi="Lato"/>
          <w:b/>
          <w:color w:val="000000" w:themeColor="text1"/>
        </w:rPr>
      </w:pPr>
      <w:r w:rsidRPr="001D64C8">
        <w:rPr>
          <w:rFonts w:ascii="Lato" w:eastAsia="Arial" w:hAnsi="Lato"/>
          <w:b/>
          <w:color w:val="000000" w:themeColor="text1"/>
        </w:rPr>
        <w:t>BEHI</w:t>
      </w:r>
    </w:p>
    <w:p w14:paraId="348007E8" w14:textId="77777777" w:rsidR="001D64C8" w:rsidRPr="001D64C8" w:rsidRDefault="001D64C8" w:rsidP="001D64C8">
      <w:pPr>
        <w:spacing w:line="0" w:lineRule="atLeast"/>
        <w:jc w:val="both"/>
        <w:rPr>
          <w:rFonts w:ascii="Lato" w:eastAsia="Arial" w:hAnsi="Lato"/>
          <w:b/>
          <w:color w:val="000000" w:themeColor="text1"/>
        </w:rPr>
      </w:pPr>
    </w:p>
    <w:p w14:paraId="3190941E" w14:textId="77777777" w:rsidR="00402F9D" w:rsidRPr="001D64C8" w:rsidRDefault="00402F9D" w:rsidP="001D64C8">
      <w:pPr>
        <w:spacing w:line="17" w:lineRule="exact"/>
        <w:jc w:val="both"/>
        <w:rPr>
          <w:rFonts w:ascii="Lato" w:eastAsia="Times New Roman" w:hAnsi="Lato"/>
          <w:color w:val="000000" w:themeColor="text1"/>
          <w:sz w:val="18"/>
          <w:szCs w:val="18"/>
        </w:rPr>
      </w:pPr>
    </w:p>
    <w:p w14:paraId="128F1057" w14:textId="77777777" w:rsidR="00402F9D" w:rsidRPr="001D64C8" w:rsidRDefault="008E1AD0" w:rsidP="001D64C8">
      <w:pPr>
        <w:numPr>
          <w:ilvl w:val="0"/>
          <w:numId w:val="2"/>
        </w:numPr>
        <w:tabs>
          <w:tab w:val="left" w:pos="320"/>
        </w:tabs>
        <w:spacing w:line="254" w:lineRule="auto"/>
        <w:ind w:hanging="186"/>
        <w:jc w:val="both"/>
        <w:rPr>
          <w:rFonts w:ascii="Lato" w:eastAsia="Arial" w:hAnsi="Lato"/>
          <w:color w:val="000000" w:themeColor="text1"/>
          <w:sz w:val="18"/>
          <w:szCs w:val="18"/>
        </w:rPr>
      </w:pPr>
      <w:r w:rsidRPr="001D64C8">
        <w:rPr>
          <w:rFonts w:ascii="Lato" w:eastAsia="Arial" w:hAnsi="Lato"/>
          <w:color w:val="000000" w:themeColor="text1"/>
          <w:sz w:val="18"/>
          <w:szCs w:val="18"/>
        </w:rPr>
        <w:t>Assists health and planning departments in engaging communities to build infrastructure that maximizes good health. During their 3-year funding, six recent BEHI HIA grant recipients completed 54 HIAs, improving the transportation environment or land-use planning for an estimated 4.4 million people.</w:t>
      </w:r>
    </w:p>
    <w:p w14:paraId="157295BD" w14:textId="77777777" w:rsidR="00402F9D" w:rsidRPr="001D64C8" w:rsidRDefault="00402F9D" w:rsidP="001D64C8">
      <w:pPr>
        <w:spacing w:line="76" w:lineRule="exact"/>
        <w:jc w:val="both"/>
        <w:rPr>
          <w:rFonts w:ascii="Lato" w:eastAsia="Arial" w:hAnsi="Lato"/>
          <w:color w:val="000000" w:themeColor="text1"/>
          <w:sz w:val="18"/>
          <w:szCs w:val="18"/>
        </w:rPr>
      </w:pPr>
    </w:p>
    <w:p w14:paraId="67E7315D" w14:textId="77777777" w:rsidR="00402F9D" w:rsidRPr="001D64C8" w:rsidRDefault="008E1AD0" w:rsidP="001D64C8">
      <w:pPr>
        <w:numPr>
          <w:ilvl w:val="0"/>
          <w:numId w:val="2"/>
        </w:numPr>
        <w:tabs>
          <w:tab w:val="left" w:pos="320"/>
        </w:tabs>
        <w:spacing w:line="287" w:lineRule="auto"/>
        <w:ind w:hanging="186"/>
        <w:jc w:val="both"/>
        <w:rPr>
          <w:rFonts w:ascii="Lato" w:eastAsia="Arial" w:hAnsi="Lato"/>
          <w:color w:val="000000" w:themeColor="text1"/>
          <w:sz w:val="18"/>
          <w:szCs w:val="18"/>
        </w:rPr>
      </w:pPr>
      <w:r w:rsidRPr="001D64C8">
        <w:rPr>
          <w:rFonts w:ascii="Lato" w:eastAsia="Arial" w:hAnsi="Lato"/>
          <w:color w:val="000000" w:themeColor="text1"/>
          <w:sz w:val="18"/>
          <w:szCs w:val="18"/>
        </w:rPr>
        <w:t>Forms strategic partnerships to maximize our efforts including collaborative programs with the U.S. Department of Transportation and the National Park Service.</w:t>
      </w:r>
    </w:p>
    <w:p w14:paraId="2B5D99BC" w14:textId="77777777" w:rsidR="00402F9D" w:rsidRPr="001D64C8" w:rsidRDefault="00402F9D" w:rsidP="001D64C8">
      <w:pPr>
        <w:spacing w:line="47" w:lineRule="exact"/>
        <w:jc w:val="both"/>
        <w:rPr>
          <w:rFonts w:ascii="Lato" w:eastAsia="Arial" w:hAnsi="Lato"/>
          <w:color w:val="000000" w:themeColor="text1"/>
          <w:sz w:val="18"/>
          <w:szCs w:val="18"/>
        </w:rPr>
      </w:pPr>
    </w:p>
    <w:p w14:paraId="40DF9478" w14:textId="77777777" w:rsidR="00402F9D" w:rsidRPr="001D64C8" w:rsidRDefault="008E1AD0" w:rsidP="001D64C8">
      <w:pPr>
        <w:numPr>
          <w:ilvl w:val="0"/>
          <w:numId w:val="2"/>
        </w:numPr>
        <w:tabs>
          <w:tab w:val="left" w:pos="320"/>
        </w:tabs>
        <w:spacing w:line="261" w:lineRule="auto"/>
        <w:ind w:right="300" w:hanging="186"/>
        <w:jc w:val="both"/>
        <w:rPr>
          <w:rFonts w:ascii="Lato" w:eastAsia="Arial" w:hAnsi="Lato"/>
          <w:color w:val="000000" w:themeColor="text1"/>
          <w:sz w:val="18"/>
          <w:szCs w:val="18"/>
        </w:rPr>
      </w:pPr>
      <w:r w:rsidRPr="001D64C8">
        <w:rPr>
          <w:rFonts w:ascii="Lato" w:eastAsia="Arial" w:hAnsi="Lato"/>
          <w:color w:val="000000" w:themeColor="text1"/>
          <w:sz w:val="18"/>
          <w:szCs w:val="18"/>
        </w:rPr>
        <w:t>Supports HIA training for over 6,000 health and planning professionals from across the country.</w:t>
      </w:r>
    </w:p>
    <w:p w14:paraId="5C4F8AE5" w14:textId="77777777" w:rsidR="00402F9D" w:rsidRPr="001D64C8" w:rsidRDefault="008E1AD0" w:rsidP="001D64C8">
      <w:pPr>
        <w:spacing w:line="200" w:lineRule="exact"/>
        <w:jc w:val="both"/>
        <w:rPr>
          <w:rFonts w:ascii="Lato" w:eastAsia="Times New Roman" w:hAnsi="Lato"/>
          <w:color w:val="000000" w:themeColor="text1"/>
          <w:sz w:val="18"/>
          <w:szCs w:val="18"/>
        </w:rPr>
      </w:pPr>
      <w:r w:rsidRPr="001D64C8">
        <w:rPr>
          <w:rFonts w:ascii="Lato" w:eastAsia="Arial" w:hAnsi="Lato"/>
          <w:color w:val="000000" w:themeColor="text1"/>
          <w:sz w:val="18"/>
          <w:szCs w:val="18"/>
        </w:rPr>
        <w:br w:type="column"/>
      </w:r>
    </w:p>
    <w:p w14:paraId="72906215" w14:textId="77777777" w:rsidR="00402F9D" w:rsidRPr="001D64C8" w:rsidRDefault="00402F9D" w:rsidP="001D64C8">
      <w:pPr>
        <w:spacing w:line="200" w:lineRule="exact"/>
        <w:jc w:val="both"/>
        <w:rPr>
          <w:rFonts w:ascii="Lato" w:eastAsia="Times New Roman" w:hAnsi="Lato"/>
          <w:color w:val="000000" w:themeColor="text1"/>
          <w:sz w:val="18"/>
          <w:szCs w:val="18"/>
        </w:rPr>
      </w:pPr>
    </w:p>
    <w:p w14:paraId="280FB93D" w14:textId="77777777" w:rsidR="00402F9D" w:rsidRPr="001D64C8" w:rsidRDefault="00402F9D" w:rsidP="001D64C8">
      <w:pPr>
        <w:spacing w:line="200" w:lineRule="exact"/>
        <w:jc w:val="both"/>
        <w:rPr>
          <w:rFonts w:ascii="Lato" w:eastAsia="Times New Roman" w:hAnsi="Lato"/>
          <w:color w:val="000000" w:themeColor="text1"/>
          <w:sz w:val="18"/>
          <w:szCs w:val="18"/>
        </w:rPr>
      </w:pPr>
    </w:p>
    <w:p w14:paraId="7E422B81" w14:textId="77777777" w:rsidR="00402F9D" w:rsidRPr="001D64C8" w:rsidRDefault="00402F9D" w:rsidP="001D64C8">
      <w:pPr>
        <w:spacing w:line="200" w:lineRule="exact"/>
        <w:jc w:val="both"/>
        <w:rPr>
          <w:rFonts w:ascii="Lato" w:eastAsia="Times New Roman" w:hAnsi="Lato"/>
          <w:color w:val="000000" w:themeColor="text1"/>
          <w:sz w:val="18"/>
          <w:szCs w:val="18"/>
        </w:rPr>
      </w:pPr>
    </w:p>
    <w:p w14:paraId="4B8BE59B" w14:textId="77777777" w:rsidR="00402F9D" w:rsidRPr="001D64C8" w:rsidRDefault="00402F9D" w:rsidP="001D64C8">
      <w:pPr>
        <w:spacing w:line="200" w:lineRule="exact"/>
        <w:jc w:val="both"/>
        <w:rPr>
          <w:rFonts w:ascii="Lato" w:eastAsia="Times New Roman" w:hAnsi="Lato"/>
          <w:color w:val="000000" w:themeColor="text1"/>
          <w:sz w:val="18"/>
          <w:szCs w:val="18"/>
        </w:rPr>
      </w:pPr>
    </w:p>
    <w:p w14:paraId="50F43AF5" w14:textId="77777777" w:rsidR="00402F9D" w:rsidRPr="001D64C8" w:rsidRDefault="00402F9D" w:rsidP="001D64C8">
      <w:pPr>
        <w:spacing w:line="200" w:lineRule="exact"/>
        <w:jc w:val="both"/>
        <w:rPr>
          <w:rFonts w:ascii="Lato" w:eastAsia="Times New Roman" w:hAnsi="Lato"/>
          <w:color w:val="000000" w:themeColor="text1"/>
          <w:sz w:val="18"/>
          <w:szCs w:val="18"/>
        </w:rPr>
      </w:pPr>
    </w:p>
    <w:p w14:paraId="4486A611" w14:textId="77777777" w:rsidR="00402F9D" w:rsidRPr="001D64C8" w:rsidRDefault="00402F9D" w:rsidP="001D64C8">
      <w:pPr>
        <w:spacing w:line="200" w:lineRule="exact"/>
        <w:jc w:val="both"/>
        <w:rPr>
          <w:rFonts w:ascii="Lato" w:eastAsia="Times New Roman" w:hAnsi="Lato"/>
          <w:color w:val="000000" w:themeColor="text1"/>
          <w:sz w:val="18"/>
          <w:szCs w:val="18"/>
        </w:rPr>
      </w:pPr>
    </w:p>
    <w:p w14:paraId="7C9DA494" w14:textId="77777777" w:rsidR="00402F9D" w:rsidRPr="001D64C8" w:rsidRDefault="00402F9D" w:rsidP="001D64C8">
      <w:pPr>
        <w:spacing w:line="200" w:lineRule="exact"/>
        <w:jc w:val="both"/>
        <w:rPr>
          <w:rFonts w:ascii="Lato" w:eastAsia="Times New Roman" w:hAnsi="Lato"/>
          <w:color w:val="000000" w:themeColor="text1"/>
          <w:sz w:val="18"/>
          <w:szCs w:val="18"/>
        </w:rPr>
      </w:pPr>
    </w:p>
    <w:p w14:paraId="46BFA9C4" w14:textId="77777777" w:rsidR="00402F9D" w:rsidRPr="001D64C8" w:rsidRDefault="00402F9D" w:rsidP="001D64C8">
      <w:pPr>
        <w:spacing w:line="200" w:lineRule="exact"/>
        <w:jc w:val="both"/>
        <w:rPr>
          <w:rFonts w:ascii="Lato" w:eastAsia="Times New Roman" w:hAnsi="Lato"/>
          <w:color w:val="000000" w:themeColor="text1"/>
          <w:sz w:val="18"/>
          <w:szCs w:val="18"/>
        </w:rPr>
      </w:pPr>
    </w:p>
    <w:p w14:paraId="41E0A28A" w14:textId="77777777" w:rsidR="00402F9D" w:rsidRPr="001D64C8" w:rsidRDefault="00402F9D" w:rsidP="001D64C8">
      <w:pPr>
        <w:spacing w:line="200" w:lineRule="exact"/>
        <w:jc w:val="both"/>
        <w:rPr>
          <w:rFonts w:ascii="Lato" w:eastAsia="Times New Roman" w:hAnsi="Lato"/>
          <w:color w:val="000000" w:themeColor="text1"/>
          <w:sz w:val="18"/>
          <w:szCs w:val="18"/>
        </w:rPr>
      </w:pPr>
    </w:p>
    <w:p w14:paraId="61C855E8" w14:textId="77777777" w:rsidR="00402F9D" w:rsidRPr="001D64C8" w:rsidRDefault="00402F9D" w:rsidP="001D64C8">
      <w:pPr>
        <w:spacing w:line="200" w:lineRule="exact"/>
        <w:jc w:val="both"/>
        <w:rPr>
          <w:rFonts w:ascii="Lato" w:eastAsia="Times New Roman" w:hAnsi="Lato"/>
          <w:color w:val="000000" w:themeColor="text1"/>
          <w:sz w:val="18"/>
          <w:szCs w:val="18"/>
        </w:rPr>
      </w:pPr>
    </w:p>
    <w:p w14:paraId="5D9493F3" w14:textId="77777777" w:rsidR="00402F9D" w:rsidRPr="001D64C8" w:rsidRDefault="00402F9D" w:rsidP="001D64C8">
      <w:pPr>
        <w:spacing w:line="200" w:lineRule="exact"/>
        <w:jc w:val="both"/>
        <w:rPr>
          <w:rFonts w:ascii="Lato" w:eastAsia="Times New Roman" w:hAnsi="Lato"/>
          <w:color w:val="000000" w:themeColor="text1"/>
          <w:sz w:val="18"/>
          <w:szCs w:val="18"/>
        </w:rPr>
      </w:pPr>
    </w:p>
    <w:p w14:paraId="27FCB5FC" w14:textId="77777777" w:rsidR="00402F9D" w:rsidRPr="001D64C8" w:rsidRDefault="00402F9D" w:rsidP="001D64C8">
      <w:pPr>
        <w:spacing w:line="200" w:lineRule="exact"/>
        <w:jc w:val="both"/>
        <w:rPr>
          <w:rFonts w:ascii="Lato" w:eastAsia="Times New Roman" w:hAnsi="Lato"/>
          <w:color w:val="000000" w:themeColor="text1"/>
          <w:sz w:val="18"/>
          <w:szCs w:val="18"/>
        </w:rPr>
      </w:pPr>
    </w:p>
    <w:p w14:paraId="24DE3CD2" w14:textId="77777777" w:rsidR="00402F9D" w:rsidRPr="001D64C8" w:rsidRDefault="00402F9D" w:rsidP="001D64C8">
      <w:pPr>
        <w:spacing w:line="200" w:lineRule="exact"/>
        <w:jc w:val="both"/>
        <w:rPr>
          <w:rFonts w:ascii="Lato" w:eastAsia="Times New Roman" w:hAnsi="Lato"/>
          <w:color w:val="000000" w:themeColor="text1"/>
          <w:sz w:val="18"/>
          <w:szCs w:val="18"/>
        </w:rPr>
      </w:pPr>
    </w:p>
    <w:p w14:paraId="7CD00792" w14:textId="77777777" w:rsidR="00402F9D" w:rsidRPr="001D64C8" w:rsidRDefault="00402F9D" w:rsidP="001D64C8">
      <w:pPr>
        <w:spacing w:line="200" w:lineRule="exact"/>
        <w:jc w:val="both"/>
        <w:rPr>
          <w:rFonts w:ascii="Lato" w:eastAsia="Times New Roman" w:hAnsi="Lato"/>
          <w:color w:val="000000" w:themeColor="text1"/>
          <w:sz w:val="18"/>
          <w:szCs w:val="18"/>
        </w:rPr>
      </w:pPr>
    </w:p>
    <w:p w14:paraId="53BF7096" w14:textId="77777777" w:rsidR="00402F9D" w:rsidRPr="001D64C8" w:rsidRDefault="00402F9D" w:rsidP="001D64C8">
      <w:pPr>
        <w:spacing w:line="200" w:lineRule="exact"/>
        <w:jc w:val="both"/>
        <w:rPr>
          <w:rFonts w:ascii="Lato" w:eastAsia="Times New Roman" w:hAnsi="Lato"/>
          <w:color w:val="000000" w:themeColor="text1"/>
          <w:sz w:val="18"/>
          <w:szCs w:val="18"/>
        </w:rPr>
      </w:pPr>
    </w:p>
    <w:p w14:paraId="724F10C4" w14:textId="77777777" w:rsidR="00402F9D" w:rsidRPr="001D64C8" w:rsidRDefault="00402F9D" w:rsidP="001D64C8">
      <w:pPr>
        <w:spacing w:line="200" w:lineRule="exact"/>
        <w:jc w:val="both"/>
        <w:rPr>
          <w:rFonts w:ascii="Lato" w:eastAsia="Times New Roman" w:hAnsi="Lato"/>
          <w:color w:val="000000" w:themeColor="text1"/>
          <w:sz w:val="18"/>
          <w:szCs w:val="18"/>
        </w:rPr>
      </w:pPr>
    </w:p>
    <w:p w14:paraId="5E432D15" w14:textId="77777777" w:rsidR="00402F9D" w:rsidRPr="001D64C8" w:rsidRDefault="00402F9D" w:rsidP="001D64C8">
      <w:pPr>
        <w:spacing w:line="200" w:lineRule="exact"/>
        <w:jc w:val="both"/>
        <w:rPr>
          <w:rFonts w:ascii="Lato" w:eastAsia="Times New Roman" w:hAnsi="Lato"/>
          <w:color w:val="000000" w:themeColor="text1"/>
          <w:sz w:val="18"/>
          <w:szCs w:val="18"/>
        </w:rPr>
      </w:pPr>
    </w:p>
    <w:p w14:paraId="52255E76" w14:textId="77777777" w:rsidR="00402F9D" w:rsidRPr="001D64C8" w:rsidRDefault="00402F9D" w:rsidP="001D64C8">
      <w:pPr>
        <w:spacing w:line="200" w:lineRule="exact"/>
        <w:jc w:val="both"/>
        <w:rPr>
          <w:rFonts w:ascii="Lato" w:eastAsia="Times New Roman" w:hAnsi="Lato"/>
          <w:color w:val="000000" w:themeColor="text1"/>
          <w:sz w:val="18"/>
          <w:szCs w:val="18"/>
        </w:rPr>
      </w:pPr>
    </w:p>
    <w:p w14:paraId="7EA5BAEB" w14:textId="77777777" w:rsidR="00402F9D" w:rsidRPr="001D64C8" w:rsidRDefault="00402F9D" w:rsidP="001D64C8">
      <w:pPr>
        <w:spacing w:line="200" w:lineRule="exact"/>
        <w:jc w:val="both"/>
        <w:rPr>
          <w:rFonts w:ascii="Lato" w:eastAsia="Times New Roman" w:hAnsi="Lato"/>
          <w:color w:val="000000" w:themeColor="text1"/>
          <w:sz w:val="18"/>
          <w:szCs w:val="18"/>
        </w:rPr>
      </w:pPr>
    </w:p>
    <w:p w14:paraId="3700B259" w14:textId="77777777" w:rsidR="00402F9D" w:rsidRPr="001D64C8" w:rsidRDefault="00402F9D" w:rsidP="001D64C8">
      <w:pPr>
        <w:spacing w:line="200" w:lineRule="exact"/>
        <w:jc w:val="both"/>
        <w:rPr>
          <w:rFonts w:ascii="Lato" w:eastAsia="Times New Roman" w:hAnsi="Lato"/>
          <w:color w:val="000000" w:themeColor="text1"/>
          <w:sz w:val="18"/>
          <w:szCs w:val="18"/>
        </w:rPr>
      </w:pPr>
    </w:p>
    <w:p w14:paraId="30C6C63E" w14:textId="77777777" w:rsidR="00402F9D" w:rsidRPr="001D64C8" w:rsidRDefault="00402F9D" w:rsidP="001D64C8">
      <w:pPr>
        <w:spacing w:line="200" w:lineRule="exact"/>
        <w:jc w:val="both"/>
        <w:rPr>
          <w:rFonts w:ascii="Lato" w:eastAsia="Times New Roman" w:hAnsi="Lato"/>
          <w:color w:val="000000" w:themeColor="text1"/>
          <w:sz w:val="18"/>
          <w:szCs w:val="18"/>
        </w:rPr>
      </w:pPr>
    </w:p>
    <w:p w14:paraId="54AFFE0E" w14:textId="77777777" w:rsidR="00402F9D" w:rsidRPr="001D64C8" w:rsidRDefault="00402F9D" w:rsidP="001D64C8">
      <w:pPr>
        <w:spacing w:line="200" w:lineRule="exact"/>
        <w:jc w:val="both"/>
        <w:rPr>
          <w:rFonts w:ascii="Lato" w:eastAsia="Times New Roman" w:hAnsi="Lato"/>
          <w:color w:val="000000" w:themeColor="text1"/>
          <w:sz w:val="18"/>
          <w:szCs w:val="18"/>
        </w:rPr>
      </w:pPr>
    </w:p>
    <w:p w14:paraId="7EB24E80" w14:textId="77777777" w:rsidR="00402F9D" w:rsidRPr="001D64C8" w:rsidRDefault="00402F9D" w:rsidP="001D64C8">
      <w:pPr>
        <w:spacing w:line="200" w:lineRule="exact"/>
        <w:jc w:val="both"/>
        <w:rPr>
          <w:rFonts w:ascii="Lato" w:eastAsia="Times New Roman" w:hAnsi="Lato"/>
          <w:color w:val="000000" w:themeColor="text1"/>
          <w:sz w:val="18"/>
          <w:szCs w:val="18"/>
        </w:rPr>
      </w:pPr>
    </w:p>
    <w:p w14:paraId="197A8887" w14:textId="77777777" w:rsidR="00402F9D" w:rsidRPr="001D64C8" w:rsidRDefault="00402F9D" w:rsidP="001D64C8">
      <w:pPr>
        <w:spacing w:line="200" w:lineRule="exact"/>
        <w:jc w:val="both"/>
        <w:rPr>
          <w:rFonts w:ascii="Lato" w:eastAsia="Times New Roman" w:hAnsi="Lato"/>
          <w:color w:val="000000" w:themeColor="text1"/>
          <w:sz w:val="18"/>
          <w:szCs w:val="18"/>
        </w:rPr>
      </w:pPr>
    </w:p>
    <w:p w14:paraId="0CD4589F" w14:textId="77777777" w:rsidR="00402F9D" w:rsidRPr="001D64C8" w:rsidRDefault="00402F9D" w:rsidP="001D64C8">
      <w:pPr>
        <w:spacing w:line="200" w:lineRule="exact"/>
        <w:jc w:val="both"/>
        <w:rPr>
          <w:rFonts w:ascii="Lato" w:eastAsia="Times New Roman" w:hAnsi="Lato"/>
          <w:color w:val="000000" w:themeColor="text1"/>
          <w:sz w:val="18"/>
          <w:szCs w:val="18"/>
        </w:rPr>
      </w:pPr>
    </w:p>
    <w:p w14:paraId="49587A5E" w14:textId="77777777" w:rsidR="00402F9D" w:rsidRPr="001D64C8" w:rsidRDefault="00402F9D" w:rsidP="001D64C8">
      <w:pPr>
        <w:spacing w:line="200" w:lineRule="exact"/>
        <w:jc w:val="both"/>
        <w:rPr>
          <w:rFonts w:ascii="Lato" w:eastAsia="Times New Roman" w:hAnsi="Lato"/>
          <w:color w:val="000000" w:themeColor="text1"/>
          <w:sz w:val="18"/>
          <w:szCs w:val="18"/>
        </w:rPr>
      </w:pPr>
    </w:p>
    <w:p w14:paraId="625B413D" w14:textId="77777777" w:rsidR="00402F9D" w:rsidRPr="001D64C8" w:rsidRDefault="00402F9D" w:rsidP="001D64C8">
      <w:pPr>
        <w:spacing w:line="200" w:lineRule="exact"/>
        <w:jc w:val="both"/>
        <w:rPr>
          <w:rFonts w:ascii="Lato" w:eastAsia="Times New Roman" w:hAnsi="Lato"/>
          <w:color w:val="000000" w:themeColor="text1"/>
          <w:sz w:val="18"/>
          <w:szCs w:val="18"/>
        </w:rPr>
      </w:pPr>
    </w:p>
    <w:p w14:paraId="61E299E0" w14:textId="77777777" w:rsidR="00402F9D" w:rsidRPr="001D64C8" w:rsidRDefault="00402F9D" w:rsidP="001D64C8">
      <w:pPr>
        <w:spacing w:line="200" w:lineRule="exact"/>
        <w:jc w:val="both"/>
        <w:rPr>
          <w:rFonts w:ascii="Lato" w:eastAsia="Times New Roman" w:hAnsi="Lato"/>
          <w:color w:val="000000" w:themeColor="text1"/>
          <w:sz w:val="18"/>
          <w:szCs w:val="18"/>
        </w:rPr>
      </w:pPr>
    </w:p>
    <w:p w14:paraId="4D36029C" w14:textId="77777777" w:rsidR="00402F9D" w:rsidRPr="001D64C8" w:rsidRDefault="00402F9D" w:rsidP="001D64C8">
      <w:pPr>
        <w:spacing w:line="200" w:lineRule="exact"/>
        <w:jc w:val="both"/>
        <w:rPr>
          <w:rFonts w:ascii="Lato" w:eastAsia="Times New Roman" w:hAnsi="Lato"/>
          <w:color w:val="000000" w:themeColor="text1"/>
          <w:sz w:val="18"/>
          <w:szCs w:val="18"/>
        </w:rPr>
      </w:pPr>
    </w:p>
    <w:p w14:paraId="2C0F0B84" w14:textId="77777777" w:rsidR="00402F9D" w:rsidRPr="001D64C8" w:rsidRDefault="00402F9D" w:rsidP="001D64C8">
      <w:pPr>
        <w:spacing w:line="200" w:lineRule="exact"/>
        <w:jc w:val="both"/>
        <w:rPr>
          <w:rFonts w:ascii="Lato" w:eastAsia="Times New Roman" w:hAnsi="Lato"/>
          <w:color w:val="000000" w:themeColor="text1"/>
          <w:sz w:val="18"/>
          <w:szCs w:val="18"/>
        </w:rPr>
      </w:pPr>
    </w:p>
    <w:p w14:paraId="58398F8F" w14:textId="77777777" w:rsidR="00402F9D" w:rsidRPr="001D64C8" w:rsidRDefault="00402F9D" w:rsidP="001D64C8">
      <w:pPr>
        <w:spacing w:line="200" w:lineRule="exact"/>
        <w:jc w:val="both"/>
        <w:rPr>
          <w:rFonts w:ascii="Lato" w:eastAsia="Times New Roman" w:hAnsi="Lato"/>
          <w:color w:val="000000" w:themeColor="text1"/>
          <w:sz w:val="18"/>
          <w:szCs w:val="18"/>
        </w:rPr>
      </w:pPr>
    </w:p>
    <w:p w14:paraId="33453B2A" w14:textId="77777777" w:rsidR="00402F9D" w:rsidRPr="001D64C8" w:rsidRDefault="00402F9D" w:rsidP="001D64C8">
      <w:pPr>
        <w:spacing w:line="200" w:lineRule="exact"/>
        <w:jc w:val="both"/>
        <w:rPr>
          <w:rFonts w:ascii="Lato" w:eastAsia="Times New Roman" w:hAnsi="Lato"/>
          <w:color w:val="000000" w:themeColor="text1"/>
          <w:sz w:val="18"/>
          <w:szCs w:val="18"/>
        </w:rPr>
      </w:pPr>
    </w:p>
    <w:p w14:paraId="01FB886A" w14:textId="7266C594" w:rsidR="00402F9D" w:rsidRDefault="00402F9D" w:rsidP="001D64C8">
      <w:pPr>
        <w:spacing w:line="222" w:lineRule="exact"/>
        <w:jc w:val="both"/>
        <w:rPr>
          <w:rFonts w:ascii="Lato" w:eastAsia="Times New Roman" w:hAnsi="Lato"/>
          <w:color w:val="000000" w:themeColor="text1"/>
          <w:sz w:val="18"/>
          <w:szCs w:val="18"/>
        </w:rPr>
      </w:pPr>
    </w:p>
    <w:p w14:paraId="6BB6C675" w14:textId="5DE874E8" w:rsidR="001D64C8" w:rsidRDefault="001D64C8" w:rsidP="001D64C8">
      <w:pPr>
        <w:spacing w:line="222" w:lineRule="exact"/>
        <w:jc w:val="both"/>
        <w:rPr>
          <w:rFonts w:ascii="Lato" w:eastAsia="Times New Roman" w:hAnsi="Lato"/>
          <w:color w:val="000000" w:themeColor="text1"/>
          <w:sz w:val="18"/>
          <w:szCs w:val="18"/>
        </w:rPr>
      </w:pPr>
    </w:p>
    <w:p w14:paraId="39D9D29B" w14:textId="7471547B" w:rsidR="001D64C8" w:rsidRDefault="001D64C8" w:rsidP="001D64C8">
      <w:pPr>
        <w:spacing w:line="222" w:lineRule="exact"/>
        <w:jc w:val="both"/>
        <w:rPr>
          <w:rFonts w:ascii="Lato" w:eastAsia="Times New Roman" w:hAnsi="Lato"/>
          <w:color w:val="000000" w:themeColor="text1"/>
          <w:sz w:val="18"/>
          <w:szCs w:val="18"/>
        </w:rPr>
      </w:pPr>
    </w:p>
    <w:p w14:paraId="3AC2DA29" w14:textId="60382AE3" w:rsidR="001D64C8" w:rsidRDefault="001D64C8" w:rsidP="001D64C8">
      <w:pPr>
        <w:spacing w:line="222" w:lineRule="exact"/>
        <w:jc w:val="both"/>
        <w:rPr>
          <w:rFonts w:ascii="Lato" w:eastAsia="Times New Roman" w:hAnsi="Lato"/>
          <w:color w:val="000000" w:themeColor="text1"/>
          <w:sz w:val="18"/>
          <w:szCs w:val="18"/>
        </w:rPr>
      </w:pPr>
    </w:p>
    <w:p w14:paraId="65D2380E" w14:textId="4CBD5903" w:rsidR="001D64C8" w:rsidRDefault="001D64C8" w:rsidP="001D64C8">
      <w:pPr>
        <w:spacing w:line="222" w:lineRule="exact"/>
        <w:jc w:val="both"/>
        <w:rPr>
          <w:rFonts w:ascii="Lato" w:eastAsia="Times New Roman" w:hAnsi="Lato"/>
          <w:color w:val="000000" w:themeColor="text1"/>
          <w:sz w:val="18"/>
          <w:szCs w:val="18"/>
        </w:rPr>
      </w:pPr>
    </w:p>
    <w:p w14:paraId="170C9F76" w14:textId="5A4E1D66" w:rsidR="001D64C8" w:rsidRDefault="001D64C8" w:rsidP="001D64C8">
      <w:pPr>
        <w:spacing w:line="222" w:lineRule="exact"/>
        <w:jc w:val="both"/>
        <w:rPr>
          <w:rFonts w:ascii="Lato" w:eastAsia="Times New Roman" w:hAnsi="Lato"/>
          <w:color w:val="000000" w:themeColor="text1"/>
          <w:sz w:val="18"/>
          <w:szCs w:val="18"/>
        </w:rPr>
      </w:pPr>
    </w:p>
    <w:p w14:paraId="01CAC05A" w14:textId="5A41FE8E" w:rsidR="001D64C8" w:rsidRDefault="001D64C8" w:rsidP="001D64C8">
      <w:pPr>
        <w:spacing w:line="222" w:lineRule="exact"/>
        <w:jc w:val="both"/>
        <w:rPr>
          <w:rFonts w:ascii="Lato" w:eastAsia="Times New Roman" w:hAnsi="Lato"/>
          <w:color w:val="000000" w:themeColor="text1"/>
          <w:sz w:val="18"/>
          <w:szCs w:val="18"/>
        </w:rPr>
      </w:pPr>
    </w:p>
    <w:p w14:paraId="30CF80D4" w14:textId="238E1D6F" w:rsidR="001D64C8" w:rsidRDefault="001D64C8" w:rsidP="001D64C8">
      <w:pPr>
        <w:spacing w:line="222" w:lineRule="exact"/>
        <w:jc w:val="both"/>
        <w:rPr>
          <w:rFonts w:ascii="Lato" w:eastAsia="Times New Roman" w:hAnsi="Lato"/>
          <w:color w:val="000000" w:themeColor="text1"/>
          <w:sz w:val="18"/>
          <w:szCs w:val="18"/>
        </w:rPr>
      </w:pPr>
    </w:p>
    <w:p w14:paraId="1E0BEBB1" w14:textId="4A5D99E6" w:rsidR="001D64C8" w:rsidRDefault="001D64C8" w:rsidP="001D64C8">
      <w:pPr>
        <w:spacing w:line="222" w:lineRule="exact"/>
        <w:jc w:val="both"/>
        <w:rPr>
          <w:rFonts w:ascii="Lato" w:eastAsia="Times New Roman" w:hAnsi="Lato"/>
          <w:color w:val="000000" w:themeColor="text1"/>
          <w:sz w:val="18"/>
          <w:szCs w:val="18"/>
        </w:rPr>
      </w:pPr>
    </w:p>
    <w:p w14:paraId="03E5FA07" w14:textId="28B5A07B" w:rsidR="001D64C8" w:rsidRDefault="001D64C8" w:rsidP="001D64C8">
      <w:pPr>
        <w:spacing w:line="222" w:lineRule="exact"/>
        <w:jc w:val="both"/>
        <w:rPr>
          <w:rFonts w:ascii="Lato" w:eastAsia="Times New Roman" w:hAnsi="Lato"/>
          <w:color w:val="000000" w:themeColor="text1"/>
          <w:sz w:val="18"/>
          <w:szCs w:val="18"/>
        </w:rPr>
      </w:pPr>
    </w:p>
    <w:p w14:paraId="5ADA6287" w14:textId="0702B8B4" w:rsidR="001D64C8" w:rsidRDefault="001D64C8" w:rsidP="001D64C8">
      <w:pPr>
        <w:spacing w:line="222" w:lineRule="exact"/>
        <w:jc w:val="both"/>
        <w:rPr>
          <w:rFonts w:ascii="Lato" w:eastAsia="Times New Roman" w:hAnsi="Lato"/>
          <w:color w:val="000000" w:themeColor="text1"/>
          <w:sz w:val="18"/>
          <w:szCs w:val="18"/>
        </w:rPr>
      </w:pPr>
    </w:p>
    <w:p w14:paraId="0E7474D6" w14:textId="24B2E5FF" w:rsidR="001D64C8" w:rsidRDefault="001D64C8" w:rsidP="001D64C8">
      <w:pPr>
        <w:spacing w:line="222" w:lineRule="exact"/>
        <w:jc w:val="both"/>
        <w:rPr>
          <w:rFonts w:ascii="Lato" w:eastAsia="Times New Roman" w:hAnsi="Lato"/>
          <w:color w:val="000000" w:themeColor="text1"/>
          <w:sz w:val="18"/>
          <w:szCs w:val="18"/>
        </w:rPr>
      </w:pPr>
    </w:p>
    <w:p w14:paraId="7E2E4093" w14:textId="4F70388B" w:rsidR="001D64C8" w:rsidRDefault="001D64C8" w:rsidP="001D64C8">
      <w:pPr>
        <w:spacing w:line="222" w:lineRule="exact"/>
        <w:jc w:val="both"/>
        <w:rPr>
          <w:rFonts w:ascii="Lato" w:eastAsia="Times New Roman" w:hAnsi="Lato"/>
          <w:color w:val="000000" w:themeColor="text1"/>
          <w:sz w:val="18"/>
          <w:szCs w:val="18"/>
        </w:rPr>
      </w:pPr>
    </w:p>
    <w:p w14:paraId="1F361121" w14:textId="783BD04A" w:rsidR="001D64C8" w:rsidRDefault="001D64C8" w:rsidP="001D64C8">
      <w:pPr>
        <w:spacing w:line="222" w:lineRule="exact"/>
        <w:jc w:val="both"/>
        <w:rPr>
          <w:rFonts w:ascii="Lato" w:eastAsia="Times New Roman" w:hAnsi="Lato"/>
          <w:color w:val="000000" w:themeColor="text1"/>
          <w:sz w:val="18"/>
          <w:szCs w:val="18"/>
        </w:rPr>
      </w:pPr>
    </w:p>
    <w:p w14:paraId="29B294A8" w14:textId="42FDA88E" w:rsidR="001D64C8" w:rsidRDefault="001D64C8" w:rsidP="001D64C8">
      <w:pPr>
        <w:spacing w:line="222" w:lineRule="exact"/>
        <w:jc w:val="both"/>
        <w:rPr>
          <w:rFonts w:ascii="Lato" w:eastAsia="Times New Roman" w:hAnsi="Lato"/>
          <w:color w:val="000000" w:themeColor="text1"/>
          <w:sz w:val="18"/>
          <w:szCs w:val="18"/>
        </w:rPr>
      </w:pPr>
    </w:p>
    <w:p w14:paraId="183819EB" w14:textId="3B47070A" w:rsidR="001D64C8" w:rsidRDefault="001D64C8" w:rsidP="001D64C8">
      <w:pPr>
        <w:spacing w:line="222" w:lineRule="exact"/>
        <w:jc w:val="both"/>
        <w:rPr>
          <w:rFonts w:ascii="Lato" w:eastAsia="Times New Roman" w:hAnsi="Lato"/>
          <w:color w:val="000000" w:themeColor="text1"/>
          <w:sz w:val="18"/>
          <w:szCs w:val="18"/>
        </w:rPr>
      </w:pPr>
    </w:p>
    <w:p w14:paraId="2EE5ED17" w14:textId="45C558C2" w:rsidR="001D64C8" w:rsidRDefault="001D64C8" w:rsidP="001D64C8">
      <w:pPr>
        <w:spacing w:line="222" w:lineRule="exact"/>
        <w:jc w:val="both"/>
        <w:rPr>
          <w:rFonts w:ascii="Lato" w:eastAsia="Times New Roman" w:hAnsi="Lato"/>
          <w:color w:val="000000" w:themeColor="text1"/>
          <w:sz w:val="18"/>
          <w:szCs w:val="18"/>
        </w:rPr>
      </w:pPr>
    </w:p>
    <w:p w14:paraId="3EEAD64E" w14:textId="522C4148" w:rsidR="001D64C8" w:rsidRDefault="001D64C8" w:rsidP="001D64C8">
      <w:pPr>
        <w:spacing w:line="222" w:lineRule="exact"/>
        <w:jc w:val="both"/>
        <w:rPr>
          <w:rFonts w:ascii="Lato" w:eastAsia="Times New Roman" w:hAnsi="Lato"/>
          <w:color w:val="000000" w:themeColor="text1"/>
          <w:sz w:val="18"/>
          <w:szCs w:val="18"/>
        </w:rPr>
      </w:pPr>
    </w:p>
    <w:p w14:paraId="06D143EC" w14:textId="25276344" w:rsidR="001D64C8" w:rsidRDefault="001D64C8" w:rsidP="001D64C8">
      <w:pPr>
        <w:spacing w:line="222" w:lineRule="exact"/>
        <w:jc w:val="both"/>
        <w:rPr>
          <w:rFonts w:ascii="Lato" w:eastAsia="Times New Roman" w:hAnsi="Lato"/>
          <w:color w:val="000000" w:themeColor="text1"/>
          <w:sz w:val="18"/>
          <w:szCs w:val="18"/>
        </w:rPr>
      </w:pPr>
    </w:p>
    <w:p w14:paraId="7317F9D2" w14:textId="79D7F07C" w:rsidR="001D64C8" w:rsidRDefault="001D64C8" w:rsidP="001D64C8">
      <w:pPr>
        <w:spacing w:line="222" w:lineRule="exact"/>
        <w:rPr>
          <w:rFonts w:ascii="Lato" w:eastAsia="Times New Roman" w:hAnsi="Lato"/>
          <w:color w:val="000000" w:themeColor="text1"/>
          <w:sz w:val="18"/>
          <w:szCs w:val="18"/>
        </w:rPr>
      </w:pPr>
    </w:p>
    <w:p w14:paraId="6C31C758" w14:textId="4CB97660" w:rsidR="001D64C8" w:rsidRDefault="001D64C8" w:rsidP="001D64C8">
      <w:pPr>
        <w:spacing w:line="222" w:lineRule="exact"/>
        <w:rPr>
          <w:rFonts w:ascii="Lato" w:eastAsia="Times New Roman" w:hAnsi="Lato"/>
          <w:color w:val="000000" w:themeColor="text1"/>
          <w:sz w:val="18"/>
          <w:szCs w:val="18"/>
        </w:rPr>
      </w:pPr>
    </w:p>
    <w:p w14:paraId="01FF2103" w14:textId="33A2254A" w:rsidR="001D64C8" w:rsidRDefault="001D64C8" w:rsidP="001D64C8">
      <w:pPr>
        <w:spacing w:line="222" w:lineRule="exact"/>
        <w:rPr>
          <w:rFonts w:ascii="Lato" w:eastAsia="Times New Roman" w:hAnsi="Lato"/>
          <w:color w:val="000000" w:themeColor="text1"/>
          <w:sz w:val="18"/>
          <w:szCs w:val="18"/>
        </w:rPr>
      </w:pPr>
    </w:p>
    <w:p w14:paraId="6E7D605F" w14:textId="5AE72135" w:rsidR="001D64C8" w:rsidRDefault="001D64C8" w:rsidP="001D64C8">
      <w:pPr>
        <w:spacing w:line="222" w:lineRule="exact"/>
        <w:rPr>
          <w:rFonts w:ascii="Lato" w:eastAsia="Times New Roman" w:hAnsi="Lato"/>
          <w:color w:val="000000" w:themeColor="text1"/>
          <w:sz w:val="18"/>
          <w:szCs w:val="18"/>
        </w:rPr>
      </w:pPr>
    </w:p>
    <w:p w14:paraId="6FF1E277" w14:textId="2D89E4DF" w:rsidR="001D64C8" w:rsidRDefault="001D64C8" w:rsidP="001D64C8">
      <w:pPr>
        <w:spacing w:line="222" w:lineRule="exact"/>
        <w:rPr>
          <w:rFonts w:ascii="Lato" w:eastAsia="Times New Roman" w:hAnsi="Lato"/>
          <w:color w:val="000000" w:themeColor="text1"/>
          <w:sz w:val="18"/>
          <w:szCs w:val="18"/>
        </w:rPr>
      </w:pPr>
    </w:p>
    <w:p w14:paraId="1E1DF962" w14:textId="7EF4EB2E" w:rsidR="001D64C8" w:rsidRDefault="001D64C8" w:rsidP="001D64C8">
      <w:pPr>
        <w:spacing w:line="222" w:lineRule="exact"/>
        <w:rPr>
          <w:rFonts w:ascii="Lato" w:eastAsia="Times New Roman" w:hAnsi="Lato"/>
          <w:color w:val="000000" w:themeColor="text1"/>
          <w:sz w:val="18"/>
          <w:szCs w:val="18"/>
        </w:rPr>
      </w:pPr>
    </w:p>
    <w:p w14:paraId="14EF47F6" w14:textId="3AA872C6" w:rsidR="001D64C8" w:rsidRDefault="001D64C8" w:rsidP="001D64C8">
      <w:pPr>
        <w:spacing w:line="222" w:lineRule="exact"/>
        <w:rPr>
          <w:rFonts w:ascii="Lato" w:eastAsia="Times New Roman" w:hAnsi="Lato"/>
          <w:color w:val="000000" w:themeColor="text1"/>
          <w:sz w:val="18"/>
          <w:szCs w:val="18"/>
        </w:rPr>
      </w:pPr>
    </w:p>
    <w:p w14:paraId="6B47D791" w14:textId="3E25B403" w:rsidR="001D64C8" w:rsidRDefault="001D64C8" w:rsidP="001D64C8">
      <w:pPr>
        <w:spacing w:line="222" w:lineRule="exact"/>
        <w:rPr>
          <w:rFonts w:ascii="Lato" w:eastAsia="Times New Roman" w:hAnsi="Lato"/>
          <w:color w:val="000000" w:themeColor="text1"/>
          <w:sz w:val="18"/>
          <w:szCs w:val="18"/>
        </w:rPr>
      </w:pPr>
    </w:p>
    <w:p w14:paraId="4777A4F1" w14:textId="53FF80D3" w:rsidR="001D64C8" w:rsidRDefault="001D64C8" w:rsidP="001D64C8">
      <w:pPr>
        <w:spacing w:line="222" w:lineRule="exact"/>
        <w:rPr>
          <w:rFonts w:ascii="Lato" w:eastAsia="Times New Roman" w:hAnsi="Lato"/>
          <w:color w:val="000000" w:themeColor="text1"/>
          <w:sz w:val="18"/>
          <w:szCs w:val="18"/>
        </w:rPr>
      </w:pPr>
    </w:p>
    <w:p w14:paraId="0BFDFF3D" w14:textId="2A357FCF" w:rsidR="001D64C8" w:rsidRDefault="001D64C8" w:rsidP="001D64C8">
      <w:pPr>
        <w:spacing w:line="222" w:lineRule="exact"/>
        <w:rPr>
          <w:rFonts w:ascii="Lato" w:eastAsia="Times New Roman" w:hAnsi="Lato"/>
          <w:color w:val="000000" w:themeColor="text1"/>
          <w:sz w:val="18"/>
          <w:szCs w:val="18"/>
        </w:rPr>
      </w:pPr>
    </w:p>
    <w:p w14:paraId="6174E7F6" w14:textId="5CF3B84F" w:rsidR="001D64C8" w:rsidRDefault="001D64C8" w:rsidP="001D64C8">
      <w:pPr>
        <w:spacing w:line="222" w:lineRule="exact"/>
        <w:rPr>
          <w:rFonts w:ascii="Lato" w:eastAsia="Times New Roman" w:hAnsi="Lato"/>
          <w:color w:val="000000" w:themeColor="text1"/>
          <w:sz w:val="18"/>
          <w:szCs w:val="18"/>
        </w:rPr>
      </w:pPr>
    </w:p>
    <w:p w14:paraId="0CF296C7" w14:textId="518F0F3B" w:rsidR="001D64C8" w:rsidRDefault="001D64C8" w:rsidP="001D64C8">
      <w:pPr>
        <w:spacing w:line="222" w:lineRule="exact"/>
        <w:rPr>
          <w:rFonts w:ascii="Lato" w:eastAsia="Times New Roman" w:hAnsi="Lato"/>
          <w:color w:val="000000" w:themeColor="text1"/>
          <w:sz w:val="18"/>
          <w:szCs w:val="18"/>
        </w:rPr>
      </w:pPr>
    </w:p>
    <w:p w14:paraId="78483A73" w14:textId="05F73CD3" w:rsidR="001D64C8" w:rsidRDefault="001D64C8" w:rsidP="001D64C8">
      <w:pPr>
        <w:spacing w:line="222" w:lineRule="exact"/>
        <w:rPr>
          <w:rFonts w:ascii="Lato" w:eastAsia="Times New Roman" w:hAnsi="Lato"/>
          <w:color w:val="000000" w:themeColor="text1"/>
          <w:sz w:val="18"/>
          <w:szCs w:val="18"/>
        </w:rPr>
      </w:pPr>
    </w:p>
    <w:p w14:paraId="78E5259E" w14:textId="09E11CBB" w:rsidR="001D64C8" w:rsidRDefault="001D64C8" w:rsidP="001D64C8">
      <w:pPr>
        <w:spacing w:line="222" w:lineRule="exact"/>
        <w:rPr>
          <w:rFonts w:ascii="Lato" w:eastAsia="Times New Roman" w:hAnsi="Lato"/>
          <w:color w:val="000000" w:themeColor="text1"/>
          <w:sz w:val="18"/>
          <w:szCs w:val="18"/>
        </w:rPr>
      </w:pPr>
    </w:p>
    <w:p w14:paraId="1C17EF01" w14:textId="5D38AE43" w:rsidR="001D64C8" w:rsidRDefault="001D64C8" w:rsidP="001D64C8">
      <w:pPr>
        <w:spacing w:line="222" w:lineRule="exact"/>
        <w:rPr>
          <w:rFonts w:ascii="Lato" w:eastAsia="Times New Roman" w:hAnsi="Lato"/>
          <w:color w:val="000000" w:themeColor="text1"/>
          <w:sz w:val="18"/>
          <w:szCs w:val="18"/>
        </w:rPr>
      </w:pPr>
    </w:p>
    <w:p w14:paraId="62822351" w14:textId="77777777" w:rsidR="001D64C8" w:rsidRPr="001D64C8" w:rsidRDefault="001D64C8" w:rsidP="001D64C8">
      <w:pPr>
        <w:spacing w:line="222" w:lineRule="exact"/>
        <w:rPr>
          <w:rFonts w:ascii="Lato" w:eastAsia="Times New Roman" w:hAnsi="Lato"/>
          <w:color w:val="000000" w:themeColor="text1"/>
          <w:sz w:val="18"/>
          <w:szCs w:val="18"/>
        </w:rPr>
      </w:pPr>
    </w:p>
    <w:p w14:paraId="29ACE8EE" w14:textId="409FB405" w:rsidR="00402F9D" w:rsidRDefault="008E1AD0" w:rsidP="001D64C8">
      <w:pPr>
        <w:spacing w:line="0" w:lineRule="atLeast"/>
        <w:rPr>
          <w:rFonts w:ascii="Lato" w:eastAsia="Arial" w:hAnsi="Lato"/>
          <w:b/>
          <w:color w:val="000000" w:themeColor="text1"/>
          <w:sz w:val="24"/>
          <w:szCs w:val="24"/>
        </w:rPr>
      </w:pPr>
      <w:r w:rsidRPr="001D64C8">
        <w:rPr>
          <w:rFonts w:ascii="Lato" w:eastAsia="Arial" w:hAnsi="Lato"/>
          <w:b/>
          <w:color w:val="000000" w:themeColor="text1"/>
          <w:sz w:val="24"/>
          <w:szCs w:val="24"/>
        </w:rPr>
        <w:t>Get the facts:</w:t>
      </w:r>
    </w:p>
    <w:p w14:paraId="49CA08BF" w14:textId="77777777" w:rsidR="001D64C8" w:rsidRPr="001D64C8" w:rsidRDefault="001D64C8" w:rsidP="001D64C8">
      <w:pPr>
        <w:spacing w:line="0" w:lineRule="atLeast"/>
        <w:rPr>
          <w:rFonts w:ascii="Lato" w:eastAsia="Arial" w:hAnsi="Lato"/>
          <w:b/>
          <w:color w:val="000000" w:themeColor="text1"/>
          <w:sz w:val="24"/>
          <w:szCs w:val="24"/>
        </w:rPr>
      </w:pPr>
    </w:p>
    <w:p w14:paraId="6970C28F" w14:textId="77777777" w:rsidR="00402F9D" w:rsidRPr="001D64C8" w:rsidRDefault="00402F9D" w:rsidP="001D64C8">
      <w:pPr>
        <w:spacing w:line="58" w:lineRule="exact"/>
        <w:rPr>
          <w:rFonts w:ascii="Lato" w:eastAsia="Times New Roman" w:hAnsi="Lato"/>
          <w:color w:val="000000" w:themeColor="text1"/>
          <w:sz w:val="18"/>
          <w:szCs w:val="18"/>
        </w:rPr>
      </w:pPr>
    </w:p>
    <w:p w14:paraId="25E4DF76" w14:textId="77777777" w:rsidR="00402F9D" w:rsidRPr="001D64C8" w:rsidRDefault="008E1AD0" w:rsidP="001D64C8">
      <w:pPr>
        <w:numPr>
          <w:ilvl w:val="0"/>
          <w:numId w:val="3"/>
        </w:numPr>
        <w:tabs>
          <w:tab w:val="left" w:pos="320"/>
        </w:tabs>
        <w:spacing w:line="284" w:lineRule="auto"/>
        <w:ind w:hanging="184"/>
        <w:rPr>
          <w:rFonts w:ascii="Lato" w:eastAsia="Arial" w:hAnsi="Lato"/>
          <w:color w:val="000000" w:themeColor="text1"/>
          <w:sz w:val="18"/>
          <w:szCs w:val="18"/>
        </w:rPr>
      </w:pPr>
      <w:r w:rsidRPr="001D64C8">
        <w:rPr>
          <w:rFonts w:ascii="Lato" w:eastAsia="Arial" w:hAnsi="Lato"/>
          <w:color w:val="000000" w:themeColor="text1"/>
          <w:sz w:val="18"/>
          <w:szCs w:val="18"/>
        </w:rPr>
        <w:t>Physical inactivity, a known risk factor for diabetes, high blood pressure, and obesity is the cause of an estimated 11% of total health care expenditures.</w:t>
      </w:r>
    </w:p>
    <w:p w14:paraId="585D80D7" w14:textId="77777777" w:rsidR="00402F9D" w:rsidRPr="001D64C8" w:rsidRDefault="00402F9D" w:rsidP="001D64C8">
      <w:pPr>
        <w:spacing w:line="235" w:lineRule="exact"/>
        <w:rPr>
          <w:rFonts w:ascii="Lato" w:eastAsia="Arial" w:hAnsi="Lato"/>
          <w:color w:val="000000" w:themeColor="text1"/>
          <w:sz w:val="18"/>
          <w:szCs w:val="18"/>
        </w:rPr>
      </w:pPr>
    </w:p>
    <w:p w14:paraId="1624A32E" w14:textId="77777777" w:rsidR="00402F9D" w:rsidRPr="001D64C8" w:rsidRDefault="008E1AD0" w:rsidP="001D64C8">
      <w:pPr>
        <w:numPr>
          <w:ilvl w:val="0"/>
          <w:numId w:val="3"/>
        </w:numPr>
        <w:tabs>
          <w:tab w:val="left" w:pos="320"/>
        </w:tabs>
        <w:spacing w:line="284" w:lineRule="auto"/>
        <w:ind w:right="40" w:hanging="184"/>
        <w:rPr>
          <w:rFonts w:ascii="Lato" w:eastAsia="Arial" w:hAnsi="Lato"/>
          <w:color w:val="000000" w:themeColor="text1"/>
          <w:sz w:val="18"/>
          <w:szCs w:val="18"/>
        </w:rPr>
      </w:pPr>
      <w:r w:rsidRPr="001D64C8">
        <w:rPr>
          <w:rFonts w:ascii="Lato" w:eastAsia="Arial" w:hAnsi="Lato"/>
          <w:color w:val="000000" w:themeColor="text1"/>
          <w:sz w:val="18"/>
          <w:szCs w:val="18"/>
        </w:rPr>
        <w:t>58,000 premature deaths every year are associated with long-term exposure to road transportation pollution, which is linked to asthma and cardiovascular disease.</w:t>
      </w:r>
    </w:p>
    <w:p w14:paraId="1694E4D8" w14:textId="77777777" w:rsidR="00402F9D" w:rsidRPr="001D64C8" w:rsidRDefault="00402F9D" w:rsidP="001D64C8">
      <w:pPr>
        <w:spacing w:line="235" w:lineRule="exact"/>
        <w:rPr>
          <w:rFonts w:ascii="Lato" w:eastAsia="Arial" w:hAnsi="Lato"/>
          <w:color w:val="000000" w:themeColor="text1"/>
          <w:sz w:val="18"/>
          <w:szCs w:val="18"/>
        </w:rPr>
      </w:pPr>
    </w:p>
    <w:p w14:paraId="6EE0CDE3" w14:textId="77777777" w:rsidR="001D64C8" w:rsidRPr="001D64C8" w:rsidRDefault="001D64C8" w:rsidP="001D64C8">
      <w:pPr>
        <w:tabs>
          <w:tab w:val="left" w:pos="320"/>
        </w:tabs>
        <w:spacing w:line="275" w:lineRule="auto"/>
        <w:ind w:right="320"/>
        <w:jc w:val="both"/>
        <w:rPr>
          <w:rFonts w:ascii="Lato" w:eastAsia="Arial" w:hAnsi="Lato"/>
          <w:color w:val="000000" w:themeColor="text1"/>
          <w:sz w:val="18"/>
          <w:szCs w:val="18"/>
        </w:rPr>
      </w:pPr>
    </w:p>
    <w:p w14:paraId="6EF1D7C3" w14:textId="77777777" w:rsidR="001D64C8" w:rsidRDefault="001D64C8" w:rsidP="001D64C8">
      <w:pPr>
        <w:tabs>
          <w:tab w:val="left" w:pos="320"/>
        </w:tabs>
        <w:spacing w:line="275" w:lineRule="auto"/>
        <w:ind w:right="320"/>
        <w:jc w:val="both"/>
        <w:rPr>
          <w:rFonts w:ascii="Lato" w:eastAsia="Arial" w:hAnsi="Lato"/>
          <w:color w:val="000000" w:themeColor="text1"/>
          <w:sz w:val="18"/>
          <w:szCs w:val="18"/>
        </w:rPr>
      </w:pPr>
    </w:p>
    <w:p w14:paraId="691BF0BB" w14:textId="41477F77" w:rsidR="00402F9D" w:rsidRPr="001D64C8" w:rsidRDefault="008E1AD0" w:rsidP="001D64C8">
      <w:pPr>
        <w:numPr>
          <w:ilvl w:val="0"/>
          <w:numId w:val="3"/>
        </w:numPr>
        <w:tabs>
          <w:tab w:val="left" w:pos="320"/>
        </w:tabs>
        <w:spacing w:line="275" w:lineRule="auto"/>
        <w:ind w:right="320" w:hanging="184"/>
        <w:jc w:val="both"/>
        <w:rPr>
          <w:rFonts w:ascii="Lato" w:eastAsia="Arial" w:hAnsi="Lato"/>
          <w:color w:val="000000" w:themeColor="text1"/>
          <w:sz w:val="18"/>
          <w:szCs w:val="18"/>
        </w:rPr>
      </w:pPr>
      <w:r w:rsidRPr="001D64C8">
        <w:rPr>
          <w:rFonts w:ascii="Lato" w:eastAsia="Arial" w:hAnsi="Lato"/>
          <w:color w:val="000000" w:themeColor="text1"/>
          <w:sz w:val="18"/>
          <w:szCs w:val="18"/>
        </w:rPr>
        <w:t>5,000 pedestrian and bicyclist injury deaths occur every year.</w:t>
      </w:r>
    </w:p>
    <w:p w14:paraId="6FEF33F6" w14:textId="77777777" w:rsidR="00402F9D" w:rsidRPr="001D64C8" w:rsidRDefault="00402F9D" w:rsidP="001D64C8">
      <w:pPr>
        <w:tabs>
          <w:tab w:val="left" w:pos="320"/>
        </w:tabs>
        <w:spacing w:line="275" w:lineRule="auto"/>
        <w:ind w:right="320" w:hanging="184"/>
        <w:jc w:val="both"/>
        <w:rPr>
          <w:rFonts w:ascii="Lato" w:eastAsia="Arial" w:hAnsi="Lato"/>
          <w:color w:val="000000" w:themeColor="text1"/>
          <w:sz w:val="18"/>
          <w:szCs w:val="18"/>
        </w:rPr>
        <w:sectPr w:rsidR="00402F9D" w:rsidRPr="001D64C8" w:rsidSect="00C40514">
          <w:type w:val="continuous"/>
          <w:pgSz w:w="12240" w:h="15840"/>
          <w:pgMar w:top="650" w:right="940" w:bottom="191" w:left="1080" w:header="0" w:footer="0" w:gutter="0"/>
          <w:cols w:num="2" w:space="0" w:equalWidth="0">
            <w:col w:w="10620" w:space="-579"/>
            <w:col w:w="577"/>
          </w:cols>
          <w:docGrid w:linePitch="360"/>
        </w:sectPr>
      </w:pPr>
    </w:p>
    <w:p w14:paraId="46A95223" w14:textId="77777777" w:rsidR="00402F9D" w:rsidRPr="001D64C8" w:rsidRDefault="00402F9D" w:rsidP="001D64C8">
      <w:pPr>
        <w:spacing w:line="200" w:lineRule="exact"/>
        <w:rPr>
          <w:rFonts w:ascii="Lato" w:eastAsia="Times New Roman" w:hAnsi="Lato"/>
          <w:color w:val="000000" w:themeColor="text1"/>
          <w:sz w:val="18"/>
          <w:szCs w:val="18"/>
        </w:rPr>
      </w:pPr>
    </w:p>
    <w:p w14:paraId="68C0E699" w14:textId="77777777" w:rsidR="00402F9D" w:rsidRPr="001D64C8" w:rsidRDefault="00402F9D" w:rsidP="001D64C8">
      <w:pPr>
        <w:spacing w:line="200" w:lineRule="exact"/>
        <w:rPr>
          <w:rFonts w:ascii="Lato" w:eastAsia="Times New Roman" w:hAnsi="Lato"/>
          <w:color w:val="000000" w:themeColor="text1"/>
          <w:sz w:val="18"/>
          <w:szCs w:val="18"/>
        </w:rPr>
      </w:pPr>
    </w:p>
    <w:tbl>
      <w:tblPr>
        <w:tblpPr w:leftFromText="180" w:rightFromText="180" w:vertAnchor="text" w:horzAnchor="margin" w:tblpY="64"/>
        <w:tblW w:w="11160" w:type="dxa"/>
        <w:tblLayout w:type="fixed"/>
        <w:tblCellMar>
          <w:left w:w="0" w:type="dxa"/>
          <w:right w:w="0" w:type="dxa"/>
        </w:tblCellMar>
        <w:tblLook w:val="0000" w:firstRow="0" w:lastRow="0" w:firstColumn="0" w:lastColumn="0" w:noHBand="0" w:noVBand="0"/>
      </w:tblPr>
      <w:tblGrid>
        <w:gridCol w:w="1880"/>
        <w:gridCol w:w="3680"/>
        <w:gridCol w:w="5600"/>
      </w:tblGrid>
      <w:tr w:rsidR="001D64C8" w:rsidRPr="001D64C8" w14:paraId="373E93C1" w14:textId="77777777" w:rsidTr="001D64C8">
        <w:trPr>
          <w:trHeight w:val="386"/>
        </w:trPr>
        <w:tc>
          <w:tcPr>
            <w:tcW w:w="1880" w:type="dxa"/>
            <w:tcBorders>
              <w:top w:val="single" w:sz="4" w:space="0" w:color="auto"/>
              <w:left w:val="single" w:sz="4" w:space="0" w:color="auto"/>
            </w:tcBorders>
            <w:shd w:val="clear" w:color="auto" w:fill="B4C6E7" w:themeFill="accent1" w:themeFillTint="66"/>
            <w:vAlign w:val="bottom"/>
          </w:tcPr>
          <w:p w14:paraId="6D0774BB" w14:textId="77777777" w:rsidR="001D64C8" w:rsidRPr="001D64C8" w:rsidRDefault="001D64C8" w:rsidP="001D64C8">
            <w:pPr>
              <w:spacing w:line="0" w:lineRule="atLeast"/>
              <w:rPr>
                <w:rFonts w:ascii="Lato" w:eastAsia="Times New Roman" w:hAnsi="Lato"/>
                <w:color w:val="000000"/>
                <w:sz w:val="18"/>
                <w:szCs w:val="18"/>
              </w:rPr>
            </w:pPr>
          </w:p>
        </w:tc>
        <w:tc>
          <w:tcPr>
            <w:tcW w:w="9280" w:type="dxa"/>
            <w:gridSpan w:val="2"/>
            <w:tcBorders>
              <w:top w:val="single" w:sz="4" w:space="0" w:color="auto"/>
              <w:right w:val="single" w:sz="4" w:space="0" w:color="auto"/>
            </w:tcBorders>
            <w:shd w:val="clear" w:color="auto" w:fill="B4C6E7" w:themeFill="accent1" w:themeFillTint="66"/>
            <w:vAlign w:val="bottom"/>
          </w:tcPr>
          <w:p w14:paraId="52162963" w14:textId="77777777" w:rsidR="001D64C8" w:rsidRPr="001D64C8" w:rsidRDefault="001D64C8" w:rsidP="001D64C8">
            <w:pPr>
              <w:spacing w:line="0" w:lineRule="atLeast"/>
              <w:rPr>
                <w:rFonts w:ascii="Lato" w:eastAsia="Arial" w:hAnsi="Lato"/>
                <w:b/>
                <w:color w:val="000000"/>
                <w:sz w:val="18"/>
                <w:szCs w:val="18"/>
              </w:rPr>
            </w:pPr>
            <w:r w:rsidRPr="001D64C8">
              <w:rPr>
                <w:rFonts w:ascii="Lato" w:eastAsia="Arial" w:hAnsi="Lato"/>
                <w:b/>
                <w:color w:val="000000"/>
                <w:sz w:val="18"/>
                <w:szCs w:val="18"/>
              </w:rPr>
              <w:t>Built Environment and Health Initiative Funding</w:t>
            </w:r>
          </w:p>
        </w:tc>
      </w:tr>
      <w:tr w:rsidR="001D64C8" w:rsidRPr="001D64C8" w14:paraId="5C41C5A8" w14:textId="77777777" w:rsidTr="001D64C8">
        <w:trPr>
          <w:trHeight w:val="86"/>
        </w:trPr>
        <w:tc>
          <w:tcPr>
            <w:tcW w:w="1880" w:type="dxa"/>
            <w:tcBorders>
              <w:left w:val="single" w:sz="4" w:space="0" w:color="auto"/>
              <w:bottom w:val="single" w:sz="4" w:space="0" w:color="auto"/>
            </w:tcBorders>
            <w:shd w:val="clear" w:color="auto" w:fill="B4C6E7" w:themeFill="accent1" w:themeFillTint="66"/>
            <w:vAlign w:val="bottom"/>
          </w:tcPr>
          <w:p w14:paraId="76B73651" w14:textId="77777777" w:rsidR="001D64C8" w:rsidRPr="001D64C8" w:rsidRDefault="001D64C8" w:rsidP="001D64C8">
            <w:pPr>
              <w:spacing w:line="0" w:lineRule="atLeast"/>
              <w:rPr>
                <w:rFonts w:ascii="Lato" w:eastAsia="Times New Roman" w:hAnsi="Lato"/>
                <w:color w:val="000000"/>
                <w:sz w:val="18"/>
                <w:szCs w:val="18"/>
              </w:rPr>
            </w:pPr>
          </w:p>
        </w:tc>
        <w:tc>
          <w:tcPr>
            <w:tcW w:w="3680" w:type="dxa"/>
            <w:tcBorders>
              <w:bottom w:val="single" w:sz="4" w:space="0" w:color="auto"/>
              <w:right w:val="single" w:sz="8" w:space="0" w:color="005E2C"/>
            </w:tcBorders>
            <w:shd w:val="clear" w:color="auto" w:fill="B4C6E7" w:themeFill="accent1" w:themeFillTint="66"/>
            <w:vAlign w:val="bottom"/>
          </w:tcPr>
          <w:p w14:paraId="6DABAE25" w14:textId="77777777" w:rsidR="001D64C8" w:rsidRPr="001D64C8" w:rsidRDefault="001D64C8" w:rsidP="001D64C8">
            <w:pPr>
              <w:spacing w:line="0" w:lineRule="atLeast"/>
              <w:rPr>
                <w:rFonts w:ascii="Lato" w:eastAsia="Times New Roman" w:hAnsi="Lato"/>
                <w:color w:val="000000"/>
                <w:sz w:val="18"/>
                <w:szCs w:val="18"/>
              </w:rPr>
            </w:pPr>
          </w:p>
        </w:tc>
        <w:tc>
          <w:tcPr>
            <w:tcW w:w="5600" w:type="dxa"/>
            <w:tcBorders>
              <w:bottom w:val="single" w:sz="4" w:space="0" w:color="auto"/>
              <w:right w:val="single" w:sz="4" w:space="0" w:color="auto"/>
            </w:tcBorders>
            <w:shd w:val="clear" w:color="auto" w:fill="B4C6E7" w:themeFill="accent1" w:themeFillTint="66"/>
            <w:vAlign w:val="bottom"/>
          </w:tcPr>
          <w:p w14:paraId="6E44B0DB" w14:textId="77777777" w:rsidR="001D64C8" w:rsidRPr="001D64C8" w:rsidRDefault="001D64C8" w:rsidP="001D64C8">
            <w:pPr>
              <w:spacing w:line="0" w:lineRule="atLeast"/>
              <w:rPr>
                <w:rFonts w:ascii="Lato" w:eastAsia="Times New Roman" w:hAnsi="Lato"/>
                <w:color w:val="000000"/>
                <w:sz w:val="18"/>
                <w:szCs w:val="18"/>
              </w:rPr>
            </w:pPr>
          </w:p>
        </w:tc>
      </w:tr>
      <w:tr w:rsidR="001D64C8" w:rsidRPr="001D64C8" w14:paraId="24D1034A" w14:textId="77777777" w:rsidTr="001D64C8">
        <w:trPr>
          <w:trHeight w:val="270"/>
        </w:trPr>
        <w:tc>
          <w:tcPr>
            <w:tcW w:w="1880" w:type="dxa"/>
            <w:tcBorders>
              <w:top w:val="single" w:sz="4" w:space="0" w:color="auto"/>
              <w:left w:val="single" w:sz="8" w:space="0" w:color="005E2C"/>
            </w:tcBorders>
            <w:shd w:val="clear" w:color="auto" w:fill="auto"/>
            <w:vAlign w:val="bottom"/>
          </w:tcPr>
          <w:p w14:paraId="6248A0DC" w14:textId="77777777" w:rsidR="001D64C8" w:rsidRPr="001D64C8" w:rsidRDefault="001D64C8" w:rsidP="001D64C8">
            <w:pPr>
              <w:spacing w:line="0" w:lineRule="atLeast"/>
              <w:rPr>
                <w:rFonts w:ascii="Lato" w:eastAsia="Arial" w:hAnsi="Lato"/>
                <w:b/>
                <w:color w:val="000000"/>
                <w:sz w:val="18"/>
                <w:szCs w:val="18"/>
              </w:rPr>
            </w:pPr>
            <w:r w:rsidRPr="001D64C8">
              <w:rPr>
                <w:rFonts w:ascii="Lato" w:eastAsia="Arial" w:hAnsi="Lato"/>
                <w:b/>
                <w:color w:val="000000"/>
                <w:sz w:val="18"/>
                <w:szCs w:val="18"/>
              </w:rPr>
              <w:t>Year</w:t>
            </w:r>
          </w:p>
        </w:tc>
        <w:tc>
          <w:tcPr>
            <w:tcW w:w="3680" w:type="dxa"/>
            <w:tcBorders>
              <w:top w:val="single" w:sz="4" w:space="0" w:color="auto"/>
              <w:right w:val="single" w:sz="8" w:space="0" w:color="005E2C"/>
            </w:tcBorders>
            <w:shd w:val="clear" w:color="auto" w:fill="auto"/>
            <w:vAlign w:val="bottom"/>
          </w:tcPr>
          <w:p w14:paraId="1750082B" w14:textId="77777777" w:rsidR="001D64C8" w:rsidRPr="001D64C8" w:rsidRDefault="001D64C8" w:rsidP="001D64C8">
            <w:pPr>
              <w:spacing w:line="0" w:lineRule="atLeast"/>
              <w:rPr>
                <w:rFonts w:ascii="Lato" w:eastAsia="Times New Roman" w:hAnsi="Lato"/>
                <w:color w:val="000000"/>
                <w:sz w:val="18"/>
                <w:szCs w:val="18"/>
              </w:rPr>
            </w:pPr>
          </w:p>
        </w:tc>
        <w:tc>
          <w:tcPr>
            <w:tcW w:w="5600" w:type="dxa"/>
            <w:tcBorders>
              <w:top w:val="single" w:sz="4" w:space="0" w:color="auto"/>
              <w:right w:val="single" w:sz="8" w:space="0" w:color="005E2C"/>
            </w:tcBorders>
            <w:shd w:val="clear" w:color="auto" w:fill="auto"/>
            <w:vAlign w:val="bottom"/>
          </w:tcPr>
          <w:p w14:paraId="745610D7" w14:textId="77777777" w:rsidR="001D64C8" w:rsidRPr="001D64C8" w:rsidRDefault="001D64C8" w:rsidP="001D64C8">
            <w:pPr>
              <w:spacing w:line="0" w:lineRule="atLeast"/>
              <w:jc w:val="center"/>
              <w:rPr>
                <w:rFonts w:ascii="Lato" w:eastAsia="Arial" w:hAnsi="Lato"/>
                <w:b/>
                <w:color w:val="000000"/>
                <w:w w:val="92"/>
                <w:sz w:val="18"/>
                <w:szCs w:val="18"/>
              </w:rPr>
            </w:pPr>
            <w:r w:rsidRPr="001D64C8">
              <w:rPr>
                <w:rFonts w:ascii="Lato" w:eastAsia="Arial" w:hAnsi="Lato"/>
                <w:b/>
                <w:color w:val="000000"/>
                <w:w w:val="92"/>
                <w:sz w:val="18"/>
                <w:szCs w:val="18"/>
              </w:rPr>
              <w:t>Funding Level</w:t>
            </w:r>
          </w:p>
        </w:tc>
      </w:tr>
      <w:tr w:rsidR="001D64C8" w:rsidRPr="001D64C8" w14:paraId="269B8E16" w14:textId="77777777" w:rsidTr="001D64C8">
        <w:trPr>
          <w:trHeight w:val="20"/>
        </w:trPr>
        <w:tc>
          <w:tcPr>
            <w:tcW w:w="1880" w:type="dxa"/>
            <w:tcBorders>
              <w:left w:val="single" w:sz="8" w:space="0" w:color="005E2C"/>
              <w:bottom w:val="single" w:sz="8" w:space="0" w:color="005E2C"/>
            </w:tcBorders>
            <w:shd w:val="clear" w:color="auto" w:fill="auto"/>
            <w:vAlign w:val="bottom"/>
          </w:tcPr>
          <w:p w14:paraId="0177F90A" w14:textId="77777777" w:rsidR="001D64C8" w:rsidRPr="001D64C8" w:rsidRDefault="001D64C8" w:rsidP="001D64C8">
            <w:pPr>
              <w:spacing w:line="20" w:lineRule="exact"/>
              <w:rPr>
                <w:rFonts w:ascii="Lato" w:eastAsia="Times New Roman" w:hAnsi="Lato"/>
                <w:color w:val="000000"/>
                <w:sz w:val="18"/>
                <w:szCs w:val="18"/>
              </w:rPr>
            </w:pPr>
          </w:p>
        </w:tc>
        <w:tc>
          <w:tcPr>
            <w:tcW w:w="3680" w:type="dxa"/>
            <w:tcBorders>
              <w:bottom w:val="single" w:sz="8" w:space="0" w:color="005E2C"/>
              <w:right w:val="single" w:sz="8" w:space="0" w:color="005E2C"/>
            </w:tcBorders>
            <w:shd w:val="clear" w:color="auto" w:fill="auto"/>
            <w:vAlign w:val="bottom"/>
          </w:tcPr>
          <w:p w14:paraId="7299AF39" w14:textId="77777777" w:rsidR="001D64C8" w:rsidRPr="001D64C8" w:rsidRDefault="001D64C8" w:rsidP="001D64C8">
            <w:pPr>
              <w:spacing w:line="20" w:lineRule="exact"/>
              <w:rPr>
                <w:rFonts w:ascii="Lato" w:eastAsia="Times New Roman" w:hAnsi="Lato"/>
                <w:color w:val="000000"/>
                <w:sz w:val="18"/>
                <w:szCs w:val="18"/>
              </w:rPr>
            </w:pPr>
          </w:p>
        </w:tc>
        <w:tc>
          <w:tcPr>
            <w:tcW w:w="5600" w:type="dxa"/>
            <w:tcBorders>
              <w:bottom w:val="single" w:sz="8" w:space="0" w:color="005E2C"/>
              <w:right w:val="single" w:sz="8" w:space="0" w:color="005E2C"/>
            </w:tcBorders>
            <w:shd w:val="clear" w:color="auto" w:fill="auto"/>
            <w:vAlign w:val="bottom"/>
          </w:tcPr>
          <w:p w14:paraId="0CE41F90" w14:textId="77777777" w:rsidR="001D64C8" w:rsidRPr="001D64C8" w:rsidRDefault="001D64C8" w:rsidP="001D64C8">
            <w:pPr>
              <w:spacing w:line="20" w:lineRule="exact"/>
              <w:rPr>
                <w:rFonts w:ascii="Lato" w:eastAsia="Times New Roman" w:hAnsi="Lato"/>
                <w:color w:val="000000"/>
                <w:sz w:val="18"/>
                <w:szCs w:val="18"/>
              </w:rPr>
            </w:pPr>
          </w:p>
        </w:tc>
      </w:tr>
      <w:tr w:rsidR="001D64C8" w:rsidRPr="001D64C8" w14:paraId="0C0CE7DA" w14:textId="77777777" w:rsidTr="001D64C8">
        <w:trPr>
          <w:trHeight w:val="270"/>
        </w:trPr>
        <w:tc>
          <w:tcPr>
            <w:tcW w:w="1880" w:type="dxa"/>
            <w:tcBorders>
              <w:left w:val="single" w:sz="8" w:space="0" w:color="005E2C"/>
            </w:tcBorders>
            <w:shd w:val="clear" w:color="auto" w:fill="auto"/>
            <w:vAlign w:val="bottom"/>
          </w:tcPr>
          <w:p w14:paraId="38A6B35D" w14:textId="77777777" w:rsidR="001D64C8" w:rsidRPr="001D64C8" w:rsidRDefault="001D64C8" w:rsidP="001D64C8">
            <w:pPr>
              <w:spacing w:line="0" w:lineRule="atLeast"/>
              <w:rPr>
                <w:rFonts w:ascii="Lato" w:eastAsia="Arial" w:hAnsi="Lato"/>
                <w:color w:val="000000"/>
                <w:sz w:val="18"/>
                <w:szCs w:val="18"/>
              </w:rPr>
            </w:pPr>
            <w:r w:rsidRPr="001D64C8">
              <w:rPr>
                <w:rFonts w:ascii="Lato" w:eastAsia="Arial" w:hAnsi="Lato"/>
                <w:color w:val="000000"/>
                <w:sz w:val="18"/>
                <w:szCs w:val="18"/>
              </w:rPr>
              <w:t>FY 2013</w:t>
            </w:r>
          </w:p>
        </w:tc>
        <w:tc>
          <w:tcPr>
            <w:tcW w:w="3680" w:type="dxa"/>
            <w:tcBorders>
              <w:right w:val="single" w:sz="8" w:space="0" w:color="005E2C"/>
            </w:tcBorders>
            <w:shd w:val="clear" w:color="auto" w:fill="auto"/>
            <w:vAlign w:val="bottom"/>
          </w:tcPr>
          <w:p w14:paraId="6E3BDAA9" w14:textId="77777777" w:rsidR="001D64C8" w:rsidRPr="001D64C8" w:rsidRDefault="001D64C8" w:rsidP="001D64C8">
            <w:pPr>
              <w:spacing w:line="0" w:lineRule="atLeast"/>
              <w:rPr>
                <w:rFonts w:ascii="Lato" w:eastAsia="Times New Roman" w:hAnsi="Lato"/>
                <w:color w:val="000000"/>
                <w:sz w:val="18"/>
                <w:szCs w:val="18"/>
              </w:rPr>
            </w:pPr>
          </w:p>
        </w:tc>
        <w:tc>
          <w:tcPr>
            <w:tcW w:w="5600" w:type="dxa"/>
            <w:tcBorders>
              <w:right w:val="single" w:sz="8" w:space="0" w:color="005E2C"/>
            </w:tcBorders>
            <w:shd w:val="clear" w:color="auto" w:fill="auto"/>
            <w:vAlign w:val="bottom"/>
          </w:tcPr>
          <w:p w14:paraId="09408A79" w14:textId="77777777" w:rsidR="001D64C8" w:rsidRPr="001D64C8" w:rsidRDefault="001D64C8" w:rsidP="001D64C8">
            <w:pPr>
              <w:spacing w:line="0" w:lineRule="atLeast"/>
              <w:jc w:val="center"/>
              <w:rPr>
                <w:rFonts w:ascii="Lato" w:eastAsia="Arial" w:hAnsi="Lato"/>
                <w:color w:val="000000"/>
                <w:w w:val="89"/>
                <w:sz w:val="18"/>
                <w:szCs w:val="18"/>
              </w:rPr>
            </w:pPr>
            <w:r w:rsidRPr="001D64C8">
              <w:rPr>
                <w:rFonts w:ascii="Lato" w:eastAsia="Arial" w:hAnsi="Lato"/>
                <w:color w:val="000000"/>
                <w:w w:val="89"/>
                <w:sz w:val="18"/>
                <w:szCs w:val="18"/>
              </w:rPr>
              <w:t>$2,398,000</w:t>
            </w:r>
          </w:p>
        </w:tc>
      </w:tr>
      <w:tr w:rsidR="001D64C8" w:rsidRPr="001D64C8" w14:paraId="5928FC91" w14:textId="77777777" w:rsidTr="001D64C8">
        <w:trPr>
          <w:trHeight w:val="20"/>
        </w:trPr>
        <w:tc>
          <w:tcPr>
            <w:tcW w:w="1880" w:type="dxa"/>
            <w:tcBorders>
              <w:left w:val="single" w:sz="8" w:space="0" w:color="005E2C"/>
              <w:bottom w:val="single" w:sz="8" w:space="0" w:color="005E2C"/>
            </w:tcBorders>
            <w:shd w:val="clear" w:color="auto" w:fill="auto"/>
            <w:vAlign w:val="bottom"/>
          </w:tcPr>
          <w:p w14:paraId="662749E5" w14:textId="77777777" w:rsidR="001D64C8" w:rsidRPr="001D64C8" w:rsidRDefault="001D64C8" w:rsidP="001D64C8">
            <w:pPr>
              <w:spacing w:line="20" w:lineRule="exact"/>
              <w:rPr>
                <w:rFonts w:ascii="Lato" w:eastAsia="Times New Roman" w:hAnsi="Lato"/>
                <w:color w:val="000000"/>
                <w:sz w:val="18"/>
                <w:szCs w:val="18"/>
              </w:rPr>
            </w:pPr>
          </w:p>
        </w:tc>
        <w:tc>
          <w:tcPr>
            <w:tcW w:w="3680" w:type="dxa"/>
            <w:tcBorders>
              <w:bottom w:val="single" w:sz="8" w:space="0" w:color="005E2C"/>
              <w:right w:val="single" w:sz="8" w:space="0" w:color="005E2C"/>
            </w:tcBorders>
            <w:shd w:val="clear" w:color="auto" w:fill="auto"/>
            <w:vAlign w:val="bottom"/>
          </w:tcPr>
          <w:p w14:paraId="0C4ABCC6" w14:textId="77777777" w:rsidR="001D64C8" w:rsidRPr="001D64C8" w:rsidRDefault="001D64C8" w:rsidP="001D64C8">
            <w:pPr>
              <w:spacing w:line="20" w:lineRule="exact"/>
              <w:rPr>
                <w:rFonts w:ascii="Lato" w:eastAsia="Times New Roman" w:hAnsi="Lato"/>
                <w:color w:val="000000"/>
                <w:sz w:val="18"/>
                <w:szCs w:val="18"/>
              </w:rPr>
            </w:pPr>
          </w:p>
        </w:tc>
        <w:tc>
          <w:tcPr>
            <w:tcW w:w="5600" w:type="dxa"/>
            <w:tcBorders>
              <w:bottom w:val="single" w:sz="8" w:space="0" w:color="005E2C"/>
              <w:right w:val="single" w:sz="8" w:space="0" w:color="005E2C"/>
            </w:tcBorders>
            <w:shd w:val="clear" w:color="auto" w:fill="auto"/>
            <w:vAlign w:val="bottom"/>
          </w:tcPr>
          <w:p w14:paraId="2A389E98" w14:textId="77777777" w:rsidR="001D64C8" w:rsidRPr="001D64C8" w:rsidRDefault="001D64C8" w:rsidP="001D64C8">
            <w:pPr>
              <w:spacing w:line="20" w:lineRule="exact"/>
              <w:rPr>
                <w:rFonts w:ascii="Lato" w:eastAsia="Times New Roman" w:hAnsi="Lato"/>
                <w:color w:val="000000"/>
                <w:sz w:val="18"/>
                <w:szCs w:val="18"/>
              </w:rPr>
            </w:pPr>
          </w:p>
        </w:tc>
      </w:tr>
      <w:tr w:rsidR="001D64C8" w:rsidRPr="001D64C8" w14:paraId="1E145349" w14:textId="77777777" w:rsidTr="001D64C8">
        <w:trPr>
          <w:trHeight w:val="270"/>
        </w:trPr>
        <w:tc>
          <w:tcPr>
            <w:tcW w:w="1880" w:type="dxa"/>
            <w:tcBorders>
              <w:left w:val="single" w:sz="8" w:space="0" w:color="005E2C"/>
            </w:tcBorders>
            <w:shd w:val="clear" w:color="auto" w:fill="auto"/>
            <w:vAlign w:val="bottom"/>
          </w:tcPr>
          <w:p w14:paraId="146E2E3B" w14:textId="77777777" w:rsidR="001D64C8" w:rsidRPr="001D64C8" w:rsidRDefault="001D64C8" w:rsidP="001D64C8">
            <w:pPr>
              <w:spacing w:line="0" w:lineRule="atLeast"/>
              <w:rPr>
                <w:rFonts w:ascii="Lato" w:eastAsia="Arial" w:hAnsi="Lato"/>
                <w:color w:val="000000"/>
                <w:sz w:val="18"/>
                <w:szCs w:val="18"/>
              </w:rPr>
            </w:pPr>
            <w:r w:rsidRPr="001D64C8">
              <w:rPr>
                <w:rFonts w:ascii="Lato" w:eastAsia="Arial" w:hAnsi="Lato"/>
                <w:color w:val="000000"/>
                <w:sz w:val="18"/>
                <w:szCs w:val="18"/>
              </w:rPr>
              <w:t>FY 2014</w:t>
            </w:r>
          </w:p>
        </w:tc>
        <w:tc>
          <w:tcPr>
            <w:tcW w:w="3680" w:type="dxa"/>
            <w:tcBorders>
              <w:right w:val="single" w:sz="8" w:space="0" w:color="005E2C"/>
            </w:tcBorders>
            <w:shd w:val="clear" w:color="auto" w:fill="auto"/>
            <w:vAlign w:val="bottom"/>
          </w:tcPr>
          <w:p w14:paraId="61F041F5" w14:textId="77777777" w:rsidR="001D64C8" w:rsidRPr="001D64C8" w:rsidRDefault="001D64C8" w:rsidP="001D64C8">
            <w:pPr>
              <w:spacing w:line="0" w:lineRule="atLeast"/>
              <w:rPr>
                <w:rFonts w:ascii="Lato" w:eastAsia="Times New Roman" w:hAnsi="Lato"/>
                <w:color w:val="000000"/>
                <w:sz w:val="18"/>
                <w:szCs w:val="18"/>
              </w:rPr>
            </w:pPr>
          </w:p>
        </w:tc>
        <w:tc>
          <w:tcPr>
            <w:tcW w:w="5600" w:type="dxa"/>
            <w:tcBorders>
              <w:right w:val="single" w:sz="8" w:space="0" w:color="005E2C"/>
            </w:tcBorders>
            <w:shd w:val="clear" w:color="auto" w:fill="auto"/>
            <w:vAlign w:val="bottom"/>
          </w:tcPr>
          <w:p w14:paraId="591F3A81" w14:textId="77777777" w:rsidR="001D64C8" w:rsidRPr="001D64C8" w:rsidRDefault="001D64C8" w:rsidP="001D64C8">
            <w:pPr>
              <w:spacing w:line="0" w:lineRule="atLeast"/>
              <w:jc w:val="center"/>
              <w:rPr>
                <w:rFonts w:ascii="Lato" w:eastAsia="Arial" w:hAnsi="Lato"/>
                <w:color w:val="000000"/>
                <w:w w:val="89"/>
                <w:sz w:val="18"/>
                <w:szCs w:val="18"/>
              </w:rPr>
            </w:pPr>
            <w:r w:rsidRPr="001D64C8">
              <w:rPr>
                <w:rFonts w:ascii="Lato" w:eastAsia="Arial" w:hAnsi="Lato"/>
                <w:color w:val="000000"/>
                <w:w w:val="89"/>
                <w:sz w:val="18"/>
                <w:szCs w:val="18"/>
              </w:rPr>
              <w:t>$2,843,000</w:t>
            </w:r>
          </w:p>
        </w:tc>
      </w:tr>
      <w:tr w:rsidR="001D64C8" w:rsidRPr="001D64C8" w14:paraId="1136312A" w14:textId="77777777" w:rsidTr="001D64C8">
        <w:trPr>
          <w:trHeight w:val="20"/>
        </w:trPr>
        <w:tc>
          <w:tcPr>
            <w:tcW w:w="1880" w:type="dxa"/>
            <w:tcBorders>
              <w:left w:val="single" w:sz="8" w:space="0" w:color="005E2C"/>
              <w:bottom w:val="single" w:sz="8" w:space="0" w:color="005E2C"/>
            </w:tcBorders>
            <w:shd w:val="clear" w:color="auto" w:fill="auto"/>
            <w:vAlign w:val="bottom"/>
          </w:tcPr>
          <w:p w14:paraId="0CCBEAFE" w14:textId="77777777" w:rsidR="001D64C8" w:rsidRPr="001D64C8" w:rsidRDefault="001D64C8" w:rsidP="001D64C8">
            <w:pPr>
              <w:spacing w:line="20" w:lineRule="exact"/>
              <w:rPr>
                <w:rFonts w:ascii="Lato" w:eastAsia="Times New Roman" w:hAnsi="Lato"/>
                <w:color w:val="000000"/>
                <w:sz w:val="18"/>
                <w:szCs w:val="18"/>
              </w:rPr>
            </w:pPr>
          </w:p>
        </w:tc>
        <w:tc>
          <w:tcPr>
            <w:tcW w:w="3680" w:type="dxa"/>
            <w:tcBorders>
              <w:bottom w:val="single" w:sz="8" w:space="0" w:color="005E2C"/>
              <w:right w:val="single" w:sz="8" w:space="0" w:color="005E2C"/>
            </w:tcBorders>
            <w:shd w:val="clear" w:color="auto" w:fill="auto"/>
            <w:vAlign w:val="bottom"/>
          </w:tcPr>
          <w:p w14:paraId="0602D317" w14:textId="77777777" w:rsidR="001D64C8" w:rsidRPr="001D64C8" w:rsidRDefault="001D64C8" w:rsidP="001D64C8">
            <w:pPr>
              <w:spacing w:line="20" w:lineRule="exact"/>
              <w:rPr>
                <w:rFonts w:ascii="Lato" w:eastAsia="Times New Roman" w:hAnsi="Lato"/>
                <w:color w:val="000000"/>
                <w:sz w:val="18"/>
                <w:szCs w:val="18"/>
              </w:rPr>
            </w:pPr>
          </w:p>
        </w:tc>
        <w:tc>
          <w:tcPr>
            <w:tcW w:w="5600" w:type="dxa"/>
            <w:tcBorders>
              <w:bottom w:val="single" w:sz="8" w:space="0" w:color="005E2C"/>
              <w:right w:val="single" w:sz="8" w:space="0" w:color="005E2C"/>
            </w:tcBorders>
            <w:shd w:val="clear" w:color="auto" w:fill="auto"/>
            <w:vAlign w:val="bottom"/>
          </w:tcPr>
          <w:p w14:paraId="3568D167" w14:textId="77777777" w:rsidR="001D64C8" w:rsidRPr="001D64C8" w:rsidRDefault="001D64C8" w:rsidP="001D64C8">
            <w:pPr>
              <w:spacing w:line="20" w:lineRule="exact"/>
              <w:rPr>
                <w:rFonts w:ascii="Lato" w:eastAsia="Times New Roman" w:hAnsi="Lato"/>
                <w:color w:val="000000"/>
                <w:sz w:val="18"/>
                <w:szCs w:val="18"/>
              </w:rPr>
            </w:pPr>
          </w:p>
        </w:tc>
      </w:tr>
      <w:tr w:rsidR="001D64C8" w:rsidRPr="001D64C8" w14:paraId="53F1F37D" w14:textId="77777777" w:rsidTr="001D64C8">
        <w:trPr>
          <w:trHeight w:val="268"/>
        </w:trPr>
        <w:tc>
          <w:tcPr>
            <w:tcW w:w="1880" w:type="dxa"/>
            <w:tcBorders>
              <w:left w:val="single" w:sz="8" w:space="0" w:color="005E2C"/>
            </w:tcBorders>
            <w:shd w:val="clear" w:color="auto" w:fill="auto"/>
            <w:vAlign w:val="bottom"/>
          </w:tcPr>
          <w:p w14:paraId="6708DC71" w14:textId="77777777" w:rsidR="001D64C8" w:rsidRPr="001D64C8" w:rsidRDefault="001D64C8" w:rsidP="001D64C8">
            <w:pPr>
              <w:spacing w:line="0" w:lineRule="atLeast"/>
              <w:rPr>
                <w:rFonts w:ascii="Lato" w:eastAsia="Arial" w:hAnsi="Lato"/>
                <w:color w:val="000000"/>
                <w:sz w:val="18"/>
                <w:szCs w:val="18"/>
              </w:rPr>
            </w:pPr>
            <w:r w:rsidRPr="001D64C8">
              <w:rPr>
                <w:rFonts w:ascii="Lato" w:eastAsia="Arial" w:hAnsi="Lato"/>
                <w:color w:val="000000"/>
                <w:sz w:val="18"/>
                <w:szCs w:val="18"/>
              </w:rPr>
              <w:t>FY 2015</w:t>
            </w:r>
          </w:p>
        </w:tc>
        <w:tc>
          <w:tcPr>
            <w:tcW w:w="3680" w:type="dxa"/>
            <w:tcBorders>
              <w:right w:val="single" w:sz="8" w:space="0" w:color="005E2C"/>
            </w:tcBorders>
            <w:shd w:val="clear" w:color="auto" w:fill="auto"/>
            <w:vAlign w:val="bottom"/>
          </w:tcPr>
          <w:p w14:paraId="59FDC021" w14:textId="77777777" w:rsidR="001D64C8" w:rsidRPr="001D64C8" w:rsidRDefault="001D64C8" w:rsidP="001D64C8">
            <w:pPr>
              <w:spacing w:line="0" w:lineRule="atLeast"/>
              <w:rPr>
                <w:rFonts w:ascii="Lato" w:eastAsia="Times New Roman" w:hAnsi="Lato"/>
                <w:color w:val="000000"/>
                <w:sz w:val="18"/>
                <w:szCs w:val="18"/>
              </w:rPr>
            </w:pPr>
          </w:p>
        </w:tc>
        <w:tc>
          <w:tcPr>
            <w:tcW w:w="5600" w:type="dxa"/>
            <w:tcBorders>
              <w:right w:val="single" w:sz="8" w:space="0" w:color="005E2C"/>
            </w:tcBorders>
            <w:shd w:val="clear" w:color="auto" w:fill="auto"/>
            <w:vAlign w:val="bottom"/>
          </w:tcPr>
          <w:p w14:paraId="76C08D19" w14:textId="77777777" w:rsidR="001D64C8" w:rsidRPr="001D64C8" w:rsidRDefault="001D64C8" w:rsidP="001D64C8">
            <w:pPr>
              <w:spacing w:line="0" w:lineRule="atLeast"/>
              <w:jc w:val="center"/>
              <w:rPr>
                <w:rFonts w:ascii="Lato" w:eastAsia="Arial" w:hAnsi="Lato"/>
                <w:color w:val="000000"/>
                <w:w w:val="89"/>
                <w:sz w:val="18"/>
                <w:szCs w:val="18"/>
              </w:rPr>
            </w:pPr>
            <w:r w:rsidRPr="001D64C8">
              <w:rPr>
                <w:rFonts w:ascii="Lato" w:eastAsia="Arial" w:hAnsi="Lato"/>
                <w:color w:val="000000"/>
                <w:w w:val="89"/>
                <w:sz w:val="18"/>
                <w:szCs w:val="18"/>
              </w:rPr>
              <w:t>$2,843,000</w:t>
            </w:r>
          </w:p>
        </w:tc>
      </w:tr>
      <w:tr w:rsidR="001D64C8" w:rsidRPr="001D64C8" w14:paraId="647BD9F5" w14:textId="77777777" w:rsidTr="001D64C8">
        <w:trPr>
          <w:trHeight w:val="22"/>
        </w:trPr>
        <w:tc>
          <w:tcPr>
            <w:tcW w:w="1880" w:type="dxa"/>
            <w:tcBorders>
              <w:left w:val="single" w:sz="8" w:space="0" w:color="005E2C"/>
              <w:bottom w:val="single" w:sz="8" w:space="0" w:color="005E2C"/>
            </w:tcBorders>
            <w:shd w:val="clear" w:color="auto" w:fill="auto"/>
            <w:vAlign w:val="bottom"/>
          </w:tcPr>
          <w:p w14:paraId="0416E28C" w14:textId="77777777" w:rsidR="001D64C8" w:rsidRPr="001D64C8" w:rsidRDefault="001D64C8" w:rsidP="001D64C8">
            <w:pPr>
              <w:spacing w:line="20" w:lineRule="exact"/>
              <w:rPr>
                <w:rFonts w:ascii="Lato" w:eastAsia="Times New Roman" w:hAnsi="Lato"/>
                <w:color w:val="000000"/>
                <w:sz w:val="18"/>
                <w:szCs w:val="18"/>
              </w:rPr>
            </w:pPr>
          </w:p>
        </w:tc>
        <w:tc>
          <w:tcPr>
            <w:tcW w:w="3680" w:type="dxa"/>
            <w:tcBorders>
              <w:bottom w:val="single" w:sz="8" w:space="0" w:color="005E2C"/>
              <w:right w:val="single" w:sz="8" w:space="0" w:color="005E2C"/>
            </w:tcBorders>
            <w:shd w:val="clear" w:color="auto" w:fill="auto"/>
            <w:vAlign w:val="bottom"/>
          </w:tcPr>
          <w:p w14:paraId="7CFDCA0E" w14:textId="77777777" w:rsidR="001D64C8" w:rsidRPr="001D64C8" w:rsidRDefault="001D64C8" w:rsidP="001D64C8">
            <w:pPr>
              <w:spacing w:line="20" w:lineRule="exact"/>
              <w:rPr>
                <w:rFonts w:ascii="Lato" w:eastAsia="Times New Roman" w:hAnsi="Lato"/>
                <w:color w:val="000000"/>
                <w:sz w:val="18"/>
                <w:szCs w:val="18"/>
              </w:rPr>
            </w:pPr>
          </w:p>
        </w:tc>
        <w:tc>
          <w:tcPr>
            <w:tcW w:w="5600" w:type="dxa"/>
            <w:tcBorders>
              <w:bottom w:val="single" w:sz="8" w:space="0" w:color="005E2C"/>
              <w:right w:val="single" w:sz="8" w:space="0" w:color="005E2C"/>
            </w:tcBorders>
            <w:shd w:val="clear" w:color="auto" w:fill="auto"/>
            <w:vAlign w:val="bottom"/>
          </w:tcPr>
          <w:p w14:paraId="2F3D79F1" w14:textId="77777777" w:rsidR="001D64C8" w:rsidRPr="001D64C8" w:rsidRDefault="001D64C8" w:rsidP="001D64C8">
            <w:pPr>
              <w:spacing w:line="20" w:lineRule="exact"/>
              <w:rPr>
                <w:rFonts w:ascii="Lato" w:eastAsia="Times New Roman" w:hAnsi="Lato"/>
                <w:color w:val="000000"/>
                <w:sz w:val="18"/>
                <w:szCs w:val="18"/>
              </w:rPr>
            </w:pPr>
          </w:p>
        </w:tc>
      </w:tr>
    </w:tbl>
    <w:p w14:paraId="1CC5EE63" w14:textId="77777777" w:rsidR="001D64C8" w:rsidRPr="001D64C8" w:rsidRDefault="001D64C8" w:rsidP="001D64C8">
      <w:pPr>
        <w:spacing w:line="233" w:lineRule="exact"/>
        <w:rPr>
          <w:rFonts w:ascii="Lato" w:eastAsia="Times New Roman" w:hAnsi="Lato"/>
          <w:color w:val="000000"/>
          <w:sz w:val="18"/>
          <w:szCs w:val="18"/>
        </w:rPr>
      </w:pPr>
      <w:bookmarkStart w:id="0" w:name="page2"/>
      <w:bookmarkEnd w:id="0"/>
    </w:p>
    <w:p w14:paraId="7305147D" w14:textId="77777777" w:rsidR="00C40514" w:rsidRDefault="00C40514" w:rsidP="001D64C8">
      <w:pPr>
        <w:spacing w:line="0" w:lineRule="atLeast"/>
        <w:rPr>
          <w:rFonts w:ascii="Lato" w:eastAsia="Arial" w:hAnsi="Lato"/>
          <w:b/>
          <w:color w:val="000000"/>
        </w:rPr>
      </w:pPr>
    </w:p>
    <w:p w14:paraId="26210C67" w14:textId="77777777" w:rsidR="00C40514" w:rsidRDefault="00C40514" w:rsidP="001D64C8">
      <w:pPr>
        <w:spacing w:line="0" w:lineRule="atLeast"/>
        <w:rPr>
          <w:rFonts w:ascii="Lato" w:eastAsia="Arial" w:hAnsi="Lato"/>
          <w:b/>
          <w:color w:val="000000"/>
        </w:rPr>
      </w:pPr>
    </w:p>
    <w:p w14:paraId="6F891796" w14:textId="77777777" w:rsidR="00C40514" w:rsidRDefault="00C40514" w:rsidP="001D64C8">
      <w:pPr>
        <w:spacing w:line="0" w:lineRule="atLeast"/>
        <w:rPr>
          <w:rFonts w:ascii="Lato" w:eastAsia="Arial" w:hAnsi="Lato"/>
          <w:b/>
          <w:color w:val="000000"/>
        </w:rPr>
      </w:pPr>
    </w:p>
    <w:p w14:paraId="2D1DFB7A" w14:textId="77777777" w:rsidR="00C40514" w:rsidRDefault="00C40514" w:rsidP="001D64C8">
      <w:pPr>
        <w:spacing w:line="0" w:lineRule="atLeast"/>
        <w:rPr>
          <w:rFonts w:ascii="Lato" w:eastAsia="Arial" w:hAnsi="Lato"/>
          <w:b/>
          <w:color w:val="000000"/>
        </w:rPr>
      </w:pPr>
    </w:p>
    <w:p w14:paraId="6869E203" w14:textId="77777777" w:rsidR="00C40514" w:rsidRDefault="00C40514" w:rsidP="001D64C8">
      <w:pPr>
        <w:spacing w:line="0" w:lineRule="atLeast"/>
        <w:rPr>
          <w:rFonts w:ascii="Lato" w:eastAsia="Arial" w:hAnsi="Lato"/>
          <w:b/>
          <w:color w:val="000000"/>
        </w:rPr>
      </w:pPr>
    </w:p>
    <w:p w14:paraId="31545B94" w14:textId="77777777" w:rsidR="00C40514" w:rsidRDefault="00C40514" w:rsidP="001D64C8">
      <w:pPr>
        <w:spacing w:line="0" w:lineRule="atLeast"/>
        <w:rPr>
          <w:rFonts w:ascii="Lato" w:eastAsia="Arial" w:hAnsi="Lato"/>
          <w:b/>
          <w:color w:val="000000"/>
        </w:rPr>
      </w:pPr>
    </w:p>
    <w:p w14:paraId="0D63F73F" w14:textId="77777777" w:rsidR="00C40514" w:rsidRDefault="00C40514" w:rsidP="001D64C8">
      <w:pPr>
        <w:spacing w:line="0" w:lineRule="atLeast"/>
        <w:rPr>
          <w:rFonts w:ascii="Lato" w:eastAsia="Arial" w:hAnsi="Lato"/>
          <w:b/>
          <w:color w:val="000000"/>
        </w:rPr>
      </w:pPr>
    </w:p>
    <w:p w14:paraId="3A0F7209" w14:textId="77777777" w:rsidR="00C40514" w:rsidRDefault="00C40514" w:rsidP="001D64C8">
      <w:pPr>
        <w:spacing w:line="0" w:lineRule="atLeast"/>
        <w:rPr>
          <w:rFonts w:ascii="Lato" w:eastAsia="Arial" w:hAnsi="Lato"/>
          <w:b/>
          <w:color w:val="000000"/>
        </w:rPr>
      </w:pPr>
    </w:p>
    <w:p w14:paraId="705708CE" w14:textId="0D957753" w:rsidR="001D64C8" w:rsidRPr="001D64C8" w:rsidRDefault="001D64C8" w:rsidP="001D64C8">
      <w:pPr>
        <w:spacing w:line="0" w:lineRule="atLeast"/>
        <w:rPr>
          <w:rFonts w:ascii="Lato" w:eastAsia="Arial" w:hAnsi="Lato"/>
          <w:b/>
          <w:color w:val="000000"/>
        </w:rPr>
      </w:pPr>
      <w:r w:rsidRPr="001D64C8">
        <w:rPr>
          <w:rFonts w:ascii="Lato" w:eastAsia="Arial" w:hAnsi="Lato"/>
          <w:b/>
          <w:color w:val="000000"/>
        </w:rPr>
        <w:t>Funding at Work</w:t>
      </w:r>
    </w:p>
    <w:p w14:paraId="55F9B38E" w14:textId="77777777" w:rsidR="001D64C8" w:rsidRPr="001D64C8" w:rsidRDefault="001D64C8" w:rsidP="001D64C8">
      <w:pPr>
        <w:spacing w:line="81" w:lineRule="exact"/>
        <w:rPr>
          <w:rFonts w:ascii="Lato" w:eastAsia="Times New Roman" w:hAnsi="Lato"/>
          <w:color w:val="000000"/>
        </w:rPr>
      </w:pPr>
    </w:p>
    <w:p w14:paraId="676A3E01" w14:textId="5B500143" w:rsidR="001D64C8" w:rsidRDefault="001D64C8" w:rsidP="001D64C8">
      <w:pPr>
        <w:spacing w:line="0" w:lineRule="atLeast"/>
        <w:rPr>
          <w:rFonts w:ascii="Lato" w:eastAsia="Arial" w:hAnsi="Lato"/>
          <w:b/>
          <w:color w:val="000000"/>
        </w:rPr>
      </w:pPr>
      <w:r w:rsidRPr="001D64C8">
        <w:rPr>
          <w:rFonts w:ascii="Lato" w:eastAsia="Arial" w:hAnsi="Lato"/>
          <w:b/>
          <w:color w:val="000000"/>
        </w:rPr>
        <w:t>Local - Crook County, Oregon</w:t>
      </w:r>
    </w:p>
    <w:p w14:paraId="274D3BB6" w14:textId="77777777" w:rsidR="00C40514" w:rsidRPr="001D64C8" w:rsidRDefault="00C40514" w:rsidP="001D64C8">
      <w:pPr>
        <w:spacing w:line="0" w:lineRule="atLeast"/>
        <w:rPr>
          <w:rFonts w:ascii="Lato" w:eastAsia="Arial" w:hAnsi="Lato"/>
          <w:b/>
          <w:color w:val="000000"/>
        </w:rPr>
      </w:pPr>
    </w:p>
    <w:p w14:paraId="71D98A05" w14:textId="77777777" w:rsidR="001D64C8" w:rsidRPr="001D64C8" w:rsidRDefault="001D64C8" w:rsidP="001D64C8">
      <w:pPr>
        <w:spacing w:line="58" w:lineRule="exact"/>
        <w:rPr>
          <w:rFonts w:ascii="Lato" w:eastAsia="Times New Roman" w:hAnsi="Lato"/>
          <w:color w:val="000000"/>
          <w:sz w:val="18"/>
          <w:szCs w:val="18"/>
        </w:rPr>
      </w:pPr>
    </w:p>
    <w:p w14:paraId="4190E3F8" w14:textId="77777777" w:rsidR="001D64C8" w:rsidRPr="001D64C8" w:rsidRDefault="001D64C8" w:rsidP="001D64C8">
      <w:pPr>
        <w:spacing w:line="291" w:lineRule="auto"/>
        <w:ind w:right="220"/>
        <w:rPr>
          <w:rFonts w:ascii="Lato" w:eastAsia="Arial" w:hAnsi="Lato"/>
          <w:color w:val="000000"/>
          <w:sz w:val="18"/>
          <w:szCs w:val="18"/>
        </w:rPr>
      </w:pPr>
      <w:r w:rsidRPr="001D64C8">
        <w:rPr>
          <w:rFonts w:ascii="Lato" w:eastAsia="Arial" w:hAnsi="Lato"/>
          <w:color w:val="000000"/>
          <w:sz w:val="18"/>
          <w:szCs w:val="18"/>
        </w:rPr>
        <w:t>Small amounts of federal support for HIAs have led to big changes for rural communities. For example, with only $15,000 in CDC funding, Crook County, Oregon, used its HIA data to make a case for improved pedestrian and bicycle paths. CDC funding resulted in policy and infrastructure changes that improved pedestrian and bicycle safety around schools and road crossings. As a result, the county seat received $500,000 from the state Department of Transportation to implement the HIA recommendations.</w:t>
      </w:r>
    </w:p>
    <w:p w14:paraId="6E866833" w14:textId="77777777" w:rsidR="001D64C8" w:rsidRPr="001D64C8" w:rsidRDefault="001D64C8" w:rsidP="001D64C8">
      <w:pPr>
        <w:spacing w:line="129" w:lineRule="exact"/>
        <w:rPr>
          <w:rFonts w:ascii="Lato" w:eastAsia="Times New Roman" w:hAnsi="Lato"/>
          <w:color w:val="000000"/>
          <w:sz w:val="18"/>
          <w:szCs w:val="18"/>
        </w:rPr>
      </w:pPr>
    </w:p>
    <w:p w14:paraId="355854D4" w14:textId="58F87CD3" w:rsidR="001D64C8" w:rsidRDefault="001D64C8" w:rsidP="001D64C8">
      <w:pPr>
        <w:spacing w:line="0" w:lineRule="atLeast"/>
        <w:rPr>
          <w:rFonts w:ascii="Lato" w:eastAsia="Arial" w:hAnsi="Lato"/>
          <w:b/>
          <w:color w:val="000000"/>
        </w:rPr>
      </w:pPr>
      <w:r w:rsidRPr="001D64C8">
        <w:rPr>
          <w:rFonts w:ascii="Lato" w:eastAsia="Arial" w:hAnsi="Lato"/>
          <w:b/>
          <w:color w:val="000000"/>
        </w:rPr>
        <w:t>Local - Douglas County (Omaha), Nebraska</w:t>
      </w:r>
    </w:p>
    <w:p w14:paraId="4FD97DF9" w14:textId="77777777" w:rsidR="00C40514" w:rsidRPr="001D64C8" w:rsidRDefault="00C40514" w:rsidP="001D64C8">
      <w:pPr>
        <w:spacing w:line="0" w:lineRule="atLeast"/>
        <w:rPr>
          <w:rFonts w:ascii="Lato" w:eastAsia="Arial" w:hAnsi="Lato"/>
          <w:b/>
          <w:color w:val="000000"/>
        </w:rPr>
      </w:pPr>
    </w:p>
    <w:p w14:paraId="18BB1CDD" w14:textId="77777777" w:rsidR="001D64C8" w:rsidRPr="001D64C8" w:rsidRDefault="001D64C8" w:rsidP="001D64C8">
      <w:pPr>
        <w:spacing w:line="11" w:lineRule="exact"/>
        <w:rPr>
          <w:rFonts w:ascii="Lato" w:eastAsia="Times New Roman" w:hAnsi="Lato"/>
          <w:color w:val="000000"/>
          <w:sz w:val="18"/>
          <w:szCs w:val="18"/>
        </w:rPr>
      </w:pPr>
    </w:p>
    <w:p w14:paraId="5D4F0793" w14:textId="77777777" w:rsidR="001D64C8" w:rsidRPr="001D64C8" w:rsidRDefault="001D64C8" w:rsidP="001D64C8">
      <w:pPr>
        <w:spacing w:line="287" w:lineRule="auto"/>
        <w:ind w:right="1320"/>
        <w:rPr>
          <w:rFonts w:ascii="Lato" w:eastAsia="Arial" w:hAnsi="Lato"/>
          <w:color w:val="000000"/>
          <w:sz w:val="18"/>
          <w:szCs w:val="18"/>
        </w:rPr>
      </w:pPr>
      <w:r w:rsidRPr="001D64C8">
        <w:rPr>
          <w:rFonts w:ascii="Lato" w:eastAsia="Arial" w:hAnsi="Lato"/>
          <w:color w:val="000000"/>
          <w:sz w:val="18"/>
          <w:szCs w:val="18"/>
        </w:rPr>
        <w:t>A CDC-funded HIA led to the county reducing the number of lanes on a dangerous street, which improved the safety of the 15,000 people who use it each day, potentially reducing motor vehicle crashes by 50 per year.</w:t>
      </w:r>
    </w:p>
    <w:p w14:paraId="3BE28292" w14:textId="77777777" w:rsidR="001D64C8" w:rsidRPr="001D64C8" w:rsidRDefault="001D64C8" w:rsidP="001D64C8">
      <w:pPr>
        <w:spacing w:line="130" w:lineRule="exact"/>
        <w:rPr>
          <w:rFonts w:ascii="Lato" w:eastAsia="Times New Roman" w:hAnsi="Lato"/>
          <w:color w:val="000000"/>
        </w:rPr>
      </w:pPr>
    </w:p>
    <w:p w14:paraId="7BB7F1A7" w14:textId="77777777" w:rsidR="001D64C8" w:rsidRPr="001D64C8" w:rsidRDefault="001D64C8" w:rsidP="001D64C8">
      <w:pPr>
        <w:spacing w:line="0" w:lineRule="atLeast"/>
        <w:rPr>
          <w:rFonts w:ascii="Lato" w:eastAsia="Arial" w:hAnsi="Lato"/>
          <w:b/>
          <w:color w:val="000000"/>
        </w:rPr>
      </w:pPr>
      <w:r w:rsidRPr="001D64C8">
        <w:rPr>
          <w:rFonts w:ascii="Lato" w:eastAsia="Arial" w:hAnsi="Lato"/>
          <w:b/>
          <w:color w:val="000000"/>
        </w:rPr>
        <w:t>Regional - Nashville, Tennessee</w:t>
      </w:r>
    </w:p>
    <w:p w14:paraId="5ABE92F8" w14:textId="65C292B2" w:rsidR="001D64C8" w:rsidRDefault="001D64C8" w:rsidP="001D64C8">
      <w:pPr>
        <w:spacing w:line="58" w:lineRule="exact"/>
        <w:rPr>
          <w:rFonts w:ascii="Lato" w:eastAsia="Times New Roman" w:hAnsi="Lato"/>
          <w:color w:val="000000"/>
          <w:sz w:val="18"/>
          <w:szCs w:val="18"/>
        </w:rPr>
      </w:pPr>
    </w:p>
    <w:p w14:paraId="74829D50" w14:textId="77777777" w:rsidR="00C40514" w:rsidRPr="001D64C8" w:rsidRDefault="00C40514" w:rsidP="001D64C8">
      <w:pPr>
        <w:spacing w:line="58" w:lineRule="exact"/>
        <w:rPr>
          <w:rFonts w:ascii="Lato" w:eastAsia="Times New Roman" w:hAnsi="Lato"/>
          <w:color w:val="000000"/>
          <w:sz w:val="18"/>
          <w:szCs w:val="18"/>
        </w:rPr>
      </w:pPr>
    </w:p>
    <w:p w14:paraId="5C19254F" w14:textId="2500E9D6" w:rsidR="001D64C8" w:rsidRPr="001D64C8" w:rsidRDefault="001D64C8" w:rsidP="001D64C8">
      <w:pPr>
        <w:spacing w:line="268" w:lineRule="auto"/>
        <w:ind w:right="480"/>
        <w:rPr>
          <w:rFonts w:ascii="Lato" w:eastAsia="Arial" w:hAnsi="Lato"/>
          <w:color w:val="000000"/>
          <w:sz w:val="18"/>
          <w:szCs w:val="18"/>
        </w:rPr>
      </w:pPr>
      <w:r w:rsidRPr="001D64C8">
        <w:rPr>
          <w:rFonts w:ascii="Lato" w:eastAsia="Arial" w:hAnsi="Lato"/>
          <w:color w:val="000000"/>
          <w:sz w:val="18"/>
          <w:szCs w:val="18"/>
        </w:rPr>
        <w:t>CDC provided technical assistance to the Nashville Metropolitan Planning Organization in two key areas that had substantial impact. First, after health was added as a criterion for selecting transportation projects, the percentage of funded projects that included pedestrian or bicyclist infrastructure increased from 2% to &gt;70%. Second, results from a robust transportation and health model found that increases in walking and bicycling resulting from changes to Nashville’s transportation infrastructure could save 70 lives and $30 million per year. The assistance BEHI provided will help the Nashville MPO prioritize how it allocates approximately $6 billion of transportation funding over the next 20 years.</w:t>
      </w:r>
    </w:p>
    <w:p w14:paraId="4BB93325" w14:textId="51DA006B" w:rsidR="001D64C8" w:rsidRDefault="001D64C8" w:rsidP="001D64C8">
      <w:pPr>
        <w:spacing w:line="149" w:lineRule="exact"/>
        <w:rPr>
          <w:rFonts w:ascii="Lato" w:eastAsia="Times New Roman" w:hAnsi="Lato"/>
          <w:color w:val="000000"/>
          <w:sz w:val="18"/>
          <w:szCs w:val="18"/>
        </w:rPr>
      </w:pPr>
    </w:p>
    <w:p w14:paraId="334EFA8A" w14:textId="77777777" w:rsidR="00C40514" w:rsidRPr="001D64C8" w:rsidRDefault="00C40514" w:rsidP="001D64C8">
      <w:pPr>
        <w:spacing w:line="149" w:lineRule="exact"/>
        <w:rPr>
          <w:rFonts w:ascii="Lato" w:eastAsia="Times New Roman" w:hAnsi="Lato"/>
          <w:color w:val="000000"/>
          <w:sz w:val="18"/>
          <w:szCs w:val="18"/>
        </w:rPr>
      </w:pPr>
    </w:p>
    <w:p w14:paraId="1AEBFE6A" w14:textId="77777777" w:rsidR="001D64C8" w:rsidRPr="001D64C8" w:rsidRDefault="001D64C8" w:rsidP="001D64C8">
      <w:pPr>
        <w:spacing w:line="0" w:lineRule="atLeast"/>
        <w:rPr>
          <w:rFonts w:ascii="Lato" w:eastAsia="Arial" w:hAnsi="Lato"/>
          <w:b/>
          <w:color w:val="000000"/>
        </w:rPr>
      </w:pPr>
      <w:r w:rsidRPr="001D64C8">
        <w:rPr>
          <w:rFonts w:ascii="Lato" w:eastAsia="Arial" w:hAnsi="Lato"/>
          <w:b/>
          <w:color w:val="000000"/>
        </w:rPr>
        <w:t>National</w:t>
      </w:r>
    </w:p>
    <w:p w14:paraId="6A8BF887" w14:textId="77EE48A9" w:rsidR="001D64C8" w:rsidRDefault="001D64C8" w:rsidP="001D64C8">
      <w:pPr>
        <w:spacing w:line="58" w:lineRule="exact"/>
        <w:rPr>
          <w:rFonts w:ascii="Lato" w:eastAsia="Times New Roman" w:hAnsi="Lato"/>
          <w:color w:val="000000"/>
          <w:sz w:val="18"/>
          <w:szCs w:val="18"/>
        </w:rPr>
      </w:pPr>
    </w:p>
    <w:p w14:paraId="0B667502" w14:textId="77777777" w:rsidR="00C40514" w:rsidRPr="001D64C8" w:rsidRDefault="00C40514" w:rsidP="001D64C8">
      <w:pPr>
        <w:spacing w:line="58" w:lineRule="exact"/>
        <w:rPr>
          <w:rFonts w:ascii="Lato" w:eastAsia="Times New Roman" w:hAnsi="Lato"/>
          <w:color w:val="000000"/>
          <w:sz w:val="18"/>
          <w:szCs w:val="18"/>
        </w:rPr>
      </w:pPr>
    </w:p>
    <w:p w14:paraId="16CA52F3" w14:textId="77777777" w:rsidR="001D64C8" w:rsidRPr="001D64C8" w:rsidRDefault="001D64C8" w:rsidP="001D64C8">
      <w:pPr>
        <w:spacing w:line="254" w:lineRule="auto"/>
        <w:ind w:right="340"/>
        <w:rPr>
          <w:rFonts w:ascii="Lato" w:eastAsia="Arial" w:hAnsi="Lato"/>
          <w:color w:val="000000"/>
          <w:sz w:val="18"/>
          <w:szCs w:val="18"/>
        </w:rPr>
      </w:pPr>
      <w:r w:rsidRPr="001D64C8">
        <w:rPr>
          <w:rFonts w:ascii="Lato" w:eastAsia="Arial" w:hAnsi="Lato"/>
          <w:color w:val="000000"/>
          <w:sz w:val="18"/>
          <w:szCs w:val="18"/>
        </w:rPr>
        <w:t>CDC partners with the Alliance for Bicycling and Walking to publish with the biennial Benchmarking Report. The report collects and analyzes data on bicycling and walking behavior, policies, and infrastructure in every state and the 52 most populated U.S. cities. Since the report’s first publication in 2007, at least 42 jurisdictions with populations totaling 25 million people have used it as a reference in considering policy changes and informing stakeholders.</w:t>
      </w:r>
    </w:p>
    <w:p w14:paraId="196E5343" w14:textId="77777777" w:rsidR="001D64C8" w:rsidRPr="001D64C8" w:rsidRDefault="001D64C8" w:rsidP="001D64C8">
      <w:pPr>
        <w:spacing w:line="200" w:lineRule="exact"/>
        <w:rPr>
          <w:rFonts w:ascii="Lato" w:eastAsia="Times New Roman" w:hAnsi="Lato"/>
          <w:color w:val="000000"/>
          <w:sz w:val="18"/>
          <w:szCs w:val="18"/>
        </w:rPr>
      </w:pPr>
    </w:p>
    <w:p w14:paraId="387CFDB1" w14:textId="77777777" w:rsidR="001D64C8" w:rsidRPr="001D64C8" w:rsidRDefault="001D64C8" w:rsidP="001D64C8">
      <w:pPr>
        <w:spacing w:line="308" w:lineRule="exact"/>
        <w:rPr>
          <w:rFonts w:ascii="Lato" w:eastAsia="Times New Roman" w:hAnsi="Lato"/>
          <w:color w:val="000000"/>
          <w:sz w:val="18"/>
          <w:szCs w:val="18"/>
        </w:rPr>
      </w:pPr>
    </w:p>
    <w:p w14:paraId="2E1D4CAA" w14:textId="77777777" w:rsidR="001D64C8" w:rsidRPr="001D64C8" w:rsidRDefault="001D64C8" w:rsidP="001D64C8">
      <w:pPr>
        <w:spacing w:line="283" w:lineRule="auto"/>
        <w:ind w:right="220"/>
        <w:rPr>
          <w:rFonts w:ascii="Lato" w:eastAsia="Arial" w:hAnsi="Lato"/>
          <w:color w:val="000000"/>
          <w:sz w:val="18"/>
          <w:szCs w:val="18"/>
        </w:rPr>
      </w:pPr>
      <w:r w:rsidRPr="001D64C8">
        <w:rPr>
          <w:rFonts w:ascii="Lato" w:eastAsia="Arial" w:hAnsi="Lato"/>
          <w:color w:val="000000"/>
          <w:sz w:val="18"/>
          <w:szCs w:val="18"/>
        </w:rPr>
        <w:t>CDC’s National Center for Environmental Health (NCEH) is committed to protecting people from environmental hazards. NCEH responds to disasters and toxic exposures, educates communities on how to stay safe and healthy, and collects and leverages environmental data to improve public health. NCEH maximizes the impact of every dollar by investing in illness prevention.</w:t>
      </w:r>
    </w:p>
    <w:p w14:paraId="3512D5AC" w14:textId="77777777" w:rsidR="001D64C8" w:rsidRPr="001D64C8" w:rsidRDefault="001D64C8" w:rsidP="001D64C8">
      <w:pPr>
        <w:spacing w:line="283" w:lineRule="auto"/>
        <w:ind w:right="220"/>
        <w:rPr>
          <w:rFonts w:ascii="Lato" w:eastAsia="Arial" w:hAnsi="Lato"/>
          <w:color w:val="000000"/>
          <w:sz w:val="18"/>
          <w:szCs w:val="18"/>
        </w:rPr>
        <w:sectPr w:rsidR="001D64C8" w:rsidRPr="001D64C8" w:rsidSect="001D64C8">
          <w:type w:val="continuous"/>
          <w:pgSz w:w="12240" w:h="15840"/>
          <w:pgMar w:top="1440" w:right="540" w:bottom="82" w:left="540" w:header="0" w:footer="0" w:gutter="0"/>
          <w:cols w:space="0" w:equalWidth="0">
            <w:col w:w="11160"/>
          </w:cols>
          <w:docGrid w:linePitch="360"/>
        </w:sectPr>
      </w:pPr>
    </w:p>
    <w:p w14:paraId="2E9BFF01" w14:textId="77777777" w:rsidR="001D64C8" w:rsidRPr="001D64C8" w:rsidRDefault="001D64C8" w:rsidP="001D64C8">
      <w:pPr>
        <w:spacing w:line="138" w:lineRule="exact"/>
        <w:rPr>
          <w:rFonts w:ascii="Lato" w:eastAsia="Times New Roman" w:hAnsi="Lato"/>
          <w:color w:val="000000"/>
          <w:sz w:val="18"/>
          <w:szCs w:val="18"/>
        </w:rPr>
      </w:pPr>
    </w:p>
    <w:p w14:paraId="277788F7" w14:textId="356D63F0" w:rsidR="00402F9D" w:rsidRPr="001D64C8" w:rsidRDefault="00402F9D" w:rsidP="001D64C8">
      <w:pPr>
        <w:spacing w:line="0" w:lineRule="atLeast"/>
        <w:rPr>
          <w:rFonts w:ascii="Lato" w:eastAsia="Arial" w:hAnsi="Lato"/>
          <w:color w:val="000000"/>
          <w:sz w:val="18"/>
          <w:szCs w:val="18"/>
        </w:rPr>
        <w:sectPr w:rsidR="00402F9D" w:rsidRPr="001D64C8">
          <w:type w:val="continuous"/>
          <w:pgSz w:w="12240" w:h="15840"/>
          <w:pgMar w:top="650" w:right="11020" w:bottom="191" w:left="720" w:header="0" w:footer="0" w:gutter="0"/>
          <w:cols w:space="0" w:equalWidth="0">
            <w:col w:w="500"/>
          </w:cols>
          <w:docGrid w:linePitch="360"/>
        </w:sectPr>
      </w:pPr>
    </w:p>
    <w:p w14:paraId="14955504" w14:textId="77777777" w:rsidR="00402F9D" w:rsidRPr="001D64C8" w:rsidRDefault="00402F9D" w:rsidP="001D64C8">
      <w:pPr>
        <w:spacing w:line="200" w:lineRule="exact"/>
        <w:rPr>
          <w:rFonts w:ascii="Lato" w:eastAsia="Times New Roman" w:hAnsi="Lato"/>
          <w:color w:val="000000" w:themeColor="text1"/>
          <w:sz w:val="18"/>
          <w:szCs w:val="18"/>
        </w:rPr>
      </w:pPr>
    </w:p>
    <w:p w14:paraId="3FEB4216" w14:textId="77777777" w:rsidR="00402F9D" w:rsidRPr="001D64C8" w:rsidRDefault="00402F9D" w:rsidP="001D64C8">
      <w:pPr>
        <w:spacing w:line="200" w:lineRule="exact"/>
        <w:rPr>
          <w:rFonts w:ascii="Lato" w:eastAsia="Times New Roman" w:hAnsi="Lato"/>
          <w:color w:val="000000" w:themeColor="text1"/>
          <w:sz w:val="18"/>
          <w:szCs w:val="18"/>
        </w:rPr>
      </w:pPr>
    </w:p>
    <w:p w14:paraId="76C495F7" w14:textId="77777777" w:rsidR="00402F9D" w:rsidRPr="001D64C8" w:rsidRDefault="00402F9D" w:rsidP="001D64C8">
      <w:pPr>
        <w:spacing w:line="138" w:lineRule="exact"/>
        <w:rPr>
          <w:rFonts w:ascii="Lato" w:eastAsia="Times New Roman" w:hAnsi="Lato"/>
          <w:color w:val="000000" w:themeColor="text1"/>
          <w:sz w:val="18"/>
          <w:szCs w:val="18"/>
        </w:rPr>
      </w:pPr>
      <w:bookmarkStart w:id="1" w:name="_Hlk99308287"/>
    </w:p>
    <w:p w14:paraId="6EBA19D7" w14:textId="77777777" w:rsidR="00402F9D" w:rsidRPr="001D64C8" w:rsidRDefault="008E1AD0" w:rsidP="001D64C8">
      <w:pPr>
        <w:spacing w:line="0" w:lineRule="atLeast"/>
        <w:rPr>
          <w:rFonts w:ascii="Lato" w:eastAsia="Arial" w:hAnsi="Lato"/>
          <w:color w:val="000000" w:themeColor="text1"/>
          <w:sz w:val="18"/>
          <w:szCs w:val="18"/>
        </w:rPr>
      </w:pPr>
      <w:r w:rsidRPr="001D64C8">
        <w:rPr>
          <w:rFonts w:ascii="Lato" w:eastAsia="Arial" w:hAnsi="Lato"/>
          <w:color w:val="000000" w:themeColor="text1"/>
          <w:sz w:val="18"/>
          <w:szCs w:val="18"/>
        </w:rPr>
        <w:t>2</w:t>
      </w:r>
    </w:p>
    <w:bookmarkEnd w:id="1"/>
    <w:p w14:paraId="55CC3EC7" w14:textId="77777777" w:rsidR="001D64C8" w:rsidRPr="001D64C8" w:rsidRDefault="001D64C8" w:rsidP="001D64C8">
      <w:pPr>
        <w:spacing w:line="0" w:lineRule="atLeast"/>
        <w:rPr>
          <w:rFonts w:ascii="Lato" w:eastAsia="Arial" w:hAnsi="Lato"/>
          <w:color w:val="000000" w:themeColor="text1"/>
          <w:sz w:val="18"/>
          <w:szCs w:val="18"/>
        </w:rPr>
      </w:pPr>
    </w:p>
    <w:sectPr w:rsidR="001D64C8" w:rsidRPr="001D64C8">
      <w:type w:val="continuous"/>
      <w:pgSz w:w="12240" w:h="15840"/>
      <w:pgMar w:top="1440" w:right="6080" w:bottom="82" w:left="6080" w:header="0" w:footer="0" w:gutter="0"/>
      <w:cols w:space="0" w:equalWidth="0">
        <w:col w:w="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334872"/>
    <w:lvl w:ilvl="0" w:tplc="1F382114">
      <w:start w:val="1"/>
      <w:numFmt w:val="bullet"/>
      <w:lvlText w:val="•"/>
      <w:lvlJc w:val="left"/>
    </w:lvl>
    <w:lvl w:ilvl="1" w:tplc="80D603C6">
      <w:start w:val="1"/>
      <w:numFmt w:val="bullet"/>
      <w:lvlText w:val="\endash \e"/>
      <w:lvlJc w:val="left"/>
    </w:lvl>
    <w:lvl w:ilvl="2" w:tplc="153E4774">
      <w:start w:val="1"/>
      <w:numFmt w:val="bullet"/>
      <w:lvlText w:val=""/>
      <w:lvlJc w:val="left"/>
    </w:lvl>
    <w:lvl w:ilvl="3" w:tplc="AB90440C">
      <w:start w:val="1"/>
      <w:numFmt w:val="bullet"/>
      <w:lvlText w:val=""/>
      <w:lvlJc w:val="left"/>
    </w:lvl>
    <w:lvl w:ilvl="4" w:tplc="F3E89950">
      <w:start w:val="1"/>
      <w:numFmt w:val="bullet"/>
      <w:lvlText w:val=""/>
      <w:lvlJc w:val="left"/>
    </w:lvl>
    <w:lvl w:ilvl="5" w:tplc="2C66CA3E">
      <w:start w:val="1"/>
      <w:numFmt w:val="bullet"/>
      <w:lvlText w:val=""/>
      <w:lvlJc w:val="left"/>
    </w:lvl>
    <w:lvl w:ilvl="6" w:tplc="5A98D8A0">
      <w:start w:val="1"/>
      <w:numFmt w:val="bullet"/>
      <w:lvlText w:val=""/>
      <w:lvlJc w:val="left"/>
    </w:lvl>
    <w:lvl w:ilvl="7" w:tplc="0BECC54E">
      <w:start w:val="1"/>
      <w:numFmt w:val="bullet"/>
      <w:lvlText w:val=""/>
      <w:lvlJc w:val="left"/>
    </w:lvl>
    <w:lvl w:ilvl="8" w:tplc="B4EC6EBC">
      <w:start w:val="1"/>
      <w:numFmt w:val="bullet"/>
      <w:lvlText w:val=""/>
      <w:lvlJc w:val="left"/>
    </w:lvl>
  </w:abstractNum>
  <w:abstractNum w:abstractNumId="1" w15:restartNumberingAfterBreak="0">
    <w:nsid w:val="00000002"/>
    <w:multiLevelType w:val="hybridMultilevel"/>
    <w:tmpl w:val="74B0DC50"/>
    <w:lvl w:ilvl="0" w:tplc="A6FC8F14">
      <w:start w:val="1"/>
      <w:numFmt w:val="bullet"/>
      <w:lvlText w:val="•"/>
      <w:lvlJc w:val="left"/>
    </w:lvl>
    <w:lvl w:ilvl="1" w:tplc="7C0697F4">
      <w:start w:val="1"/>
      <w:numFmt w:val="bullet"/>
      <w:lvlText w:val=""/>
      <w:lvlJc w:val="left"/>
    </w:lvl>
    <w:lvl w:ilvl="2" w:tplc="0302B0AA">
      <w:start w:val="1"/>
      <w:numFmt w:val="bullet"/>
      <w:lvlText w:val=""/>
      <w:lvlJc w:val="left"/>
    </w:lvl>
    <w:lvl w:ilvl="3" w:tplc="061474F0">
      <w:start w:val="1"/>
      <w:numFmt w:val="bullet"/>
      <w:lvlText w:val=""/>
      <w:lvlJc w:val="left"/>
    </w:lvl>
    <w:lvl w:ilvl="4" w:tplc="9B4ADA18">
      <w:start w:val="1"/>
      <w:numFmt w:val="bullet"/>
      <w:lvlText w:val=""/>
      <w:lvlJc w:val="left"/>
    </w:lvl>
    <w:lvl w:ilvl="5" w:tplc="6E5C1ACE">
      <w:start w:val="1"/>
      <w:numFmt w:val="bullet"/>
      <w:lvlText w:val=""/>
      <w:lvlJc w:val="left"/>
    </w:lvl>
    <w:lvl w:ilvl="6" w:tplc="97C4D2D8">
      <w:start w:val="1"/>
      <w:numFmt w:val="bullet"/>
      <w:lvlText w:val=""/>
      <w:lvlJc w:val="left"/>
    </w:lvl>
    <w:lvl w:ilvl="7" w:tplc="631224EE">
      <w:start w:val="1"/>
      <w:numFmt w:val="bullet"/>
      <w:lvlText w:val=""/>
      <w:lvlJc w:val="left"/>
    </w:lvl>
    <w:lvl w:ilvl="8" w:tplc="4500900C">
      <w:start w:val="1"/>
      <w:numFmt w:val="bullet"/>
      <w:lvlText w:val=""/>
      <w:lvlJc w:val="left"/>
    </w:lvl>
  </w:abstractNum>
  <w:abstractNum w:abstractNumId="2" w15:restartNumberingAfterBreak="0">
    <w:nsid w:val="00000003"/>
    <w:multiLevelType w:val="hybridMultilevel"/>
    <w:tmpl w:val="19495CFE"/>
    <w:lvl w:ilvl="0" w:tplc="10CCAA9E">
      <w:start w:val="1"/>
      <w:numFmt w:val="bullet"/>
      <w:lvlText w:val="•"/>
      <w:lvlJc w:val="left"/>
    </w:lvl>
    <w:lvl w:ilvl="1" w:tplc="F2F8CAB2">
      <w:start w:val="1"/>
      <w:numFmt w:val="bullet"/>
      <w:lvlText w:val=""/>
      <w:lvlJc w:val="left"/>
    </w:lvl>
    <w:lvl w:ilvl="2" w:tplc="C19E7DD0">
      <w:start w:val="1"/>
      <w:numFmt w:val="bullet"/>
      <w:lvlText w:val=""/>
      <w:lvlJc w:val="left"/>
    </w:lvl>
    <w:lvl w:ilvl="3" w:tplc="23DC1FD2">
      <w:start w:val="1"/>
      <w:numFmt w:val="bullet"/>
      <w:lvlText w:val=""/>
      <w:lvlJc w:val="left"/>
    </w:lvl>
    <w:lvl w:ilvl="4" w:tplc="32B84D46">
      <w:start w:val="1"/>
      <w:numFmt w:val="bullet"/>
      <w:lvlText w:val=""/>
      <w:lvlJc w:val="left"/>
    </w:lvl>
    <w:lvl w:ilvl="5" w:tplc="EA8243FE">
      <w:start w:val="1"/>
      <w:numFmt w:val="bullet"/>
      <w:lvlText w:val=""/>
      <w:lvlJc w:val="left"/>
    </w:lvl>
    <w:lvl w:ilvl="6" w:tplc="D9CC0690">
      <w:start w:val="1"/>
      <w:numFmt w:val="bullet"/>
      <w:lvlText w:val=""/>
      <w:lvlJc w:val="left"/>
    </w:lvl>
    <w:lvl w:ilvl="7" w:tplc="3D14B65A">
      <w:start w:val="1"/>
      <w:numFmt w:val="bullet"/>
      <w:lvlText w:val=""/>
      <w:lvlJc w:val="left"/>
    </w:lvl>
    <w:lvl w:ilvl="8" w:tplc="12D4B982">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4C8"/>
    <w:rsid w:val="001D64C8"/>
    <w:rsid w:val="00402F9D"/>
    <w:rsid w:val="008E1AD0"/>
    <w:rsid w:val="00C40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21B62D"/>
  <w15:chartTrackingRefBased/>
  <w15:docId w15:val="{826E218E-A05C-47E2-8DEA-13440A9A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4C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1811</cp:lastModifiedBy>
  <cp:revision>3</cp:revision>
  <dcterms:created xsi:type="dcterms:W3CDTF">2022-03-28T04:22:00Z</dcterms:created>
  <dcterms:modified xsi:type="dcterms:W3CDTF">2022-03-28T10:01:00Z</dcterms:modified>
</cp:coreProperties>
</file>