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EFB3A6" w14:textId="77777777" w:rsidR="001C538A" w:rsidRPr="00FC6B9C" w:rsidRDefault="001C538A">
      <w:pPr>
        <w:spacing w:line="200" w:lineRule="exact"/>
        <w:rPr>
          <w:rFonts w:ascii="Lato" w:eastAsia="Times New Roman" w:hAnsi="Lato"/>
          <w:sz w:val="24"/>
        </w:rPr>
      </w:pPr>
    </w:p>
    <w:p w14:paraId="7CCBD153" w14:textId="77777777" w:rsidR="001C538A" w:rsidRPr="00FC6B9C" w:rsidRDefault="001C538A">
      <w:pPr>
        <w:spacing w:line="241" w:lineRule="exact"/>
        <w:rPr>
          <w:rFonts w:ascii="Lato" w:eastAsia="Times New Roman" w:hAnsi="Lato"/>
          <w:sz w:val="24"/>
        </w:rPr>
      </w:pPr>
    </w:p>
    <w:p w14:paraId="322A5E41" w14:textId="6CEA3946" w:rsidR="001C538A" w:rsidRPr="00B91229" w:rsidRDefault="00B91229" w:rsidP="00B91229">
      <w:pPr>
        <w:spacing w:line="239" w:lineRule="auto"/>
        <w:rPr>
          <w:rFonts w:ascii="Lato" w:hAnsi="Lato"/>
          <w:b/>
          <w:sz w:val="36"/>
          <w:szCs w:val="24"/>
        </w:rPr>
      </w:pPr>
      <w:r w:rsidRPr="00B91229">
        <w:rPr>
          <w:rFonts w:ascii="Lato" w:hAnsi="Lato"/>
          <w:b/>
          <w:sz w:val="36"/>
          <w:szCs w:val="24"/>
        </w:rPr>
        <w:t xml:space="preserve">             </w:t>
      </w:r>
      <w:r w:rsidR="001C538A" w:rsidRPr="00B91229">
        <w:rPr>
          <w:rFonts w:ascii="Lato" w:hAnsi="Lato"/>
          <w:b/>
          <w:sz w:val="36"/>
          <w:szCs w:val="24"/>
        </w:rPr>
        <w:t>20</w:t>
      </w:r>
      <w:r w:rsidR="00FC6B9C" w:rsidRPr="00B91229">
        <w:rPr>
          <w:rFonts w:ascii="Lato" w:hAnsi="Lato"/>
          <w:b/>
          <w:sz w:val="36"/>
          <w:szCs w:val="24"/>
        </w:rPr>
        <w:t xml:space="preserve">XX </w:t>
      </w:r>
      <w:r w:rsidR="001C538A" w:rsidRPr="00B91229">
        <w:rPr>
          <w:rFonts w:ascii="Lato" w:hAnsi="Lato"/>
          <w:b/>
          <w:sz w:val="36"/>
          <w:szCs w:val="24"/>
        </w:rPr>
        <w:t>REVISED BUSINESS PLAN FACT SHEET</w:t>
      </w:r>
    </w:p>
    <w:p w14:paraId="1E6EBC41" w14:textId="77777777" w:rsidR="001C538A" w:rsidRPr="00FC6B9C" w:rsidRDefault="001C538A">
      <w:pPr>
        <w:spacing w:line="269" w:lineRule="exact"/>
        <w:rPr>
          <w:rFonts w:ascii="Lato" w:eastAsia="Times New Roman" w:hAnsi="Lato"/>
          <w:sz w:val="24"/>
        </w:rPr>
      </w:pPr>
    </w:p>
    <w:p w14:paraId="66D55B8F" w14:textId="77777777" w:rsidR="00B91229" w:rsidRDefault="00B91229">
      <w:pPr>
        <w:spacing w:line="239" w:lineRule="auto"/>
        <w:rPr>
          <w:rFonts w:ascii="Lato" w:hAnsi="Lato"/>
          <w:b/>
          <w:sz w:val="22"/>
        </w:rPr>
      </w:pPr>
    </w:p>
    <w:p w14:paraId="366BB792" w14:textId="77777777" w:rsidR="00B91229" w:rsidRDefault="00B91229">
      <w:pPr>
        <w:spacing w:line="239" w:lineRule="auto"/>
        <w:rPr>
          <w:rFonts w:ascii="Lato" w:hAnsi="Lato"/>
          <w:b/>
          <w:sz w:val="22"/>
        </w:rPr>
      </w:pPr>
    </w:p>
    <w:p w14:paraId="1938DEE2" w14:textId="222667E0" w:rsidR="001C538A" w:rsidRPr="00FC6B9C" w:rsidRDefault="001C538A" w:rsidP="00B91229">
      <w:pPr>
        <w:spacing w:line="360" w:lineRule="auto"/>
        <w:rPr>
          <w:rFonts w:ascii="Lato" w:hAnsi="Lato"/>
          <w:b/>
          <w:sz w:val="22"/>
        </w:rPr>
      </w:pPr>
      <w:r w:rsidRPr="00FC6B9C">
        <w:rPr>
          <w:rFonts w:ascii="Lato" w:hAnsi="Lato"/>
          <w:b/>
          <w:sz w:val="22"/>
        </w:rPr>
        <w:t>BETTER, FASTER, CHEAPER</w:t>
      </w:r>
    </w:p>
    <w:p w14:paraId="35CB52B4" w14:textId="77777777" w:rsidR="001C538A" w:rsidRPr="00FC6B9C" w:rsidRDefault="001C538A" w:rsidP="00B91229">
      <w:pPr>
        <w:spacing w:line="360" w:lineRule="auto"/>
        <w:rPr>
          <w:rFonts w:ascii="Lato" w:eastAsia="Times New Roman" w:hAnsi="Lato"/>
          <w:sz w:val="24"/>
        </w:rPr>
      </w:pPr>
    </w:p>
    <w:p w14:paraId="54308B9F" w14:textId="77777777" w:rsidR="001C538A" w:rsidRPr="00FC6B9C" w:rsidRDefault="001C538A" w:rsidP="00B91229">
      <w:pPr>
        <w:spacing w:line="360" w:lineRule="auto"/>
        <w:rPr>
          <w:rFonts w:ascii="Lato" w:hAnsi="Lato"/>
          <w:sz w:val="22"/>
        </w:rPr>
      </w:pPr>
      <w:r w:rsidRPr="00FC6B9C">
        <w:rPr>
          <w:rFonts w:ascii="Lato" w:hAnsi="Lato"/>
          <w:sz w:val="22"/>
        </w:rPr>
        <w:t>The revised 2012 Business Plan outlines a strategy to improve statewide high-speed rail through:</w:t>
      </w:r>
    </w:p>
    <w:p w14:paraId="6569307F" w14:textId="77777777" w:rsidR="001C538A" w:rsidRPr="00FC6B9C" w:rsidRDefault="001C538A" w:rsidP="00B91229">
      <w:pPr>
        <w:spacing w:line="360" w:lineRule="auto"/>
        <w:rPr>
          <w:rFonts w:ascii="Lato" w:eastAsia="Times New Roman" w:hAnsi="Lato"/>
          <w:sz w:val="24"/>
        </w:rPr>
      </w:pPr>
    </w:p>
    <w:p w14:paraId="0F765AE5" w14:textId="77777777" w:rsidR="001C538A" w:rsidRPr="00B91229" w:rsidRDefault="001C538A" w:rsidP="00B91229">
      <w:pPr>
        <w:pStyle w:val="ListParagraph"/>
        <w:numPr>
          <w:ilvl w:val="0"/>
          <w:numId w:val="5"/>
        </w:numPr>
        <w:tabs>
          <w:tab w:val="left" w:pos="720"/>
        </w:tabs>
        <w:spacing w:line="360" w:lineRule="auto"/>
        <w:jc w:val="both"/>
        <w:rPr>
          <w:rFonts w:ascii="Lato" w:eastAsia="Symbol" w:hAnsi="Lato"/>
          <w:sz w:val="22"/>
        </w:rPr>
      </w:pPr>
      <w:r w:rsidRPr="00B91229">
        <w:rPr>
          <w:rFonts w:ascii="Lato" w:hAnsi="Lato"/>
          <w:b/>
          <w:i/>
          <w:sz w:val="22"/>
        </w:rPr>
        <w:t xml:space="preserve">Better </w:t>
      </w:r>
      <w:r w:rsidRPr="00B91229">
        <w:rPr>
          <w:rFonts w:ascii="Lato" w:hAnsi="Lato"/>
          <w:sz w:val="22"/>
        </w:rPr>
        <w:t xml:space="preserve">integration with existing regional </w:t>
      </w:r>
      <w:proofErr w:type="gramStart"/>
      <w:r w:rsidRPr="00B91229">
        <w:rPr>
          <w:rFonts w:ascii="Lato" w:hAnsi="Lato"/>
          <w:sz w:val="22"/>
        </w:rPr>
        <w:t>systems;</w:t>
      </w:r>
      <w:proofErr w:type="gramEnd"/>
    </w:p>
    <w:p w14:paraId="4A89C61A" w14:textId="77777777" w:rsidR="001C538A" w:rsidRPr="00B91229" w:rsidRDefault="001C538A" w:rsidP="00B91229">
      <w:pPr>
        <w:pStyle w:val="ListParagraph"/>
        <w:numPr>
          <w:ilvl w:val="0"/>
          <w:numId w:val="5"/>
        </w:numPr>
        <w:tabs>
          <w:tab w:val="left" w:pos="720"/>
        </w:tabs>
        <w:spacing w:line="360" w:lineRule="auto"/>
        <w:jc w:val="both"/>
        <w:rPr>
          <w:rFonts w:ascii="Lato" w:eastAsia="Symbol" w:hAnsi="Lato"/>
          <w:sz w:val="22"/>
        </w:rPr>
      </w:pPr>
      <w:r w:rsidRPr="00B91229">
        <w:rPr>
          <w:rFonts w:ascii="Lato" w:hAnsi="Lato"/>
          <w:b/>
          <w:i/>
          <w:sz w:val="22"/>
        </w:rPr>
        <w:t xml:space="preserve">Faster </w:t>
      </w:r>
      <w:r w:rsidRPr="00B91229">
        <w:rPr>
          <w:rFonts w:ascii="Lato" w:hAnsi="Lato"/>
          <w:sz w:val="22"/>
        </w:rPr>
        <w:t xml:space="preserve">improvements to infrastructure so Californians benefit more </w:t>
      </w:r>
      <w:proofErr w:type="gramStart"/>
      <w:r w:rsidRPr="00B91229">
        <w:rPr>
          <w:rFonts w:ascii="Lato" w:hAnsi="Lato"/>
          <w:sz w:val="22"/>
        </w:rPr>
        <w:t>quickly;</w:t>
      </w:r>
      <w:proofErr w:type="gramEnd"/>
    </w:p>
    <w:p w14:paraId="2281B527" w14:textId="77777777" w:rsidR="001C538A" w:rsidRPr="00B91229" w:rsidRDefault="001C538A" w:rsidP="00B91229">
      <w:pPr>
        <w:pStyle w:val="ListParagraph"/>
        <w:numPr>
          <w:ilvl w:val="0"/>
          <w:numId w:val="5"/>
        </w:numPr>
        <w:tabs>
          <w:tab w:val="left" w:pos="720"/>
        </w:tabs>
        <w:spacing w:line="360" w:lineRule="auto"/>
        <w:jc w:val="both"/>
        <w:rPr>
          <w:rFonts w:ascii="Lato" w:eastAsia="Symbol" w:hAnsi="Lato"/>
          <w:sz w:val="22"/>
        </w:rPr>
      </w:pPr>
      <w:r w:rsidRPr="00B91229">
        <w:rPr>
          <w:rFonts w:ascii="Lato" w:hAnsi="Lato"/>
          <w:b/>
          <w:i/>
          <w:sz w:val="22"/>
        </w:rPr>
        <w:t xml:space="preserve">Cheaper </w:t>
      </w:r>
      <w:r w:rsidRPr="00B91229">
        <w:rPr>
          <w:rFonts w:ascii="Lato" w:hAnsi="Lato"/>
          <w:sz w:val="22"/>
        </w:rPr>
        <w:t>construction costs that reduce estimates from $98 billion to $68.4 billion.</w:t>
      </w:r>
    </w:p>
    <w:p w14:paraId="650F6D9C" w14:textId="77777777" w:rsidR="001C538A" w:rsidRPr="00FC6B9C" w:rsidRDefault="001C538A" w:rsidP="00B91229">
      <w:pPr>
        <w:spacing w:line="360" w:lineRule="auto"/>
        <w:rPr>
          <w:rFonts w:ascii="Lato" w:eastAsia="Times New Roman" w:hAnsi="Lato"/>
          <w:sz w:val="24"/>
        </w:rPr>
      </w:pPr>
    </w:p>
    <w:p w14:paraId="1BECEEB6" w14:textId="77777777" w:rsidR="001C538A" w:rsidRPr="00FC6B9C" w:rsidRDefault="001C538A" w:rsidP="00B91229">
      <w:pPr>
        <w:spacing w:line="360" w:lineRule="auto"/>
        <w:rPr>
          <w:rFonts w:ascii="Lato" w:hAnsi="Lato"/>
          <w:b/>
          <w:sz w:val="22"/>
        </w:rPr>
      </w:pPr>
      <w:r w:rsidRPr="00FC6B9C">
        <w:rPr>
          <w:rFonts w:ascii="Lato" w:hAnsi="Lato"/>
          <w:b/>
          <w:sz w:val="22"/>
        </w:rPr>
        <w:t>INTEGRATES BETTER WITH LOCAL TRANSPORTATION</w:t>
      </w:r>
    </w:p>
    <w:p w14:paraId="6B8E8B50" w14:textId="77777777" w:rsidR="001C538A" w:rsidRPr="00FC6B9C" w:rsidRDefault="001C538A" w:rsidP="00B91229">
      <w:pPr>
        <w:spacing w:line="360" w:lineRule="auto"/>
        <w:rPr>
          <w:rFonts w:ascii="Lato" w:eastAsia="Times New Roman" w:hAnsi="Lato"/>
          <w:sz w:val="24"/>
        </w:rPr>
      </w:pPr>
    </w:p>
    <w:p w14:paraId="56837C0A" w14:textId="77777777" w:rsidR="001C538A" w:rsidRPr="00FC6B9C" w:rsidRDefault="001C538A" w:rsidP="00B91229">
      <w:pPr>
        <w:spacing w:line="360" w:lineRule="auto"/>
        <w:rPr>
          <w:rFonts w:ascii="Lato" w:hAnsi="Lato"/>
          <w:sz w:val="22"/>
        </w:rPr>
      </w:pPr>
      <w:r w:rsidRPr="00FC6B9C">
        <w:rPr>
          <w:rFonts w:ascii="Lato" w:hAnsi="Lato"/>
          <w:sz w:val="22"/>
        </w:rPr>
        <w:t>High-Speed Rail (HSR) will integrate better with existing intercity and regional rail systems to:</w:t>
      </w:r>
    </w:p>
    <w:p w14:paraId="0D3A6EC4" w14:textId="77777777" w:rsidR="001C538A" w:rsidRPr="00FC6B9C" w:rsidRDefault="001C538A" w:rsidP="00B91229">
      <w:pPr>
        <w:spacing w:line="360" w:lineRule="auto"/>
        <w:rPr>
          <w:rFonts w:ascii="Lato" w:eastAsia="Times New Roman" w:hAnsi="Lato"/>
          <w:sz w:val="24"/>
        </w:rPr>
      </w:pPr>
    </w:p>
    <w:p w14:paraId="15B81498" w14:textId="77777777" w:rsidR="001C538A" w:rsidRPr="00B91229" w:rsidRDefault="001C538A" w:rsidP="00B91229">
      <w:pPr>
        <w:pStyle w:val="ListParagraph"/>
        <w:numPr>
          <w:ilvl w:val="1"/>
          <w:numId w:val="6"/>
        </w:numPr>
        <w:tabs>
          <w:tab w:val="left" w:pos="720"/>
        </w:tabs>
        <w:spacing w:line="360" w:lineRule="auto"/>
        <w:jc w:val="both"/>
        <w:rPr>
          <w:rFonts w:ascii="Lato" w:eastAsia="Symbol" w:hAnsi="Lato"/>
          <w:sz w:val="22"/>
        </w:rPr>
      </w:pPr>
      <w:r w:rsidRPr="00B91229">
        <w:rPr>
          <w:rFonts w:ascii="Lato" w:hAnsi="Lato"/>
          <w:sz w:val="22"/>
        </w:rPr>
        <w:t xml:space="preserve">Improve existing infrastructure right now to move trains faster and </w:t>
      </w:r>
      <w:proofErr w:type="gramStart"/>
      <w:r w:rsidRPr="00B91229">
        <w:rPr>
          <w:rFonts w:ascii="Lato" w:hAnsi="Lato"/>
          <w:sz w:val="22"/>
        </w:rPr>
        <w:t>safer;</w:t>
      </w:r>
      <w:proofErr w:type="gramEnd"/>
    </w:p>
    <w:p w14:paraId="1F49981C" w14:textId="79E85F0D" w:rsidR="001C538A" w:rsidRPr="00B91229" w:rsidRDefault="001C538A" w:rsidP="00B91229">
      <w:pPr>
        <w:pStyle w:val="ListParagraph"/>
        <w:numPr>
          <w:ilvl w:val="1"/>
          <w:numId w:val="6"/>
        </w:numPr>
        <w:tabs>
          <w:tab w:val="left" w:pos="720"/>
        </w:tabs>
        <w:spacing w:line="360" w:lineRule="auto"/>
        <w:jc w:val="both"/>
        <w:rPr>
          <w:rFonts w:ascii="Lato" w:eastAsia="Symbol" w:hAnsi="Lato"/>
          <w:sz w:val="22"/>
        </w:rPr>
      </w:pPr>
      <w:r w:rsidRPr="00B91229">
        <w:rPr>
          <w:rFonts w:ascii="Lato" w:hAnsi="Lato"/>
          <w:sz w:val="22"/>
        </w:rPr>
        <w:t>Integrate existing local rail services with high-speed rail; and</w:t>
      </w:r>
    </w:p>
    <w:p w14:paraId="655D273D" w14:textId="77777777" w:rsidR="001C538A" w:rsidRPr="00B91229" w:rsidRDefault="001C538A" w:rsidP="00B91229">
      <w:pPr>
        <w:pStyle w:val="ListParagraph"/>
        <w:numPr>
          <w:ilvl w:val="1"/>
          <w:numId w:val="6"/>
        </w:numPr>
        <w:tabs>
          <w:tab w:val="left" w:pos="720"/>
        </w:tabs>
        <w:spacing w:line="360" w:lineRule="auto"/>
        <w:ind w:right="240"/>
        <w:jc w:val="both"/>
        <w:rPr>
          <w:rFonts w:ascii="Lato" w:eastAsia="Symbol" w:hAnsi="Lato"/>
          <w:sz w:val="22"/>
        </w:rPr>
      </w:pPr>
      <w:r w:rsidRPr="00B91229">
        <w:rPr>
          <w:rFonts w:ascii="Lato" w:hAnsi="Lato"/>
          <w:sz w:val="22"/>
        </w:rPr>
        <w:t xml:space="preserve">Invest in Southern California, Northern </w:t>
      </w:r>
      <w:proofErr w:type="gramStart"/>
      <w:r w:rsidRPr="00B91229">
        <w:rPr>
          <w:rFonts w:ascii="Lato" w:hAnsi="Lato"/>
          <w:sz w:val="22"/>
        </w:rPr>
        <w:t>California</w:t>
      </w:r>
      <w:proofErr w:type="gramEnd"/>
      <w:r w:rsidRPr="00B91229">
        <w:rPr>
          <w:rFonts w:ascii="Lato" w:hAnsi="Lato"/>
          <w:sz w:val="22"/>
        </w:rPr>
        <w:t xml:space="preserve"> and Bay Area local rail systems right now to make those systems safer, faster and ready to connect to high-speed train service.</w:t>
      </w:r>
    </w:p>
    <w:p w14:paraId="41B72A6C" w14:textId="77777777" w:rsidR="001C538A" w:rsidRPr="00FC6B9C" w:rsidRDefault="001C538A" w:rsidP="00B91229">
      <w:pPr>
        <w:spacing w:line="360" w:lineRule="auto"/>
        <w:rPr>
          <w:rFonts w:ascii="Lato" w:eastAsia="Times New Roman" w:hAnsi="Lato"/>
          <w:sz w:val="24"/>
        </w:rPr>
      </w:pPr>
    </w:p>
    <w:p w14:paraId="2AE35437" w14:textId="77777777" w:rsidR="001C538A" w:rsidRPr="00FC6B9C" w:rsidRDefault="001C538A" w:rsidP="00B91229">
      <w:pPr>
        <w:spacing w:line="360" w:lineRule="auto"/>
        <w:rPr>
          <w:rFonts w:ascii="Lato" w:hAnsi="Lato"/>
          <w:b/>
          <w:sz w:val="22"/>
        </w:rPr>
      </w:pPr>
      <w:r w:rsidRPr="00FC6B9C">
        <w:rPr>
          <w:rFonts w:ascii="Lato" w:hAnsi="Lato"/>
          <w:b/>
          <w:sz w:val="22"/>
        </w:rPr>
        <w:t>FIVE STEPS TO FASTER CONSTRUCTION</w:t>
      </w:r>
    </w:p>
    <w:p w14:paraId="6E2299CB" w14:textId="77777777" w:rsidR="001C538A" w:rsidRPr="00FC6B9C" w:rsidRDefault="001C538A" w:rsidP="00B91229">
      <w:pPr>
        <w:spacing w:line="360" w:lineRule="auto"/>
        <w:rPr>
          <w:rFonts w:ascii="Lato" w:eastAsia="Times New Roman" w:hAnsi="Lato"/>
          <w:sz w:val="24"/>
        </w:rPr>
      </w:pPr>
    </w:p>
    <w:p w14:paraId="4072FC74" w14:textId="77777777" w:rsidR="001C538A" w:rsidRPr="00FC6B9C" w:rsidRDefault="001C538A" w:rsidP="00B91229">
      <w:pPr>
        <w:spacing w:line="360" w:lineRule="auto"/>
        <w:rPr>
          <w:rFonts w:ascii="Lato" w:hAnsi="Lato"/>
          <w:b/>
          <w:i/>
          <w:sz w:val="22"/>
        </w:rPr>
      </w:pPr>
      <w:r w:rsidRPr="00FC6B9C">
        <w:rPr>
          <w:rFonts w:ascii="Lato" w:hAnsi="Lato"/>
          <w:b/>
          <w:i/>
          <w:sz w:val="22"/>
        </w:rPr>
        <w:t>Step 1—Early Investments for immediate Statewide Benefit</w:t>
      </w:r>
    </w:p>
    <w:p w14:paraId="164BC3C9" w14:textId="77777777" w:rsidR="001C538A" w:rsidRPr="00FC6B9C" w:rsidRDefault="001C538A" w:rsidP="00B91229">
      <w:pPr>
        <w:spacing w:line="360" w:lineRule="auto"/>
        <w:rPr>
          <w:rFonts w:ascii="Lato" w:eastAsia="Times New Roman" w:hAnsi="Lato"/>
          <w:sz w:val="24"/>
        </w:rPr>
      </w:pPr>
    </w:p>
    <w:p w14:paraId="73A2C118" w14:textId="77777777" w:rsidR="001C538A" w:rsidRPr="00FC6B9C" w:rsidRDefault="001C538A" w:rsidP="00B91229">
      <w:pPr>
        <w:spacing w:line="360" w:lineRule="auto"/>
        <w:ind w:right="160"/>
        <w:rPr>
          <w:rFonts w:ascii="Lato" w:hAnsi="Lato"/>
          <w:sz w:val="22"/>
        </w:rPr>
      </w:pPr>
      <w:r w:rsidRPr="00FC6B9C">
        <w:rPr>
          <w:rFonts w:ascii="Lato" w:hAnsi="Lato"/>
          <w:sz w:val="22"/>
        </w:rPr>
        <w:t>Construction of dedicated HSR infrastructure begins in the Central Valley with the first segment of the Initial Operating Section (IOS). Service will launch in 2018, the current San Joaquin rail system will use this new infrastructure to cut travel time on the country’s 5th busiest Amtrak line and connect with other regional commuter systems.</w:t>
      </w:r>
    </w:p>
    <w:p w14:paraId="45D6B612" w14:textId="77777777" w:rsidR="001C538A" w:rsidRPr="00FC6B9C" w:rsidRDefault="001C538A" w:rsidP="00B91229">
      <w:pPr>
        <w:spacing w:line="360" w:lineRule="auto"/>
        <w:rPr>
          <w:rFonts w:ascii="Lato" w:eastAsia="Times New Roman" w:hAnsi="Lato"/>
          <w:sz w:val="24"/>
        </w:rPr>
      </w:pPr>
    </w:p>
    <w:p w14:paraId="5913B039" w14:textId="77777777" w:rsidR="001C538A" w:rsidRPr="00FC6B9C" w:rsidRDefault="001C538A" w:rsidP="00B91229">
      <w:pPr>
        <w:spacing w:line="360" w:lineRule="auto"/>
        <w:ind w:right="60"/>
        <w:rPr>
          <w:rFonts w:ascii="Lato" w:hAnsi="Lato"/>
          <w:sz w:val="22"/>
        </w:rPr>
      </w:pPr>
      <w:r w:rsidRPr="00FC6B9C">
        <w:rPr>
          <w:rFonts w:ascii="Lato" w:hAnsi="Lato"/>
          <w:sz w:val="22"/>
        </w:rPr>
        <w:lastRenderedPageBreak/>
        <w:t xml:space="preserve">The revised business plan also makes immediate improvements to local rail systems using existing Prop 1A funding, future federal </w:t>
      </w:r>
      <w:proofErr w:type="gramStart"/>
      <w:r w:rsidRPr="00FC6B9C">
        <w:rPr>
          <w:rFonts w:ascii="Lato" w:hAnsi="Lato"/>
          <w:sz w:val="22"/>
        </w:rPr>
        <w:t>funds</w:t>
      </w:r>
      <w:proofErr w:type="gramEnd"/>
      <w:r w:rsidRPr="00FC6B9C">
        <w:rPr>
          <w:rFonts w:ascii="Lato" w:hAnsi="Lato"/>
          <w:sz w:val="22"/>
        </w:rPr>
        <w:t xml:space="preserve"> and other sources:</w:t>
      </w:r>
    </w:p>
    <w:p w14:paraId="635C52D2" w14:textId="77777777" w:rsidR="001C538A" w:rsidRPr="00FC6B9C" w:rsidRDefault="001C538A" w:rsidP="00B91229">
      <w:pPr>
        <w:spacing w:line="360" w:lineRule="auto"/>
        <w:rPr>
          <w:rFonts w:ascii="Lato" w:eastAsia="Times New Roman" w:hAnsi="Lato"/>
          <w:sz w:val="24"/>
        </w:rPr>
      </w:pPr>
    </w:p>
    <w:p w14:paraId="67E23381" w14:textId="77777777" w:rsidR="001C538A" w:rsidRPr="00B91229" w:rsidRDefault="001C538A" w:rsidP="00B91229">
      <w:pPr>
        <w:pStyle w:val="ListParagraph"/>
        <w:numPr>
          <w:ilvl w:val="0"/>
          <w:numId w:val="7"/>
        </w:numPr>
        <w:tabs>
          <w:tab w:val="left" w:pos="720"/>
        </w:tabs>
        <w:spacing w:line="360" w:lineRule="auto"/>
        <w:jc w:val="both"/>
        <w:rPr>
          <w:rFonts w:ascii="Lato" w:eastAsia="Symbol" w:hAnsi="Lato"/>
          <w:sz w:val="22"/>
        </w:rPr>
      </w:pPr>
      <w:r w:rsidRPr="00B91229">
        <w:rPr>
          <w:rFonts w:ascii="Lato" w:hAnsi="Lato"/>
          <w:sz w:val="22"/>
        </w:rPr>
        <w:t>Electrifies the Bay Area’s Caltrain Corridor and improves key rail corridors in Southern California</w:t>
      </w:r>
    </w:p>
    <w:p w14:paraId="6BDEC74F" w14:textId="77777777" w:rsidR="001C538A" w:rsidRPr="00B91229" w:rsidRDefault="001C538A" w:rsidP="00B91229">
      <w:pPr>
        <w:pStyle w:val="ListParagraph"/>
        <w:numPr>
          <w:ilvl w:val="0"/>
          <w:numId w:val="7"/>
        </w:numPr>
        <w:tabs>
          <w:tab w:val="left" w:pos="720"/>
        </w:tabs>
        <w:spacing w:line="360" w:lineRule="auto"/>
        <w:jc w:val="both"/>
        <w:rPr>
          <w:rFonts w:ascii="Lato" w:eastAsia="Symbol" w:hAnsi="Lato"/>
          <w:sz w:val="22"/>
        </w:rPr>
      </w:pPr>
      <w:r w:rsidRPr="00B91229">
        <w:rPr>
          <w:rFonts w:ascii="Lato" w:hAnsi="Lato"/>
          <w:sz w:val="22"/>
        </w:rPr>
        <w:t>Links the San Joaquin, Altamont Commuter Express, Capitol Corridor and Caltrain systems; and</w:t>
      </w:r>
    </w:p>
    <w:p w14:paraId="5C910DAB" w14:textId="77777777" w:rsidR="001C538A" w:rsidRPr="00B91229" w:rsidRDefault="001C538A" w:rsidP="00B91229">
      <w:pPr>
        <w:pStyle w:val="ListParagraph"/>
        <w:numPr>
          <w:ilvl w:val="0"/>
          <w:numId w:val="7"/>
        </w:numPr>
        <w:tabs>
          <w:tab w:val="left" w:pos="720"/>
        </w:tabs>
        <w:spacing w:line="360" w:lineRule="auto"/>
        <w:jc w:val="both"/>
        <w:rPr>
          <w:rFonts w:ascii="Lato" w:eastAsia="Symbol" w:hAnsi="Lato"/>
          <w:sz w:val="22"/>
        </w:rPr>
      </w:pPr>
      <w:r w:rsidRPr="00B91229">
        <w:rPr>
          <w:rFonts w:ascii="Lato" w:hAnsi="Lato"/>
          <w:sz w:val="22"/>
        </w:rPr>
        <w:t>Closes the existing rail gap between Bakersfield and Palmdale</w:t>
      </w:r>
    </w:p>
    <w:p w14:paraId="43C64F95" w14:textId="77777777" w:rsidR="001C538A" w:rsidRPr="00FC6B9C" w:rsidRDefault="001C538A" w:rsidP="00B91229">
      <w:pPr>
        <w:spacing w:line="360" w:lineRule="auto"/>
        <w:rPr>
          <w:rFonts w:ascii="Lato" w:eastAsia="Times New Roman" w:hAnsi="Lato"/>
          <w:sz w:val="24"/>
        </w:rPr>
      </w:pPr>
    </w:p>
    <w:p w14:paraId="29E7E7A3" w14:textId="77777777" w:rsidR="001C538A" w:rsidRPr="00FC6B9C" w:rsidRDefault="001C538A" w:rsidP="00B91229">
      <w:pPr>
        <w:spacing w:line="360" w:lineRule="auto"/>
        <w:rPr>
          <w:rFonts w:ascii="Lato" w:hAnsi="Lato"/>
          <w:b/>
          <w:i/>
          <w:sz w:val="22"/>
        </w:rPr>
      </w:pPr>
      <w:r w:rsidRPr="00FC6B9C">
        <w:rPr>
          <w:rFonts w:ascii="Lato" w:hAnsi="Lato"/>
          <w:b/>
          <w:i/>
          <w:sz w:val="22"/>
        </w:rPr>
        <w:t>Step 2—Initial High-Speed Rail Operations</w:t>
      </w:r>
    </w:p>
    <w:p w14:paraId="40AE3042" w14:textId="77777777" w:rsidR="001C538A" w:rsidRPr="00FC6B9C" w:rsidRDefault="001C538A" w:rsidP="00B91229">
      <w:pPr>
        <w:spacing w:line="360" w:lineRule="auto"/>
        <w:rPr>
          <w:rFonts w:ascii="Lato" w:eastAsia="Times New Roman" w:hAnsi="Lato"/>
          <w:sz w:val="24"/>
        </w:rPr>
      </w:pPr>
    </w:p>
    <w:p w14:paraId="757E17DC" w14:textId="77777777" w:rsidR="001C538A" w:rsidRPr="00FC6B9C" w:rsidRDefault="001C538A" w:rsidP="00B91229">
      <w:pPr>
        <w:spacing w:line="360" w:lineRule="auto"/>
        <w:ind w:right="20"/>
        <w:rPr>
          <w:rFonts w:ascii="Lato" w:hAnsi="Lato"/>
          <w:sz w:val="22"/>
        </w:rPr>
      </w:pPr>
      <w:r w:rsidRPr="00FC6B9C">
        <w:rPr>
          <w:rFonts w:ascii="Lato" w:hAnsi="Lato"/>
          <w:sz w:val="22"/>
        </w:rPr>
        <w:t xml:space="preserve">The next step completes the 300-mile section from Merced to the San Fernando Valley. This service will operate without a </w:t>
      </w:r>
      <w:proofErr w:type="gramStart"/>
      <w:r w:rsidRPr="00FC6B9C">
        <w:rPr>
          <w:rFonts w:ascii="Lato" w:hAnsi="Lato"/>
          <w:sz w:val="22"/>
        </w:rPr>
        <w:t>subsidy, and</w:t>
      </w:r>
      <w:proofErr w:type="gramEnd"/>
      <w:r w:rsidRPr="00FC6B9C">
        <w:rPr>
          <w:rFonts w:ascii="Lato" w:hAnsi="Lato"/>
          <w:sz w:val="22"/>
        </w:rPr>
        <w:t xml:space="preserve"> will have potential to attract additional private investment for HSR system expansion. Service will launch in 2022.</w:t>
      </w:r>
    </w:p>
    <w:p w14:paraId="0166427F" w14:textId="77777777" w:rsidR="001C538A" w:rsidRPr="00FC6B9C" w:rsidRDefault="001C538A" w:rsidP="00B91229">
      <w:pPr>
        <w:spacing w:line="360" w:lineRule="auto"/>
        <w:rPr>
          <w:rFonts w:ascii="Lato" w:eastAsia="Times New Roman" w:hAnsi="Lato"/>
          <w:sz w:val="24"/>
        </w:rPr>
      </w:pPr>
    </w:p>
    <w:p w14:paraId="4B11A115" w14:textId="77777777" w:rsidR="001C538A" w:rsidRPr="00FC6B9C" w:rsidRDefault="001C538A" w:rsidP="00B91229">
      <w:pPr>
        <w:spacing w:line="360" w:lineRule="auto"/>
        <w:rPr>
          <w:rFonts w:ascii="Lato" w:hAnsi="Lato"/>
          <w:b/>
          <w:i/>
          <w:sz w:val="22"/>
        </w:rPr>
      </w:pPr>
      <w:r w:rsidRPr="00FC6B9C">
        <w:rPr>
          <w:rFonts w:ascii="Lato" w:hAnsi="Lato"/>
          <w:b/>
          <w:i/>
          <w:sz w:val="22"/>
        </w:rPr>
        <w:t>Step 3— Electrified Bay to Basin System</w:t>
      </w:r>
    </w:p>
    <w:p w14:paraId="7E5D7D24" w14:textId="77777777" w:rsidR="001C538A" w:rsidRPr="00FC6B9C" w:rsidRDefault="001C538A" w:rsidP="00B91229">
      <w:pPr>
        <w:spacing w:line="360" w:lineRule="auto"/>
        <w:rPr>
          <w:rFonts w:ascii="Lato" w:eastAsia="Times New Roman" w:hAnsi="Lato"/>
          <w:sz w:val="24"/>
        </w:rPr>
      </w:pPr>
    </w:p>
    <w:p w14:paraId="6396C390" w14:textId="77777777" w:rsidR="001C538A" w:rsidRPr="00FC6B9C" w:rsidRDefault="001C538A" w:rsidP="00B91229">
      <w:pPr>
        <w:spacing w:line="360" w:lineRule="auto"/>
        <w:ind w:right="220"/>
        <w:rPr>
          <w:rFonts w:ascii="Lato" w:hAnsi="Lato"/>
          <w:sz w:val="22"/>
        </w:rPr>
      </w:pPr>
      <w:r w:rsidRPr="00FC6B9C">
        <w:rPr>
          <w:rFonts w:ascii="Lato" w:hAnsi="Lato"/>
          <w:sz w:val="22"/>
        </w:rPr>
        <w:t>The third step connects the Central Valley to San Jose, establishing a connection from the Bay Area to the Los Angeles basin. The upgraded Metrolink system will connect the San Fernando Valley and Los Angeles Union Station. Bay to Basin service launches in 2027.</w:t>
      </w:r>
    </w:p>
    <w:p w14:paraId="29D96453" w14:textId="77777777" w:rsidR="001C538A" w:rsidRPr="00FC6B9C" w:rsidRDefault="001C538A" w:rsidP="00B91229">
      <w:pPr>
        <w:spacing w:line="360" w:lineRule="auto"/>
        <w:rPr>
          <w:rFonts w:ascii="Lato" w:eastAsia="Times New Roman" w:hAnsi="Lato"/>
          <w:sz w:val="24"/>
        </w:rPr>
      </w:pPr>
    </w:p>
    <w:p w14:paraId="13EA850B" w14:textId="77777777" w:rsidR="001C538A" w:rsidRPr="00FC6B9C" w:rsidRDefault="001C538A" w:rsidP="00B91229">
      <w:pPr>
        <w:spacing w:line="360" w:lineRule="auto"/>
        <w:rPr>
          <w:rFonts w:ascii="Lato" w:hAnsi="Lato"/>
          <w:b/>
          <w:i/>
          <w:sz w:val="22"/>
        </w:rPr>
      </w:pPr>
      <w:r w:rsidRPr="00FC6B9C">
        <w:rPr>
          <w:rFonts w:ascii="Lato" w:hAnsi="Lato"/>
          <w:b/>
          <w:i/>
          <w:sz w:val="22"/>
        </w:rPr>
        <w:t>Step 4—Phase 1 Blended System</w:t>
      </w:r>
    </w:p>
    <w:p w14:paraId="26FEB603" w14:textId="77777777" w:rsidR="001C538A" w:rsidRPr="00FC6B9C" w:rsidRDefault="001C538A" w:rsidP="00B91229">
      <w:pPr>
        <w:spacing w:line="360" w:lineRule="auto"/>
        <w:rPr>
          <w:rFonts w:ascii="Lato" w:eastAsia="Times New Roman" w:hAnsi="Lato"/>
          <w:sz w:val="24"/>
        </w:rPr>
      </w:pPr>
    </w:p>
    <w:p w14:paraId="149961B7" w14:textId="77777777" w:rsidR="001C538A" w:rsidRPr="00FC6B9C" w:rsidRDefault="001C538A" w:rsidP="00B91229">
      <w:pPr>
        <w:spacing w:line="360" w:lineRule="auto"/>
        <w:ind w:right="100"/>
        <w:rPr>
          <w:rFonts w:ascii="Lato" w:hAnsi="Lato"/>
          <w:sz w:val="22"/>
        </w:rPr>
      </w:pPr>
      <w:r w:rsidRPr="00FC6B9C">
        <w:rPr>
          <w:rFonts w:ascii="Lato" w:hAnsi="Lato"/>
          <w:sz w:val="22"/>
        </w:rPr>
        <w:t>In 2029, dedicated high-speed infrastructure will extend from the San Fernando Valley to Los Angeles Union Station, linking the upgraded Metrolink corridor to Anaheim and connecting to commuter and urban rail systems throughout the Los Angeles region. The entire length of Phase 1 from San Francisco to LA/Anaheim is 520 miles.</w:t>
      </w:r>
    </w:p>
    <w:p w14:paraId="5B466E0A" w14:textId="77777777" w:rsidR="001C538A" w:rsidRPr="00FC6B9C" w:rsidRDefault="001C538A">
      <w:pPr>
        <w:spacing w:line="229" w:lineRule="auto"/>
        <w:ind w:right="100"/>
        <w:rPr>
          <w:rFonts w:ascii="Lato" w:hAnsi="Lato"/>
          <w:sz w:val="22"/>
        </w:rPr>
        <w:sectPr w:rsidR="001C538A" w:rsidRPr="00FC6B9C">
          <w:pgSz w:w="12240" w:h="15840"/>
          <w:pgMar w:top="1440" w:right="1520" w:bottom="1152" w:left="1440" w:header="0" w:footer="0" w:gutter="0"/>
          <w:cols w:space="0" w:equalWidth="0">
            <w:col w:w="9280"/>
          </w:cols>
          <w:docGrid w:linePitch="360"/>
        </w:sectPr>
      </w:pPr>
    </w:p>
    <w:p w14:paraId="37F85731" w14:textId="77777777" w:rsidR="001C538A" w:rsidRPr="00FC6B9C" w:rsidRDefault="001C538A">
      <w:pPr>
        <w:spacing w:line="239" w:lineRule="auto"/>
        <w:rPr>
          <w:rFonts w:ascii="Lato" w:hAnsi="Lato"/>
          <w:b/>
          <w:i/>
          <w:sz w:val="22"/>
        </w:rPr>
      </w:pPr>
      <w:bookmarkStart w:id="0" w:name="page2"/>
      <w:bookmarkEnd w:id="0"/>
      <w:r w:rsidRPr="00FC6B9C">
        <w:rPr>
          <w:rFonts w:ascii="Lato" w:hAnsi="Lato"/>
          <w:b/>
          <w:i/>
          <w:sz w:val="22"/>
        </w:rPr>
        <w:lastRenderedPageBreak/>
        <w:t>Step 5—Phase 2</w:t>
      </w:r>
    </w:p>
    <w:p w14:paraId="4D35B94F" w14:textId="77777777" w:rsidR="001C538A" w:rsidRPr="00FC6B9C" w:rsidRDefault="001C538A">
      <w:pPr>
        <w:spacing w:line="1" w:lineRule="exact"/>
        <w:rPr>
          <w:rFonts w:ascii="Lato" w:eastAsia="Times New Roman" w:hAnsi="Lato"/>
        </w:rPr>
      </w:pPr>
    </w:p>
    <w:p w14:paraId="2112E29E" w14:textId="77777777" w:rsidR="001C538A" w:rsidRPr="00FC6B9C" w:rsidRDefault="001C538A">
      <w:pPr>
        <w:spacing w:line="239" w:lineRule="auto"/>
        <w:rPr>
          <w:rFonts w:ascii="Lato" w:hAnsi="Lato"/>
          <w:sz w:val="22"/>
        </w:rPr>
      </w:pPr>
      <w:r w:rsidRPr="00FC6B9C">
        <w:rPr>
          <w:rFonts w:ascii="Lato" w:hAnsi="Lato"/>
          <w:sz w:val="22"/>
        </w:rPr>
        <w:t>Phase 2 extends HSR to Sacramento and San Diego, completing the 800-mile statewide system.</w:t>
      </w:r>
    </w:p>
    <w:p w14:paraId="6C8C95D9" w14:textId="77777777" w:rsidR="001C538A" w:rsidRPr="00FC6B9C" w:rsidRDefault="001C538A">
      <w:pPr>
        <w:spacing w:line="271" w:lineRule="exact"/>
        <w:rPr>
          <w:rFonts w:ascii="Lato" w:eastAsia="Times New Roman" w:hAnsi="Lato"/>
        </w:rPr>
      </w:pPr>
    </w:p>
    <w:p w14:paraId="685D867D" w14:textId="77777777" w:rsidR="001C538A" w:rsidRPr="00FC6B9C" w:rsidRDefault="001C538A">
      <w:pPr>
        <w:spacing w:line="239" w:lineRule="auto"/>
        <w:rPr>
          <w:rFonts w:ascii="Lato" w:hAnsi="Lato"/>
          <w:b/>
          <w:sz w:val="22"/>
        </w:rPr>
      </w:pPr>
      <w:r w:rsidRPr="00FC6B9C">
        <w:rPr>
          <w:rFonts w:ascii="Lato" w:hAnsi="Lato"/>
          <w:b/>
          <w:sz w:val="22"/>
        </w:rPr>
        <w:t>COST REDUCTIONS</w:t>
      </w:r>
    </w:p>
    <w:p w14:paraId="66FD4F89" w14:textId="77777777" w:rsidR="001C538A" w:rsidRPr="00FC6B9C" w:rsidRDefault="001C538A">
      <w:pPr>
        <w:spacing w:line="317" w:lineRule="exact"/>
        <w:rPr>
          <w:rFonts w:ascii="Lato" w:eastAsia="Times New Roman" w:hAnsi="Lato"/>
        </w:rPr>
      </w:pPr>
    </w:p>
    <w:p w14:paraId="1EE12AB7" w14:textId="77777777" w:rsidR="001C538A" w:rsidRPr="00FC6B9C" w:rsidRDefault="001C538A">
      <w:pPr>
        <w:spacing w:line="229" w:lineRule="auto"/>
        <w:ind w:right="400"/>
        <w:rPr>
          <w:rFonts w:ascii="Lato" w:hAnsi="Lato"/>
          <w:sz w:val="22"/>
        </w:rPr>
      </w:pPr>
      <w:r w:rsidRPr="00FC6B9C">
        <w:rPr>
          <w:rFonts w:ascii="Lato" w:hAnsi="Lato"/>
          <w:sz w:val="22"/>
        </w:rPr>
        <w:t>Completion of the Phase 1 blended system will cost $68.4 billion in year-of-expenditure dollars, down from $98 billion. Reductions are primarily attributable to blended infrastructure and revised inflation projections. Six billion dollars has been identified to fund the first segment of the IOS, including $3.3 billion in federal funding and $2.7 billion in voter-approved Proposition 1A bond proceeds.</w:t>
      </w:r>
    </w:p>
    <w:p w14:paraId="3F307031" w14:textId="77777777" w:rsidR="001C538A" w:rsidRPr="00FC6B9C" w:rsidRDefault="001C538A">
      <w:pPr>
        <w:spacing w:line="270" w:lineRule="exact"/>
        <w:rPr>
          <w:rFonts w:ascii="Lato" w:eastAsia="Times New Roman" w:hAnsi="Lato"/>
        </w:rPr>
      </w:pPr>
    </w:p>
    <w:p w14:paraId="404CED1B" w14:textId="77777777" w:rsidR="001C538A" w:rsidRPr="00FC6B9C" w:rsidRDefault="001C538A">
      <w:pPr>
        <w:spacing w:line="239" w:lineRule="auto"/>
        <w:rPr>
          <w:rFonts w:ascii="Lato" w:hAnsi="Lato"/>
          <w:b/>
          <w:sz w:val="22"/>
        </w:rPr>
      </w:pPr>
      <w:r w:rsidRPr="00FC6B9C">
        <w:rPr>
          <w:rFonts w:ascii="Lato" w:hAnsi="Lato"/>
          <w:b/>
          <w:sz w:val="22"/>
        </w:rPr>
        <w:t>RIDERSHIP</w:t>
      </w:r>
    </w:p>
    <w:p w14:paraId="6230EE76" w14:textId="77777777" w:rsidR="001C538A" w:rsidRPr="00FC6B9C" w:rsidRDefault="001C538A">
      <w:pPr>
        <w:spacing w:line="319" w:lineRule="exact"/>
        <w:rPr>
          <w:rFonts w:ascii="Lato" w:eastAsia="Times New Roman" w:hAnsi="Lato"/>
        </w:rPr>
      </w:pPr>
    </w:p>
    <w:p w14:paraId="0A3913EA" w14:textId="77777777" w:rsidR="001C538A" w:rsidRPr="00FC6B9C" w:rsidRDefault="001C538A">
      <w:pPr>
        <w:spacing w:line="225" w:lineRule="auto"/>
        <w:ind w:right="160"/>
        <w:rPr>
          <w:rFonts w:ascii="Lato" w:hAnsi="Lato"/>
          <w:sz w:val="22"/>
        </w:rPr>
      </w:pPr>
      <w:r w:rsidRPr="00FC6B9C">
        <w:rPr>
          <w:rFonts w:ascii="Lato" w:hAnsi="Lato"/>
          <w:sz w:val="22"/>
        </w:rPr>
        <w:t>Projections are based on average HSR fares that are 83 percent of assumed San Francisco-Los Angeles one-way airfare of $97. High ridership scenarios assume a fuel price of $6.11 in 2030, with low scenarios assuming a fuel price of $2.60 in 2030. No operating subsidy will be required under any scenario.</w:t>
      </w:r>
    </w:p>
    <w:p w14:paraId="4ABDB2D4" w14:textId="77777777" w:rsidR="001C538A" w:rsidRPr="00FC6B9C" w:rsidRDefault="001C538A">
      <w:pPr>
        <w:spacing w:line="269" w:lineRule="exact"/>
        <w:rPr>
          <w:rFonts w:ascii="Lato" w:eastAsia="Times New Roman" w:hAnsi="Lato"/>
        </w:rPr>
      </w:pPr>
    </w:p>
    <w:p w14:paraId="6A82390B" w14:textId="77777777" w:rsidR="001C538A" w:rsidRPr="00FC6B9C" w:rsidRDefault="001C538A">
      <w:pPr>
        <w:spacing w:line="239" w:lineRule="auto"/>
        <w:ind w:left="3380"/>
        <w:rPr>
          <w:rFonts w:ascii="Lato" w:hAnsi="Lato"/>
          <w:b/>
          <w:i/>
          <w:sz w:val="22"/>
        </w:rPr>
      </w:pPr>
      <w:r w:rsidRPr="00FC6B9C">
        <w:rPr>
          <w:rFonts w:ascii="Lato" w:hAnsi="Lato"/>
          <w:b/>
          <w:i/>
          <w:sz w:val="22"/>
        </w:rPr>
        <w:t>Projected ridership (millions)</w:t>
      </w:r>
    </w:p>
    <w:p w14:paraId="20D34685" w14:textId="77777777" w:rsidR="001C538A" w:rsidRPr="00FC6B9C" w:rsidRDefault="001C538A">
      <w:pPr>
        <w:spacing w:line="258" w:lineRule="exact"/>
        <w:rPr>
          <w:rFonts w:ascii="Lato" w:eastAsia="Times New Roman" w:hAnsi="Lato"/>
        </w:rPr>
      </w:pPr>
    </w:p>
    <w:tbl>
      <w:tblPr>
        <w:tblW w:w="0" w:type="auto"/>
        <w:tblInd w:w="90" w:type="dxa"/>
        <w:tblLayout w:type="fixed"/>
        <w:tblCellMar>
          <w:left w:w="0" w:type="dxa"/>
          <w:right w:w="0" w:type="dxa"/>
        </w:tblCellMar>
        <w:tblLook w:val="0000" w:firstRow="0" w:lastRow="0" w:firstColumn="0" w:lastColumn="0" w:noHBand="0" w:noVBand="0"/>
      </w:tblPr>
      <w:tblGrid>
        <w:gridCol w:w="4400"/>
        <w:gridCol w:w="1680"/>
        <w:gridCol w:w="1660"/>
        <w:gridCol w:w="1660"/>
      </w:tblGrid>
      <w:tr w:rsidR="001C538A" w:rsidRPr="00FC6B9C" w14:paraId="596AB50A" w14:textId="77777777" w:rsidTr="00FC6B9C">
        <w:trPr>
          <w:trHeight w:val="274"/>
        </w:trPr>
        <w:tc>
          <w:tcPr>
            <w:tcW w:w="4400" w:type="dxa"/>
            <w:tcBorders>
              <w:top w:val="single" w:sz="8" w:space="0" w:color="auto"/>
              <w:left w:val="single" w:sz="8" w:space="0" w:color="auto"/>
              <w:bottom w:val="single" w:sz="8" w:space="0" w:color="auto"/>
              <w:right w:val="single" w:sz="8" w:space="0" w:color="auto"/>
            </w:tcBorders>
            <w:shd w:val="clear" w:color="auto" w:fill="ACB9CA"/>
            <w:vAlign w:val="bottom"/>
          </w:tcPr>
          <w:p w14:paraId="644528E4" w14:textId="77777777" w:rsidR="001C538A" w:rsidRPr="00FC6B9C" w:rsidRDefault="001C538A">
            <w:pPr>
              <w:spacing w:line="0" w:lineRule="atLeast"/>
              <w:jc w:val="center"/>
              <w:rPr>
                <w:rFonts w:ascii="Lato" w:hAnsi="Lato"/>
                <w:b/>
                <w:w w:val="99"/>
                <w:sz w:val="22"/>
              </w:rPr>
            </w:pPr>
            <w:r w:rsidRPr="00FC6B9C">
              <w:rPr>
                <w:rFonts w:ascii="Lato" w:hAnsi="Lato"/>
                <w:b/>
                <w:w w:val="99"/>
                <w:sz w:val="22"/>
              </w:rPr>
              <w:t>Scenario</w:t>
            </w:r>
          </w:p>
        </w:tc>
        <w:tc>
          <w:tcPr>
            <w:tcW w:w="1680" w:type="dxa"/>
            <w:tcBorders>
              <w:top w:val="single" w:sz="8" w:space="0" w:color="auto"/>
              <w:bottom w:val="single" w:sz="8" w:space="0" w:color="auto"/>
              <w:right w:val="single" w:sz="8" w:space="0" w:color="auto"/>
            </w:tcBorders>
            <w:shd w:val="clear" w:color="auto" w:fill="ACB9CA"/>
            <w:vAlign w:val="bottom"/>
          </w:tcPr>
          <w:p w14:paraId="4C3EA518" w14:textId="77777777" w:rsidR="001C538A" w:rsidRPr="00FC6B9C" w:rsidRDefault="001C538A">
            <w:pPr>
              <w:spacing w:line="0" w:lineRule="atLeast"/>
              <w:jc w:val="center"/>
              <w:rPr>
                <w:rFonts w:ascii="Lato" w:hAnsi="Lato"/>
                <w:b/>
                <w:w w:val="98"/>
                <w:sz w:val="22"/>
              </w:rPr>
            </w:pPr>
            <w:r w:rsidRPr="00FC6B9C">
              <w:rPr>
                <w:rFonts w:ascii="Lato" w:hAnsi="Lato"/>
                <w:b/>
                <w:w w:val="98"/>
                <w:sz w:val="22"/>
              </w:rPr>
              <w:t>2022</w:t>
            </w:r>
          </w:p>
        </w:tc>
        <w:tc>
          <w:tcPr>
            <w:tcW w:w="1660" w:type="dxa"/>
            <w:tcBorders>
              <w:top w:val="single" w:sz="8" w:space="0" w:color="auto"/>
              <w:bottom w:val="single" w:sz="8" w:space="0" w:color="auto"/>
              <w:right w:val="single" w:sz="8" w:space="0" w:color="auto"/>
            </w:tcBorders>
            <w:shd w:val="clear" w:color="auto" w:fill="ACB9CA"/>
            <w:vAlign w:val="bottom"/>
          </w:tcPr>
          <w:p w14:paraId="1A5063A3" w14:textId="77777777" w:rsidR="001C538A" w:rsidRPr="00FC6B9C" w:rsidRDefault="001C538A">
            <w:pPr>
              <w:spacing w:line="0" w:lineRule="atLeast"/>
              <w:jc w:val="center"/>
              <w:rPr>
                <w:rFonts w:ascii="Lato" w:hAnsi="Lato"/>
                <w:b/>
                <w:sz w:val="22"/>
              </w:rPr>
            </w:pPr>
            <w:r w:rsidRPr="00FC6B9C">
              <w:rPr>
                <w:rFonts w:ascii="Lato" w:hAnsi="Lato"/>
                <w:b/>
                <w:sz w:val="22"/>
              </w:rPr>
              <w:t>2026</w:t>
            </w:r>
          </w:p>
        </w:tc>
        <w:tc>
          <w:tcPr>
            <w:tcW w:w="1660" w:type="dxa"/>
            <w:tcBorders>
              <w:top w:val="single" w:sz="8" w:space="0" w:color="auto"/>
              <w:bottom w:val="single" w:sz="8" w:space="0" w:color="auto"/>
              <w:right w:val="single" w:sz="8" w:space="0" w:color="auto"/>
            </w:tcBorders>
            <w:shd w:val="clear" w:color="auto" w:fill="ACB9CA"/>
            <w:vAlign w:val="bottom"/>
          </w:tcPr>
          <w:p w14:paraId="190B167F" w14:textId="77777777" w:rsidR="001C538A" w:rsidRPr="00FC6B9C" w:rsidRDefault="001C538A">
            <w:pPr>
              <w:spacing w:line="0" w:lineRule="atLeast"/>
              <w:jc w:val="center"/>
              <w:rPr>
                <w:rFonts w:ascii="Lato" w:hAnsi="Lato"/>
                <w:b/>
                <w:w w:val="98"/>
                <w:sz w:val="22"/>
              </w:rPr>
            </w:pPr>
            <w:r w:rsidRPr="00FC6B9C">
              <w:rPr>
                <w:rFonts w:ascii="Lato" w:hAnsi="Lato"/>
                <w:b/>
                <w:w w:val="98"/>
                <w:sz w:val="22"/>
              </w:rPr>
              <w:t>2029</w:t>
            </w:r>
          </w:p>
        </w:tc>
      </w:tr>
      <w:tr w:rsidR="001C538A" w:rsidRPr="00FC6B9C" w14:paraId="4AD1260F" w14:textId="77777777">
        <w:trPr>
          <w:trHeight w:val="235"/>
        </w:trPr>
        <w:tc>
          <w:tcPr>
            <w:tcW w:w="4400" w:type="dxa"/>
            <w:tcBorders>
              <w:left w:val="single" w:sz="8" w:space="0" w:color="auto"/>
              <w:bottom w:val="single" w:sz="8" w:space="0" w:color="auto"/>
              <w:right w:val="single" w:sz="8" w:space="0" w:color="auto"/>
            </w:tcBorders>
            <w:shd w:val="clear" w:color="auto" w:fill="auto"/>
            <w:vAlign w:val="bottom"/>
          </w:tcPr>
          <w:p w14:paraId="6DB03598" w14:textId="77777777" w:rsidR="001C538A" w:rsidRPr="00FC6B9C" w:rsidRDefault="001C538A">
            <w:pPr>
              <w:spacing w:line="231" w:lineRule="exact"/>
              <w:jc w:val="center"/>
              <w:rPr>
                <w:rFonts w:ascii="Lato" w:hAnsi="Lato"/>
              </w:rPr>
            </w:pPr>
            <w:r w:rsidRPr="00FC6B9C">
              <w:rPr>
                <w:rFonts w:ascii="Lato" w:hAnsi="Lato"/>
              </w:rPr>
              <w:t>High ridership</w:t>
            </w:r>
          </w:p>
        </w:tc>
        <w:tc>
          <w:tcPr>
            <w:tcW w:w="1680" w:type="dxa"/>
            <w:tcBorders>
              <w:bottom w:val="single" w:sz="8" w:space="0" w:color="auto"/>
              <w:right w:val="single" w:sz="8" w:space="0" w:color="auto"/>
            </w:tcBorders>
            <w:shd w:val="clear" w:color="auto" w:fill="auto"/>
            <w:vAlign w:val="bottom"/>
          </w:tcPr>
          <w:p w14:paraId="1C04F6D1" w14:textId="77777777" w:rsidR="001C538A" w:rsidRPr="00FC6B9C" w:rsidRDefault="001C538A">
            <w:pPr>
              <w:spacing w:line="231" w:lineRule="exact"/>
              <w:jc w:val="center"/>
              <w:rPr>
                <w:rFonts w:ascii="Lato" w:hAnsi="Lato"/>
                <w:w w:val="94"/>
              </w:rPr>
            </w:pPr>
            <w:r w:rsidRPr="00FC6B9C">
              <w:rPr>
                <w:rFonts w:ascii="Lato" w:hAnsi="Lato"/>
                <w:w w:val="94"/>
              </w:rPr>
              <w:t>5.0</w:t>
            </w:r>
          </w:p>
        </w:tc>
        <w:tc>
          <w:tcPr>
            <w:tcW w:w="1660" w:type="dxa"/>
            <w:tcBorders>
              <w:bottom w:val="single" w:sz="8" w:space="0" w:color="auto"/>
              <w:right w:val="single" w:sz="8" w:space="0" w:color="auto"/>
            </w:tcBorders>
            <w:shd w:val="clear" w:color="auto" w:fill="auto"/>
            <w:vAlign w:val="bottom"/>
          </w:tcPr>
          <w:p w14:paraId="057D674D" w14:textId="77777777" w:rsidR="001C538A" w:rsidRPr="00FC6B9C" w:rsidRDefault="001C538A">
            <w:pPr>
              <w:spacing w:line="231" w:lineRule="exact"/>
              <w:jc w:val="center"/>
              <w:rPr>
                <w:rFonts w:ascii="Lato" w:hAnsi="Lato"/>
                <w:w w:val="95"/>
              </w:rPr>
            </w:pPr>
            <w:r w:rsidRPr="00FC6B9C">
              <w:rPr>
                <w:rFonts w:ascii="Lato" w:hAnsi="Lato"/>
                <w:w w:val="95"/>
              </w:rPr>
              <w:t>12.3</w:t>
            </w:r>
          </w:p>
        </w:tc>
        <w:tc>
          <w:tcPr>
            <w:tcW w:w="1660" w:type="dxa"/>
            <w:tcBorders>
              <w:bottom w:val="single" w:sz="8" w:space="0" w:color="auto"/>
              <w:right w:val="single" w:sz="8" w:space="0" w:color="auto"/>
            </w:tcBorders>
            <w:shd w:val="clear" w:color="auto" w:fill="auto"/>
            <w:vAlign w:val="bottom"/>
          </w:tcPr>
          <w:p w14:paraId="36F0B15E" w14:textId="77777777" w:rsidR="001C538A" w:rsidRPr="00FC6B9C" w:rsidRDefault="001C538A">
            <w:pPr>
              <w:spacing w:line="231" w:lineRule="exact"/>
              <w:jc w:val="center"/>
              <w:rPr>
                <w:rFonts w:ascii="Lato" w:hAnsi="Lato"/>
              </w:rPr>
            </w:pPr>
            <w:r w:rsidRPr="00FC6B9C">
              <w:rPr>
                <w:rFonts w:ascii="Lato" w:hAnsi="Lato"/>
              </w:rPr>
              <w:t>24.2</w:t>
            </w:r>
          </w:p>
        </w:tc>
      </w:tr>
      <w:tr w:rsidR="001C538A" w:rsidRPr="00FC6B9C" w14:paraId="70953DEE" w14:textId="77777777">
        <w:trPr>
          <w:trHeight w:val="234"/>
        </w:trPr>
        <w:tc>
          <w:tcPr>
            <w:tcW w:w="4400" w:type="dxa"/>
            <w:tcBorders>
              <w:left w:val="single" w:sz="8" w:space="0" w:color="auto"/>
              <w:bottom w:val="single" w:sz="8" w:space="0" w:color="auto"/>
              <w:right w:val="single" w:sz="8" w:space="0" w:color="auto"/>
            </w:tcBorders>
            <w:shd w:val="clear" w:color="auto" w:fill="auto"/>
            <w:vAlign w:val="bottom"/>
          </w:tcPr>
          <w:p w14:paraId="54ADEF28" w14:textId="77777777" w:rsidR="001C538A" w:rsidRPr="00FC6B9C" w:rsidRDefault="001C538A">
            <w:pPr>
              <w:spacing w:line="230" w:lineRule="exact"/>
              <w:jc w:val="center"/>
              <w:rPr>
                <w:rFonts w:ascii="Lato" w:hAnsi="Lato"/>
              </w:rPr>
            </w:pPr>
            <w:r w:rsidRPr="00FC6B9C">
              <w:rPr>
                <w:rFonts w:ascii="Lato" w:hAnsi="Lato"/>
              </w:rPr>
              <w:t>Medium ridership</w:t>
            </w:r>
          </w:p>
        </w:tc>
        <w:tc>
          <w:tcPr>
            <w:tcW w:w="1680" w:type="dxa"/>
            <w:tcBorders>
              <w:bottom w:val="single" w:sz="8" w:space="0" w:color="auto"/>
              <w:right w:val="single" w:sz="8" w:space="0" w:color="auto"/>
            </w:tcBorders>
            <w:shd w:val="clear" w:color="auto" w:fill="auto"/>
            <w:vAlign w:val="bottom"/>
          </w:tcPr>
          <w:p w14:paraId="2FBCA5FA" w14:textId="77777777" w:rsidR="001C538A" w:rsidRPr="00FC6B9C" w:rsidRDefault="001C538A">
            <w:pPr>
              <w:spacing w:line="230" w:lineRule="exact"/>
              <w:jc w:val="center"/>
              <w:rPr>
                <w:rFonts w:ascii="Lato" w:hAnsi="Lato"/>
                <w:w w:val="94"/>
              </w:rPr>
            </w:pPr>
            <w:r w:rsidRPr="00FC6B9C">
              <w:rPr>
                <w:rFonts w:ascii="Lato" w:hAnsi="Lato"/>
                <w:w w:val="94"/>
              </w:rPr>
              <w:t>4.0</w:t>
            </w:r>
          </w:p>
        </w:tc>
        <w:tc>
          <w:tcPr>
            <w:tcW w:w="1660" w:type="dxa"/>
            <w:tcBorders>
              <w:bottom w:val="single" w:sz="8" w:space="0" w:color="auto"/>
              <w:right w:val="single" w:sz="8" w:space="0" w:color="auto"/>
            </w:tcBorders>
            <w:shd w:val="clear" w:color="auto" w:fill="auto"/>
            <w:vAlign w:val="bottom"/>
          </w:tcPr>
          <w:p w14:paraId="7338367E" w14:textId="77777777" w:rsidR="001C538A" w:rsidRPr="00FC6B9C" w:rsidRDefault="001C538A">
            <w:pPr>
              <w:spacing w:line="230" w:lineRule="exact"/>
              <w:jc w:val="center"/>
              <w:rPr>
                <w:rFonts w:ascii="Lato" w:hAnsi="Lato"/>
              </w:rPr>
            </w:pPr>
            <w:r w:rsidRPr="00FC6B9C">
              <w:rPr>
                <w:rFonts w:ascii="Lato" w:hAnsi="Lato"/>
              </w:rPr>
              <w:t>9.6</w:t>
            </w:r>
          </w:p>
        </w:tc>
        <w:tc>
          <w:tcPr>
            <w:tcW w:w="1660" w:type="dxa"/>
            <w:tcBorders>
              <w:bottom w:val="single" w:sz="8" w:space="0" w:color="auto"/>
              <w:right w:val="single" w:sz="8" w:space="0" w:color="auto"/>
            </w:tcBorders>
            <w:shd w:val="clear" w:color="auto" w:fill="auto"/>
            <w:vAlign w:val="bottom"/>
          </w:tcPr>
          <w:p w14:paraId="4E8F7556" w14:textId="77777777" w:rsidR="001C538A" w:rsidRPr="00FC6B9C" w:rsidRDefault="001C538A">
            <w:pPr>
              <w:spacing w:line="230" w:lineRule="exact"/>
              <w:jc w:val="center"/>
              <w:rPr>
                <w:rFonts w:ascii="Lato" w:hAnsi="Lato"/>
              </w:rPr>
            </w:pPr>
            <w:r w:rsidRPr="00FC6B9C">
              <w:rPr>
                <w:rFonts w:ascii="Lato" w:hAnsi="Lato"/>
              </w:rPr>
              <w:t>19.3</w:t>
            </w:r>
          </w:p>
        </w:tc>
      </w:tr>
      <w:tr w:rsidR="001C538A" w:rsidRPr="00FC6B9C" w14:paraId="279754A3" w14:textId="77777777">
        <w:trPr>
          <w:trHeight w:val="234"/>
        </w:trPr>
        <w:tc>
          <w:tcPr>
            <w:tcW w:w="4400" w:type="dxa"/>
            <w:tcBorders>
              <w:left w:val="single" w:sz="8" w:space="0" w:color="auto"/>
              <w:bottom w:val="single" w:sz="8" w:space="0" w:color="auto"/>
              <w:right w:val="single" w:sz="8" w:space="0" w:color="auto"/>
            </w:tcBorders>
            <w:shd w:val="clear" w:color="auto" w:fill="auto"/>
            <w:vAlign w:val="bottom"/>
          </w:tcPr>
          <w:p w14:paraId="2875BD90" w14:textId="77777777" w:rsidR="001C538A" w:rsidRPr="00FC6B9C" w:rsidRDefault="001C538A">
            <w:pPr>
              <w:spacing w:line="230" w:lineRule="exact"/>
              <w:jc w:val="center"/>
              <w:rPr>
                <w:rFonts w:ascii="Lato" w:hAnsi="Lato"/>
                <w:w w:val="99"/>
              </w:rPr>
            </w:pPr>
            <w:r w:rsidRPr="00FC6B9C">
              <w:rPr>
                <w:rFonts w:ascii="Lato" w:hAnsi="Lato"/>
                <w:w w:val="99"/>
              </w:rPr>
              <w:t>Low ridership</w:t>
            </w:r>
          </w:p>
        </w:tc>
        <w:tc>
          <w:tcPr>
            <w:tcW w:w="1680" w:type="dxa"/>
            <w:tcBorders>
              <w:bottom w:val="single" w:sz="8" w:space="0" w:color="auto"/>
              <w:right w:val="single" w:sz="8" w:space="0" w:color="auto"/>
            </w:tcBorders>
            <w:shd w:val="clear" w:color="auto" w:fill="auto"/>
            <w:vAlign w:val="bottom"/>
          </w:tcPr>
          <w:p w14:paraId="47F5F895" w14:textId="77777777" w:rsidR="001C538A" w:rsidRPr="00FC6B9C" w:rsidRDefault="001C538A">
            <w:pPr>
              <w:spacing w:line="230" w:lineRule="exact"/>
              <w:jc w:val="center"/>
              <w:rPr>
                <w:rFonts w:ascii="Lato" w:hAnsi="Lato"/>
                <w:w w:val="94"/>
              </w:rPr>
            </w:pPr>
            <w:r w:rsidRPr="00FC6B9C">
              <w:rPr>
                <w:rFonts w:ascii="Lato" w:hAnsi="Lato"/>
                <w:w w:val="94"/>
              </w:rPr>
              <w:t>2.9</w:t>
            </w:r>
          </w:p>
        </w:tc>
        <w:tc>
          <w:tcPr>
            <w:tcW w:w="1660" w:type="dxa"/>
            <w:tcBorders>
              <w:bottom w:val="single" w:sz="8" w:space="0" w:color="auto"/>
              <w:right w:val="single" w:sz="8" w:space="0" w:color="auto"/>
            </w:tcBorders>
            <w:shd w:val="clear" w:color="auto" w:fill="auto"/>
            <w:vAlign w:val="bottom"/>
          </w:tcPr>
          <w:p w14:paraId="424E399B" w14:textId="77777777" w:rsidR="001C538A" w:rsidRPr="00FC6B9C" w:rsidRDefault="001C538A">
            <w:pPr>
              <w:spacing w:line="230" w:lineRule="exact"/>
              <w:jc w:val="center"/>
              <w:rPr>
                <w:rFonts w:ascii="Lato" w:hAnsi="Lato"/>
              </w:rPr>
            </w:pPr>
            <w:r w:rsidRPr="00FC6B9C">
              <w:rPr>
                <w:rFonts w:ascii="Lato" w:hAnsi="Lato"/>
              </w:rPr>
              <w:t>6.8</w:t>
            </w:r>
          </w:p>
        </w:tc>
        <w:tc>
          <w:tcPr>
            <w:tcW w:w="1660" w:type="dxa"/>
            <w:tcBorders>
              <w:bottom w:val="single" w:sz="8" w:space="0" w:color="auto"/>
              <w:right w:val="single" w:sz="8" w:space="0" w:color="auto"/>
            </w:tcBorders>
            <w:shd w:val="clear" w:color="auto" w:fill="auto"/>
            <w:vAlign w:val="bottom"/>
          </w:tcPr>
          <w:p w14:paraId="4E04C21B" w14:textId="77777777" w:rsidR="001C538A" w:rsidRPr="00FC6B9C" w:rsidRDefault="001C538A">
            <w:pPr>
              <w:spacing w:line="230" w:lineRule="exact"/>
              <w:jc w:val="center"/>
              <w:rPr>
                <w:rFonts w:ascii="Lato" w:hAnsi="Lato"/>
              </w:rPr>
            </w:pPr>
            <w:r w:rsidRPr="00FC6B9C">
              <w:rPr>
                <w:rFonts w:ascii="Lato" w:hAnsi="Lato"/>
              </w:rPr>
              <w:t>14.4</w:t>
            </w:r>
          </w:p>
        </w:tc>
      </w:tr>
      <w:tr w:rsidR="001C538A" w:rsidRPr="00FC6B9C" w14:paraId="2168B217" w14:textId="77777777">
        <w:trPr>
          <w:trHeight w:val="258"/>
        </w:trPr>
        <w:tc>
          <w:tcPr>
            <w:tcW w:w="4400" w:type="dxa"/>
            <w:tcBorders>
              <w:left w:val="single" w:sz="8" w:space="0" w:color="auto"/>
              <w:bottom w:val="single" w:sz="8" w:space="0" w:color="auto"/>
              <w:right w:val="single" w:sz="8" w:space="0" w:color="auto"/>
            </w:tcBorders>
            <w:shd w:val="clear" w:color="auto" w:fill="auto"/>
            <w:vAlign w:val="bottom"/>
          </w:tcPr>
          <w:p w14:paraId="7396A7FC" w14:textId="77777777" w:rsidR="001C538A" w:rsidRPr="00FC6B9C" w:rsidRDefault="001C538A">
            <w:pPr>
              <w:spacing w:line="253" w:lineRule="exact"/>
              <w:jc w:val="center"/>
              <w:rPr>
                <w:rFonts w:ascii="Lato" w:hAnsi="Lato"/>
                <w:b/>
                <w:w w:val="98"/>
                <w:sz w:val="22"/>
              </w:rPr>
            </w:pPr>
            <w:r w:rsidRPr="00FC6B9C">
              <w:rPr>
                <w:rFonts w:ascii="Lato" w:hAnsi="Lato"/>
                <w:b/>
                <w:w w:val="98"/>
                <w:sz w:val="22"/>
              </w:rPr>
              <w:t>Breakeven</w:t>
            </w:r>
          </w:p>
        </w:tc>
        <w:tc>
          <w:tcPr>
            <w:tcW w:w="1680" w:type="dxa"/>
            <w:tcBorders>
              <w:bottom w:val="single" w:sz="8" w:space="0" w:color="auto"/>
              <w:right w:val="single" w:sz="8" w:space="0" w:color="auto"/>
            </w:tcBorders>
            <w:shd w:val="clear" w:color="auto" w:fill="auto"/>
            <w:vAlign w:val="bottom"/>
          </w:tcPr>
          <w:p w14:paraId="75B76648" w14:textId="77777777" w:rsidR="001C538A" w:rsidRPr="00FC6B9C" w:rsidRDefault="001C538A">
            <w:pPr>
              <w:spacing w:line="253" w:lineRule="exact"/>
              <w:jc w:val="center"/>
              <w:rPr>
                <w:rFonts w:ascii="Lato" w:hAnsi="Lato"/>
                <w:b/>
                <w:w w:val="99"/>
                <w:sz w:val="22"/>
              </w:rPr>
            </w:pPr>
            <w:r w:rsidRPr="00FC6B9C">
              <w:rPr>
                <w:rFonts w:ascii="Lato" w:hAnsi="Lato"/>
                <w:b/>
                <w:w w:val="99"/>
                <w:sz w:val="22"/>
              </w:rPr>
              <w:t>2.3</w:t>
            </w:r>
          </w:p>
        </w:tc>
        <w:tc>
          <w:tcPr>
            <w:tcW w:w="1660" w:type="dxa"/>
            <w:tcBorders>
              <w:bottom w:val="single" w:sz="8" w:space="0" w:color="auto"/>
              <w:right w:val="single" w:sz="8" w:space="0" w:color="auto"/>
            </w:tcBorders>
            <w:shd w:val="clear" w:color="auto" w:fill="auto"/>
            <w:vAlign w:val="bottom"/>
          </w:tcPr>
          <w:p w14:paraId="17DBBC30" w14:textId="77777777" w:rsidR="001C538A" w:rsidRPr="00FC6B9C" w:rsidRDefault="001C538A">
            <w:pPr>
              <w:spacing w:line="253" w:lineRule="exact"/>
              <w:jc w:val="center"/>
              <w:rPr>
                <w:rFonts w:ascii="Lato" w:hAnsi="Lato"/>
                <w:b/>
                <w:w w:val="99"/>
                <w:sz w:val="22"/>
              </w:rPr>
            </w:pPr>
            <w:r w:rsidRPr="00FC6B9C">
              <w:rPr>
                <w:rFonts w:ascii="Lato" w:hAnsi="Lato"/>
                <w:b/>
                <w:w w:val="99"/>
                <w:sz w:val="22"/>
              </w:rPr>
              <w:t>2.5</w:t>
            </w:r>
          </w:p>
        </w:tc>
        <w:tc>
          <w:tcPr>
            <w:tcW w:w="1660" w:type="dxa"/>
            <w:tcBorders>
              <w:bottom w:val="single" w:sz="8" w:space="0" w:color="auto"/>
              <w:right w:val="single" w:sz="8" w:space="0" w:color="auto"/>
            </w:tcBorders>
            <w:shd w:val="clear" w:color="auto" w:fill="auto"/>
            <w:vAlign w:val="bottom"/>
          </w:tcPr>
          <w:p w14:paraId="63CF43CB" w14:textId="77777777" w:rsidR="001C538A" w:rsidRPr="00FC6B9C" w:rsidRDefault="001C538A">
            <w:pPr>
              <w:spacing w:line="253" w:lineRule="exact"/>
              <w:jc w:val="center"/>
              <w:rPr>
                <w:rFonts w:ascii="Lato" w:hAnsi="Lato"/>
                <w:b/>
                <w:w w:val="99"/>
                <w:sz w:val="22"/>
              </w:rPr>
            </w:pPr>
            <w:r w:rsidRPr="00FC6B9C">
              <w:rPr>
                <w:rFonts w:ascii="Lato" w:hAnsi="Lato"/>
                <w:b/>
                <w:w w:val="99"/>
                <w:sz w:val="22"/>
              </w:rPr>
              <w:t>6.1</w:t>
            </w:r>
          </w:p>
        </w:tc>
      </w:tr>
    </w:tbl>
    <w:p w14:paraId="4884F30C" w14:textId="77777777" w:rsidR="001C538A" w:rsidRPr="00FC6B9C" w:rsidRDefault="001C538A">
      <w:pPr>
        <w:spacing w:line="261" w:lineRule="exact"/>
        <w:rPr>
          <w:rFonts w:ascii="Lato" w:eastAsia="Times New Roman" w:hAnsi="Lato"/>
        </w:rPr>
      </w:pPr>
    </w:p>
    <w:p w14:paraId="2F6CF345" w14:textId="77777777" w:rsidR="001C538A" w:rsidRPr="00FC6B9C" w:rsidRDefault="001C538A">
      <w:pPr>
        <w:spacing w:line="0" w:lineRule="atLeast"/>
        <w:rPr>
          <w:rFonts w:ascii="Lato" w:hAnsi="Lato"/>
          <w:b/>
          <w:sz w:val="22"/>
        </w:rPr>
      </w:pPr>
      <w:r w:rsidRPr="00FC6B9C">
        <w:rPr>
          <w:rFonts w:ascii="Lato" w:hAnsi="Lato"/>
          <w:b/>
          <w:sz w:val="22"/>
        </w:rPr>
        <w:t>STRONG JOB CREATION</w:t>
      </w:r>
    </w:p>
    <w:p w14:paraId="01BD64BA" w14:textId="77777777" w:rsidR="001C538A" w:rsidRPr="00FC6B9C" w:rsidRDefault="001C538A">
      <w:pPr>
        <w:spacing w:line="318" w:lineRule="exact"/>
        <w:rPr>
          <w:rFonts w:ascii="Lato" w:eastAsia="Times New Roman" w:hAnsi="Lato"/>
        </w:rPr>
      </w:pPr>
    </w:p>
    <w:p w14:paraId="59CDF20F" w14:textId="77777777" w:rsidR="001C538A" w:rsidRPr="00FC6B9C" w:rsidRDefault="001C538A">
      <w:pPr>
        <w:spacing w:line="225" w:lineRule="auto"/>
        <w:ind w:right="140"/>
        <w:rPr>
          <w:rFonts w:ascii="Lato" w:hAnsi="Lato"/>
          <w:sz w:val="22"/>
        </w:rPr>
      </w:pPr>
      <w:r w:rsidRPr="00FC6B9C">
        <w:rPr>
          <w:rFonts w:ascii="Lato" w:hAnsi="Lato"/>
          <w:sz w:val="22"/>
        </w:rPr>
        <w:t>Construction of the first segment of the IOS is expected to generate 100,000 job-years of employment over five years. Building the Phase 1 blended system—the Bay Area to Southern California—is estimated to create 990,000 job-years over 15 years, an average of 66,000 annually.</w:t>
      </w:r>
    </w:p>
    <w:p w14:paraId="4CCC1606" w14:textId="77777777" w:rsidR="001C538A" w:rsidRPr="00FC6B9C" w:rsidRDefault="001C538A">
      <w:pPr>
        <w:spacing w:line="269" w:lineRule="exact"/>
        <w:rPr>
          <w:rFonts w:ascii="Lato" w:eastAsia="Times New Roman" w:hAnsi="Lato"/>
        </w:rPr>
      </w:pPr>
    </w:p>
    <w:p w14:paraId="4C75B63A" w14:textId="77777777" w:rsidR="001C538A" w:rsidRPr="00FC6B9C" w:rsidRDefault="001C538A">
      <w:pPr>
        <w:spacing w:line="0" w:lineRule="atLeast"/>
        <w:rPr>
          <w:rFonts w:ascii="Lato" w:hAnsi="Lato"/>
          <w:b/>
          <w:sz w:val="22"/>
        </w:rPr>
      </w:pPr>
      <w:r w:rsidRPr="00FC6B9C">
        <w:rPr>
          <w:rFonts w:ascii="Lato" w:hAnsi="Lato"/>
          <w:b/>
          <w:sz w:val="22"/>
        </w:rPr>
        <w:t>ENVIRONMENTAL BENEFITS AND IMPROVED QUALITY OF LIFE</w:t>
      </w:r>
    </w:p>
    <w:p w14:paraId="5ADCA4F0" w14:textId="77777777" w:rsidR="001C538A" w:rsidRPr="00FC6B9C" w:rsidRDefault="001C538A">
      <w:pPr>
        <w:spacing w:line="269" w:lineRule="exact"/>
        <w:rPr>
          <w:rFonts w:ascii="Lato" w:eastAsia="Times New Roman" w:hAnsi="Lato"/>
        </w:rPr>
      </w:pPr>
    </w:p>
    <w:p w14:paraId="5DB06B2B" w14:textId="4B16210A" w:rsidR="001C538A" w:rsidRPr="00F632EA" w:rsidRDefault="001C538A" w:rsidP="00F632EA">
      <w:pPr>
        <w:pStyle w:val="ListParagraph"/>
        <w:numPr>
          <w:ilvl w:val="0"/>
          <w:numId w:val="11"/>
        </w:numPr>
        <w:tabs>
          <w:tab w:val="left" w:pos="360"/>
        </w:tabs>
        <w:spacing w:line="0" w:lineRule="atLeast"/>
        <w:jc w:val="both"/>
        <w:rPr>
          <w:rFonts w:ascii="Lato" w:eastAsia="Symbol" w:hAnsi="Lato"/>
          <w:sz w:val="22"/>
        </w:rPr>
      </w:pPr>
      <w:proofErr w:type="spellStart"/>
      <w:r w:rsidRPr="00F632EA">
        <w:rPr>
          <w:rFonts w:ascii="Lato" w:hAnsi="Lato"/>
          <w:sz w:val="22"/>
        </w:rPr>
        <w:t>llion</w:t>
      </w:r>
      <w:proofErr w:type="spellEnd"/>
      <w:r w:rsidRPr="00F632EA">
        <w:rPr>
          <w:rFonts w:ascii="Lato" w:hAnsi="Lato"/>
          <w:sz w:val="22"/>
        </w:rPr>
        <w:t xml:space="preserve"> fewer vehicle miles traveled over 40 years</w:t>
      </w:r>
    </w:p>
    <w:p w14:paraId="540C449C" w14:textId="4A0C3899" w:rsidR="001C538A" w:rsidRPr="00F632EA" w:rsidRDefault="001C538A" w:rsidP="00F632EA">
      <w:pPr>
        <w:pStyle w:val="ListParagraph"/>
        <w:numPr>
          <w:ilvl w:val="0"/>
          <w:numId w:val="11"/>
        </w:numPr>
        <w:tabs>
          <w:tab w:val="left" w:pos="360"/>
        </w:tabs>
        <w:spacing w:line="0" w:lineRule="atLeast"/>
        <w:jc w:val="both"/>
        <w:rPr>
          <w:rFonts w:ascii="Lato" w:eastAsia="Symbol" w:hAnsi="Lato"/>
          <w:sz w:val="22"/>
        </w:rPr>
      </w:pPr>
      <w:proofErr w:type="spellStart"/>
      <w:r w:rsidRPr="00F632EA">
        <w:rPr>
          <w:rFonts w:ascii="Lato" w:hAnsi="Lato"/>
          <w:sz w:val="22"/>
        </w:rPr>
        <w:t>llion</w:t>
      </w:r>
      <w:proofErr w:type="spellEnd"/>
      <w:r w:rsidRPr="00F632EA">
        <w:rPr>
          <w:rFonts w:ascii="Lato" w:hAnsi="Lato"/>
          <w:sz w:val="22"/>
        </w:rPr>
        <w:t xml:space="preserve"> hours in traffic saved annually</w:t>
      </w:r>
    </w:p>
    <w:p w14:paraId="75B0F567" w14:textId="35591B3B" w:rsidR="001C538A" w:rsidRPr="00F632EA" w:rsidRDefault="001C538A" w:rsidP="00F632EA">
      <w:pPr>
        <w:pStyle w:val="ListParagraph"/>
        <w:numPr>
          <w:ilvl w:val="0"/>
          <w:numId w:val="11"/>
        </w:numPr>
        <w:tabs>
          <w:tab w:val="left" w:pos="360"/>
        </w:tabs>
        <w:spacing w:line="0" w:lineRule="atLeast"/>
        <w:jc w:val="both"/>
        <w:rPr>
          <w:rFonts w:ascii="Lato" w:eastAsia="Symbol" w:hAnsi="Lato"/>
          <w:sz w:val="22"/>
        </w:rPr>
      </w:pPr>
      <w:r w:rsidRPr="00F632EA">
        <w:rPr>
          <w:rFonts w:ascii="Lato" w:hAnsi="Lato"/>
          <w:sz w:val="22"/>
        </w:rPr>
        <w:t>CO2 emissions reduced by 3 million tons annually</w:t>
      </w:r>
    </w:p>
    <w:p w14:paraId="20C35D5E" w14:textId="19C700FB" w:rsidR="001C538A" w:rsidRPr="00F632EA" w:rsidRDefault="001C538A" w:rsidP="00F632EA">
      <w:pPr>
        <w:pStyle w:val="ListParagraph"/>
        <w:numPr>
          <w:ilvl w:val="0"/>
          <w:numId w:val="11"/>
        </w:numPr>
        <w:tabs>
          <w:tab w:val="left" w:pos="360"/>
        </w:tabs>
        <w:spacing w:line="0" w:lineRule="atLeast"/>
        <w:jc w:val="both"/>
        <w:rPr>
          <w:rFonts w:ascii="Lato" w:eastAsia="Symbol" w:hAnsi="Lato"/>
          <w:sz w:val="22"/>
        </w:rPr>
      </w:pPr>
      <w:proofErr w:type="spellStart"/>
      <w:r w:rsidRPr="00F632EA">
        <w:rPr>
          <w:rFonts w:ascii="Lato" w:hAnsi="Lato"/>
          <w:sz w:val="22"/>
        </w:rPr>
        <w:t>llion</w:t>
      </w:r>
      <w:proofErr w:type="spellEnd"/>
      <w:r w:rsidRPr="00F632EA">
        <w:rPr>
          <w:rFonts w:ascii="Lato" w:hAnsi="Lato"/>
          <w:sz w:val="22"/>
        </w:rPr>
        <w:t xml:space="preserve"> gallons of auto fuel will be saved annually</w:t>
      </w:r>
    </w:p>
    <w:p w14:paraId="01E196D3" w14:textId="4E3CD036" w:rsidR="001C538A" w:rsidRPr="00F632EA" w:rsidRDefault="001C538A" w:rsidP="00F632EA">
      <w:pPr>
        <w:pStyle w:val="ListParagraph"/>
        <w:numPr>
          <w:ilvl w:val="0"/>
          <w:numId w:val="11"/>
        </w:numPr>
        <w:tabs>
          <w:tab w:val="left" w:pos="360"/>
        </w:tabs>
        <w:spacing w:line="238" w:lineRule="auto"/>
        <w:jc w:val="both"/>
        <w:rPr>
          <w:rFonts w:ascii="Lato" w:eastAsia="Symbol" w:hAnsi="Lato"/>
          <w:sz w:val="22"/>
        </w:rPr>
      </w:pPr>
      <w:r w:rsidRPr="00F632EA">
        <w:rPr>
          <w:rFonts w:ascii="Lato" w:hAnsi="Lato"/>
          <w:sz w:val="22"/>
        </w:rPr>
        <w:t>35 million gallons of aviation fuel will be saved annually</w:t>
      </w:r>
    </w:p>
    <w:p w14:paraId="4663CE8E" w14:textId="77777777" w:rsidR="001C538A" w:rsidRPr="00FC6B9C" w:rsidRDefault="001C538A">
      <w:pPr>
        <w:spacing w:line="269" w:lineRule="exact"/>
        <w:rPr>
          <w:rFonts w:ascii="Lato" w:eastAsia="Symbol" w:hAnsi="Lato"/>
          <w:sz w:val="22"/>
        </w:rPr>
      </w:pPr>
    </w:p>
    <w:p w14:paraId="7DF7F660" w14:textId="77777777" w:rsidR="001C538A" w:rsidRPr="00FC6B9C" w:rsidRDefault="001C538A">
      <w:pPr>
        <w:numPr>
          <w:ilvl w:val="1"/>
          <w:numId w:val="4"/>
        </w:numPr>
        <w:tabs>
          <w:tab w:val="left" w:pos="4800"/>
        </w:tabs>
        <w:spacing w:line="239" w:lineRule="auto"/>
        <w:ind w:left="4800" w:hanging="155"/>
        <w:jc w:val="both"/>
        <w:rPr>
          <w:rFonts w:ascii="Lato" w:hAnsi="Lato"/>
          <w:sz w:val="22"/>
        </w:rPr>
      </w:pPr>
      <w:r w:rsidRPr="00FC6B9C">
        <w:rPr>
          <w:rFonts w:ascii="Lato" w:hAnsi="Lato"/>
          <w:sz w:val="22"/>
        </w:rPr>
        <w:t># #</w:t>
      </w:r>
    </w:p>
    <w:sectPr w:rsidR="001C538A" w:rsidRPr="00FC6B9C">
      <w:pgSz w:w="12240" w:h="15840"/>
      <w:pgMar w:top="999" w:right="1320" w:bottom="1440" w:left="1440" w:header="0" w:footer="0" w:gutter="0"/>
      <w:cols w:space="0" w:equalWidth="0">
        <w:col w:w="9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9046646E">
      <w:start w:val="1"/>
      <w:numFmt w:val="bullet"/>
      <w:lvlText w:val=""/>
      <w:lvlJc w:val="left"/>
    </w:lvl>
    <w:lvl w:ilvl="1" w:tplc="30FCA35C">
      <w:start w:val="1"/>
      <w:numFmt w:val="bullet"/>
      <w:lvlText w:val=""/>
      <w:lvlJc w:val="left"/>
    </w:lvl>
    <w:lvl w:ilvl="2" w:tplc="A5789AB8">
      <w:start w:val="1"/>
      <w:numFmt w:val="bullet"/>
      <w:lvlText w:val=""/>
      <w:lvlJc w:val="left"/>
    </w:lvl>
    <w:lvl w:ilvl="3" w:tplc="321CBF9E">
      <w:start w:val="1"/>
      <w:numFmt w:val="bullet"/>
      <w:lvlText w:val=""/>
      <w:lvlJc w:val="left"/>
    </w:lvl>
    <w:lvl w:ilvl="4" w:tplc="A5563E54">
      <w:start w:val="1"/>
      <w:numFmt w:val="bullet"/>
      <w:lvlText w:val=""/>
      <w:lvlJc w:val="left"/>
    </w:lvl>
    <w:lvl w:ilvl="5" w:tplc="7F964316">
      <w:start w:val="1"/>
      <w:numFmt w:val="bullet"/>
      <w:lvlText w:val=""/>
      <w:lvlJc w:val="left"/>
    </w:lvl>
    <w:lvl w:ilvl="6" w:tplc="27C88312">
      <w:start w:val="1"/>
      <w:numFmt w:val="bullet"/>
      <w:lvlText w:val=""/>
      <w:lvlJc w:val="left"/>
    </w:lvl>
    <w:lvl w:ilvl="7" w:tplc="C92E6E14">
      <w:start w:val="1"/>
      <w:numFmt w:val="bullet"/>
      <w:lvlText w:val=""/>
      <w:lvlJc w:val="left"/>
    </w:lvl>
    <w:lvl w:ilvl="8" w:tplc="8FBA656C">
      <w:start w:val="1"/>
      <w:numFmt w:val="bullet"/>
      <w:lvlText w:val=""/>
      <w:lvlJc w:val="left"/>
    </w:lvl>
  </w:abstractNum>
  <w:abstractNum w:abstractNumId="1" w15:restartNumberingAfterBreak="0">
    <w:nsid w:val="00000002"/>
    <w:multiLevelType w:val="hybridMultilevel"/>
    <w:tmpl w:val="19495CFE"/>
    <w:lvl w:ilvl="0" w:tplc="81AE4E92">
      <w:start w:val="1"/>
      <w:numFmt w:val="bullet"/>
      <w:lvlText w:val=""/>
      <w:lvlJc w:val="left"/>
    </w:lvl>
    <w:lvl w:ilvl="1" w:tplc="87B47110">
      <w:start w:val="1"/>
      <w:numFmt w:val="bullet"/>
      <w:lvlText w:val=""/>
      <w:lvlJc w:val="left"/>
    </w:lvl>
    <w:lvl w:ilvl="2" w:tplc="127C87D4">
      <w:start w:val="1"/>
      <w:numFmt w:val="bullet"/>
      <w:lvlText w:val=""/>
      <w:lvlJc w:val="left"/>
    </w:lvl>
    <w:lvl w:ilvl="3" w:tplc="63F081EE">
      <w:start w:val="1"/>
      <w:numFmt w:val="bullet"/>
      <w:lvlText w:val=""/>
      <w:lvlJc w:val="left"/>
    </w:lvl>
    <w:lvl w:ilvl="4" w:tplc="02E2E330">
      <w:start w:val="1"/>
      <w:numFmt w:val="bullet"/>
      <w:lvlText w:val=""/>
      <w:lvlJc w:val="left"/>
    </w:lvl>
    <w:lvl w:ilvl="5" w:tplc="2BF82D0A">
      <w:start w:val="1"/>
      <w:numFmt w:val="bullet"/>
      <w:lvlText w:val=""/>
      <w:lvlJc w:val="left"/>
    </w:lvl>
    <w:lvl w:ilvl="6" w:tplc="41861442">
      <w:start w:val="1"/>
      <w:numFmt w:val="bullet"/>
      <w:lvlText w:val=""/>
      <w:lvlJc w:val="left"/>
    </w:lvl>
    <w:lvl w:ilvl="7" w:tplc="9AD0AC48">
      <w:start w:val="1"/>
      <w:numFmt w:val="bullet"/>
      <w:lvlText w:val=""/>
      <w:lvlJc w:val="left"/>
    </w:lvl>
    <w:lvl w:ilvl="8" w:tplc="E4563E68">
      <w:start w:val="1"/>
      <w:numFmt w:val="bullet"/>
      <w:lvlText w:val=""/>
      <w:lvlJc w:val="left"/>
    </w:lvl>
  </w:abstractNum>
  <w:abstractNum w:abstractNumId="2" w15:restartNumberingAfterBreak="0">
    <w:nsid w:val="00000003"/>
    <w:multiLevelType w:val="hybridMultilevel"/>
    <w:tmpl w:val="2AE8944A"/>
    <w:lvl w:ilvl="0" w:tplc="2D3A8564">
      <w:start w:val="1"/>
      <w:numFmt w:val="bullet"/>
      <w:lvlText w:val=""/>
      <w:lvlJc w:val="left"/>
    </w:lvl>
    <w:lvl w:ilvl="1" w:tplc="CF50DFEE">
      <w:start w:val="1"/>
      <w:numFmt w:val="bullet"/>
      <w:lvlText w:val=""/>
      <w:lvlJc w:val="left"/>
    </w:lvl>
    <w:lvl w:ilvl="2" w:tplc="29143BD2">
      <w:start w:val="1"/>
      <w:numFmt w:val="bullet"/>
      <w:lvlText w:val=""/>
      <w:lvlJc w:val="left"/>
    </w:lvl>
    <w:lvl w:ilvl="3" w:tplc="36A00E26">
      <w:start w:val="1"/>
      <w:numFmt w:val="bullet"/>
      <w:lvlText w:val=""/>
      <w:lvlJc w:val="left"/>
    </w:lvl>
    <w:lvl w:ilvl="4" w:tplc="179C006C">
      <w:start w:val="1"/>
      <w:numFmt w:val="bullet"/>
      <w:lvlText w:val=""/>
      <w:lvlJc w:val="left"/>
    </w:lvl>
    <w:lvl w:ilvl="5" w:tplc="95F2FD0E">
      <w:start w:val="1"/>
      <w:numFmt w:val="bullet"/>
      <w:lvlText w:val=""/>
      <w:lvlJc w:val="left"/>
    </w:lvl>
    <w:lvl w:ilvl="6" w:tplc="C922D180">
      <w:start w:val="1"/>
      <w:numFmt w:val="bullet"/>
      <w:lvlText w:val=""/>
      <w:lvlJc w:val="left"/>
    </w:lvl>
    <w:lvl w:ilvl="7" w:tplc="D8B63694">
      <w:start w:val="1"/>
      <w:numFmt w:val="bullet"/>
      <w:lvlText w:val=""/>
      <w:lvlJc w:val="left"/>
    </w:lvl>
    <w:lvl w:ilvl="8" w:tplc="4588E106">
      <w:start w:val="1"/>
      <w:numFmt w:val="bullet"/>
      <w:lvlText w:val=""/>
      <w:lvlJc w:val="left"/>
    </w:lvl>
  </w:abstractNum>
  <w:abstractNum w:abstractNumId="3" w15:restartNumberingAfterBreak="0">
    <w:nsid w:val="00000004"/>
    <w:multiLevelType w:val="hybridMultilevel"/>
    <w:tmpl w:val="625558EC"/>
    <w:lvl w:ilvl="0" w:tplc="F15CF8A8">
      <w:start w:val="1"/>
      <w:numFmt w:val="bullet"/>
      <w:lvlText w:val=""/>
      <w:lvlJc w:val="left"/>
    </w:lvl>
    <w:lvl w:ilvl="1" w:tplc="F77877EC">
      <w:start w:val="1"/>
      <w:numFmt w:val="bullet"/>
      <w:lvlText w:val="#"/>
      <w:lvlJc w:val="left"/>
    </w:lvl>
    <w:lvl w:ilvl="2" w:tplc="2FEE3DB4">
      <w:start w:val="1"/>
      <w:numFmt w:val="bullet"/>
      <w:lvlText w:val=""/>
      <w:lvlJc w:val="left"/>
    </w:lvl>
    <w:lvl w:ilvl="3" w:tplc="6D9A34EE">
      <w:start w:val="1"/>
      <w:numFmt w:val="bullet"/>
      <w:lvlText w:val=""/>
      <w:lvlJc w:val="left"/>
    </w:lvl>
    <w:lvl w:ilvl="4" w:tplc="0830674A">
      <w:start w:val="1"/>
      <w:numFmt w:val="bullet"/>
      <w:lvlText w:val=""/>
      <w:lvlJc w:val="left"/>
    </w:lvl>
    <w:lvl w:ilvl="5" w:tplc="208E3948">
      <w:start w:val="1"/>
      <w:numFmt w:val="bullet"/>
      <w:lvlText w:val=""/>
      <w:lvlJc w:val="left"/>
    </w:lvl>
    <w:lvl w:ilvl="6" w:tplc="F2381648">
      <w:start w:val="1"/>
      <w:numFmt w:val="bullet"/>
      <w:lvlText w:val=""/>
      <w:lvlJc w:val="left"/>
    </w:lvl>
    <w:lvl w:ilvl="7" w:tplc="1C3C7F50">
      <w:start w:val="1"/>
      <w:numFmt w:val="bullet"/>
      <w:lvlText w:val=""/>
      <w:lvlJc w:val="left"/>
    </w:lvl>
    <w:lvl w:ilvl="8" w:tplc="90A0DBF0">
      <w:start w:val="1"/>
      <w:numFmt w:val="bullet"/>
      <w:lvlText w:val=""/>
      <w:lvlJc w:val="left"/>
    </w:lvl>
  </w:abstractNum>
  <w:abstractNum w:abstractNumId="4" w15:restartNumberingAfterBreak="0">
    <w:nsid w:val="11F800C8"/>
    <w:multiLevelType w:val="hybridMultilevel"/>
    <w:tmpl w:val="39E09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045D7"/>
    <w:multiLevelType w:val="hybridMultilevel"/>
    <w:tmpl w:val="A6267FB8"/>
    <w:lvl w:ilvl="0" w:tplc="BB8A3848">
      <w:start w:val="320"/>
      <w:numFmt w:val="decimal"/>
      <w:lvlText w:val="%1"/>
      <w:lvlJc w:val="left"/>
      <w:pPr>
        <w:ind w:left="810" w:hanging="405"/>
      </w:pPr>
      <w:rPr>
        <w:rFonts w:eastAsia="Calibri"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38472B34"/>
    <w:multiLevelType w:val="hybridMultilevel"/>
    <w:tmpl w:val="32C6244E"/>
    <w:lvl w:ilvl="0" w:tplc="808E304C">
      <w:start w:val="237"/>
      <w:numFmt w:val="decimal"/>
      <w:lvlText w:val="%1"/>
      <w:lvlJc w:val="left"/>
      <w:pPr>
        <w:ind w:left="810" w:hanging="405"/>
      </w:pPr>
      <w:rPr>
        <w:rFonts w:eastAsia="Calibri"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B4568CE"/>
    <w:multiLevelType w:val="hybridMultilevel"/>
    <w:tmpl w:val="E00E0DCA"/>
    <w:lvl w:ilvl="0" w:tplc="D64E0FF0">
      <w:start w:val="146"/>
      <w:numFmt w:val="decimal"/>
      <w:lvlText w:val="%1"/>
      <w:lvlJc w:val="left"/>
      <w:pPr>
        <w:ind w:left="810" w:hanging="405"/>
      </w:pPr>
      <w:rPr>
        <w:rFonts w:eastAsia="Calibri"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635A4D48"/>
    <w:multiLevelType w:val="hybridMultilevel"/>
    <w:tmpl w:val="3760D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B77482"/>
    <w:multiLevelType w:val="hybridMultilevel"/>
    <w:tmpl w:val="DF820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2C334B"/>
    <w:multiLevelType w:val="hybridMultilevel"/>
    <w:tmpl w:val="23C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6676395">
    <w:abstractNumId w:val="0"/>
  </w:num>
  <w:num w:numId="2" w16cid:durableId="1231383647">
    <w:abstractNumId w:val="1"/>
  </w:num>
  <w:num w:numId="3" w16cid:durableId="1374891087">
    <w:abstractNumId w:val="2"/>
  </w:num>
  <w:num w:numId="4" w16cid:durableId="671686468">
    <w:abstractNumId w:val="3"/>
  </w:num>
  <w:num w:numId="5" w16cid:durableId="1363677300">
    <w:abstractNumId w:val="8"/>
  </w:num>
  <w:num w:numId="6" w16cid:durableId="1439567682">
    <w:abstractNumId w:val="4"/>
  </w:num>
  <w:num w:numId="7" w16cid:durableId="1321889969">
    <w:abstractNumId w:val="9"/>
  </w:num>
  <w:num w:numId="8" w16cid:durableId="314072876">
    <w:abstractNumId w:val="5"/>
  </w:num>
  <w:num w:numId="9" w16cid:durableId="1085346782">
    <w:abstractNumId w:val="7"/>
  </w:num>
  <w:num w:numId="10" w16cid:durableId="2102606195">
    <w:abstractNumId w:val="6"/>
  </w:num>
  <w:num w:numId="11" w16cid:durableId="18911137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CF"/>
    <w:rsid w:val="001C538A"/>
    <w:rsid w:val="007358CE"/>
    <w:rsid w:val="00B80FCF"/>
    <w:rsid w:val="00B91229"/>
    <w:rsid w:val="00F632EA"/>
    <w:rsid w:val="00FC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CF85D"/>
  <w15:chartTrackingRefBased/>
  <w15:docId w15:val="{3822EC7B-D0E8-48A8-ACF0-0826D5AF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BlueBerryLabs</dc:creator>
  <cp:keywords/>
  <cp:lastModifiedBy>1811</cp:lastModifiedBy>
  <cp:revision>3</cp:revision>
  <cp:lastPrinted>2022-04-19T05:07:00Z</cp:lastPrinted>
  <dcterms:created xsi:type="dcterms:W3CDTF">2022-04-19T05:09:00Z</dcterms:created>
  <dcterms:modified xsi:type="dcterms:W3CDTF">2022-04-19T05:10:00Z</dcterms:modified>
</cp:coreProperties>
</file>