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DA01" w14:textId="77777777" w:rsidR="000D43A2" w:rsidRPr="00E92990" w:rsidRDefault="000D43A2" w:rsidP="008235C5">
      <w:pPr>
        <w:spacing w:line="276" w:lineRule="auto"/>
        <w:jc w:val="both"/>
        <w:rPr>
          <w:rFonts w:ascii="Lato" w:hAnsi="Lato"/>
          <w:b/>
        </w:rPr>
      </w:pPr>
    </w:p>
    <w:p w14:paraId="64154622" w14:textId="77777777" w:rsidR="00AB0958" w:rsidRPr="00E92990" w:rsidRDefault="00AB0958" w:rsidP="008235C5">
      <w:pPr>
        <w:spacing w:line="276" w:lineRule="auto"/>
        <w:ind w:right="6"/>
        <w:jc w:val="both"/>
        <w:rPr>
          <w:rFonts w:ascii="Lato" w:hAnsi="Lato"/>
        </w:rPr>
      </w:pPr>
    </w:p>
    <w:p w14:paraId="1F30642A" w14:textId="77777777" w:rsidR="00AB0958" w:rsidRPr="00E92990" w:rsidRDefault="00F15B12" w:rsidP="00E92990">
      <w:pPr>
        <w:spacing w:line="276" w:lineRule="auto"/>
        <w:ind w:right="6"/>
        <w:jc w:val="center"/>
        <w:rPr>
          <w:rFonts w:ascii="Lato" w:hAnsi="Lato"/>
          <w:b/>
          <w:bCs/>
          <w:sz w:val="32"/>
          <w:szCs w:val="32"/>
        </w:rPr>
      </w:pPr>
      <w:r w:rsidRPr="00E92990">
        <w:rPr>
          <w:rFonts w:ascii="Lato" w:hAnsi="Lato"/>
          <w:b/>
          <w:bCs/>
          <w:sz w:val="32"/>
          <w:szCs w:val="32"/>
        </w:rPr>
        <w:t xml:space="preserve">Technical </w:t>
      </w:r>
      <w:r w:rsidR="00AB0958" w:rsidRPr="00E92990">
        <w:rPr>
          <w:rFonts w:ascii="Lato" w:hAnsi="Lato"/>
          <w:b/>
          <w:bCs/>
          <w:sz w:val="32"/>
          <w:szCs w:val="32"/>
        </w:rPr>
        <w:t>Report</w:t>
      </w:r>
    </w:p>
    <w:p w14:paraId="1E7F629F" w14:textId="77777777" w:rsidR="008235C5" w:rsidRPr="00E92990" w:rsidRDefault="008235C5" w:rsidP="00E92990">
      <w:pPr>
        <w:spacing w:line="276" w:lineRule="auto"/>
        <w:ind w:right="6"/>
        <w:jc w:val="center"/>
        <w:rPr>
          <w:rFonts w:ascii="Lato" w:hAnsi="Lato"/>
          <w:b/>
          <w:bCs/>
          <w:sz w:val="32"/>
          <w:szCs w:val="32"/>
        </w:rPr>
      </w:pPr>
    </w:p>
    <w:p w14:paraId="17F72C8E" w14:textId="77777777" w:rsidR="00F15B12" w:rsidRPr="00E92990" w:rsidRDefault="00F15B12" w:rsidP="00E92990">
      <w:pPr>
        <w:spacing w:line="276" w:lineRule="auto"/>
        <w:ind w:right="6"/>
        <w:jc w:val="center"/>
        <w:rPr>
          <w:rFonts w:ascii="Lato" w:hAnsi="Lato"/>
          <w:b/>
          <w:bCs/>
          <w:sz w:val="32"/>
          <w:szCs w:val="32"/>
        </w:rPr>
      </w:pPr>
      <w:r w:rsidRPr="00E92990">
        <w:rPr>
          <w:rFonts w:ascii="Lato" w:hAnsi="Lato"/>
          <w:b/>
          <w:bCs/>
          <w:sz w:val="32"/>
          <w:szCs w:val="32"/>
        </w:rPr>
        <w:t>Acknowledgment: This project was funded through a grant from the Australian Research Council Network for Earth System Sciences (ARCNESS)</w:t>
      </w:r>
    </w:p>
    <w:p w14:paraId="0074FF4F" w14:textId="77777777" w:rsidR="008D6937" w:rsidRPr="00E92990" w:rsidRDefault="008D6937" w:rsidP="00E92990">
      <w:pPr>
        <w:spacing w:line="276" w:lineRule="auto"/>
        <w:ind w:right="6"/>
        <w:jc w:val="center"/>
        <w:rPr>
          <w:rFonts w:ascii="Lato" w:hAnsi="Lato"/>
          <w:b/>
          <w:bCs/>
          <w:sz w:val="32"/>
          <w:szCs w:val="32"/>
        </w:rPr>
      </w:pPr>
    </w:p>
    <w:p w14:paraId="23732443" w14:textId="77777777" w:rsidR="00AB0958" w:rsidRPr="00E92990" w:rsidRDefault="00AB0958" w:rsidP="00E92990">
      <w:pPr>
        <w:spacing w:line="276" w:lineRule="auto"/>
        <w:ind w:right="6"/>
        <w:jc w:val="center"/>
        <w:rPr>
          <w:rFonts w:ascii="Lato" w:hAnsi="Lato"/>
          <w:b/>
          <w:bCs/>
          <w:sz w:val="32"/>
          <w:szCs w:val="32"/>
        </w:rPr>
      </w:pPr>
      <w:r w:rsidRPr="00E92990">
        <w:rPr>
          <w:rFonts w:ascii="Lato" w:hAnsi="Lato"/>
          <w:b/>
          <w:bCs/>
          <w:sz w:val="32"/>
          <w:szCs w:val="32"/>
        </w:rPr>
        <w:t>A dataset of the wind-driven global ocean circulation for climate research</w:t>
      </w:r>
    </w:p>
    <w:p w14:paraId="1342D86A" w14:textId="77777777" w:rsidR="00AB0958" w:rsidRPr="00E92990" w:rsidRDefault="00AB0958" w:rsidP="00E92990">
      <w:pPr>
        <w:spacing w:line="276" w:lineRule="auto"/>
        <w:ind w:right="6"/>
        <w:jc w:val="center"/>
        <w:rPr>
          <w:rFonts w:ascii="Lato" w:hAnsi="Lato"/>
          <w:b/>
          <w:bCs/>
          <w:sz w:val="32"/>
          <w:szCs w:val="32"/>
        </w:rPr>
      </w:pPr>
    </w:p>
    <w:p w14:paraId="067510B9" w14:textId="77777777" w:rsidR="00AB0958" w:rsidRPr="00E92990" w:rsidRDefault="00AB0958" w:rsidP="00E92990">
      <w:pPr>
        <w:spacing w:line="276" w:lineRule="auto"/>
        <w:ind w:right="6"/>
        <w:jc w:val="center"/>
        <w:rPr>
          <w:rFonts w:ascii="Lato" w:hAnsi="Lato"/>
          <w:b/>
          <w:bCs/>
          <w:sz w:val="32"/>
          <w:szCs w:val="32"/>
        </w:rPr>
      </w:pPr>
    </w:p>
    <w:p w14:paraId="540F397F" w14:textId="77777777" w:rsidR="00AB0958" w:rsidRPr="00E92990" w:rsidRDefault="00AB0958" w:rsidP="00E92990">
      <w:pPr>
        <w:spacing w:line="276" w:lineRule="auto"/>
        <w:ind w:right="6"/>
        <w:jc w:val="center"/>
        <w:rPr>
          <w:rFonts w:ascii="Lato" w:hAnsi="Lato"/>
          <w:b/>
          <w:bCs/>
          <w:sz w:val="32"/>
          <w:szCs w:val="32"/>
        </w:rPr>
      </w:pPr>
      <w:r w:rsidRPr="00E92990">
        <w:rPr>
          <w:rFonts w:ascii="Lato" w:hAnsi="Lato"/>
          <w:b/>
          <w:bCs/>
          <w:sz w:val="32"/>
          <w:szCs w:val="32"/>
        </w:rPr>
        <w:t xml:space="preserve">Sue </w:t>
      </w:r>
      <w:proofErr w:type="gramStart"/>
      <w:r w:rsidRPr="00E92990">
        <w:rPr>
          <w:rFonts w:ascii="Lato" w:hAnsi="Lato"/>
          <w:b/>
          <w:bCs/>
          <w:sz w:val="32"/>
          <w:szCs w:val="32"/>
        </w:rPr>
        <w:t>Shi</w:t>
      </w:r>
      <w:r w:rsidR="008632E4" w:rsidRPr="00E92990">
        <w:rPr>
          <w:rFonts w:ascii="Lato" w:hAnsi="Lato"/>
          <w:b/>
          <w:bCs/>
          <w:sz w:val="32"/>
          <w:szCs w:val="32"/>
          <w:vertAlign w:val="superscript"/>
        </w:rPr>
        <w:t>(</w:t>
      </w:r>
      <w:proofErr w:type="gramEnd"/>
      <w:r w:rsidR="008632E4" w:rsidRPr="00E92990">
        <w:rPr>
          <w:rFonts w:ascii="Lato" w:hAnsi="Lato"/>
          <w:b/>
          <w:bCs/>
          <w:sz w:val="32"/>
          <w:szCs w:val="32"/>
          <w:vertAlign w:val="superscript"/>
        </w:rPr>
        <w:t>1)</w:t>
      </w:r>
      <w:r w:rsidRPr="00E92990">
        <w:rPr>
          <w:rFonts w:ascii="Lato" w:hAnsi="Lato"/>
          <w:b/>
          <w:bCs/>
          <w:sz w:val="32"/>
          <w:szCs w:val="32"/>
        </w:rPr>
        <w:t>, Joachim Ribbe</w:t>
      </w:r>
      <w:r w:rsidR="008632E4" w:rsidRPr="00E92990">
        <w:rPr>
          <w:rFonts w:ascii="Lato" w:hAnsi="Lato"/>
          <w:b/>
          <w:bCs/>
          <w:sz w:val="32"/>
          <w:szCs w:val="32"/>
          <w:vertAlign w:val="superscript"/>
        </w:rPr>
        <w:t>(1)</w:t>
      </w:r>
      <w:r w:rsidRPr="00E92990">
        <w:rPr>
          <w:rFonts w:ascii="Lato" w:hAnsi="Lato"/>
          <w:b/>
          <w:bCs/>
          <w:sz w:val="32"/>
          <w:szCs w:val="32"/>
        </w:rPr>
        <w:t>, Tim Cowan</w:t>
      </w:r>
      <w:r w:rsidR="008632E4" w:rsidRPr="00E92990">
        <w:rPr>
          <w:rFonts w:ascii="Lato" w:hAnsi="Lato"/>
          <w:b/>
          <w:bCs/>
          <w:sz w:val="32"/>
          <w:szCs w:val="32"/>
          <w:vertAlign w:val="superscript"/>
        </w:rPr>
        <w:t>(2)</w:t>
      </w:r>
      <w:r w:rsidRPr="00E92990">
        <w:rPr>
          <w:rFonts w:ascii="Lato" w:hAnsi="Lato"/>
          <w:b/>
          <w:bCs/>
          <w:sz w:val="32"/>
          <w:szCs w:val="32"/>
        </w:rPr>
        <w:t>, and Wenju Cai</w:t>
      </w:r>
      <w:r w:rsidR="008632E4" w:rsidRPr="00E92990">
        <w:rPr>
          <w:rFonts w:ascii="Lato" w:hAnsi="Lato"/>
          <w:b/>
          <w:bCs/>
          <w:sz w:val="32"/>
          <w:szCs w:val="32"/>
          <w:vertAlign w:val="superscript"/>
        </w:rPr>
        <w:t>(2)</w:t>
      </w:r>
    </w:p>
    <w:p w14:paraId="671DACBE" w14:textId="77777777" w:rsidR="00DD2C55" w:rsidRPr="00E92990" w:rsidRDefault="00DD2C55" w:rsidP="00E92990">
      <w:pPr>
        <w:spacing w:line="276" w:lineRule="auto"/>
        <w:ind w:right="6"/>
        <w:jc w:val="center"/>
        <w:rPr>
          <w:rFonts w:ascii="Lato" w:hAnsi="Lato"/>
          <w:b/>
          <w:bCs/>
          <w:sz w:val="32"/>
          <w:szCs w:val="32"/>
        </w:rPr>
      </w:pPr>
    </w:p>
    <w:p w14:paraId="7878D0E2" w14:textId="77777777" w:rsidR="00DD2C55" w:rsidRPr="00E92990" w:rsidRDefault="00DD2C55" w:rsidP="00E92990">
      <w:pPr>
        <w:spacing w:line="276" w:lineRule="auto"/>
        <w:ind w:right="6"/>
        <w:jc w:val="center"/>
        <w:rPr>
          <w:rFonts w:ascii="Lato" w:hAnsi="Lato"/>
          <w:b/>
          <w:bCs/>
          <w:sz w:val="32"/>
          <w:szCs w:val="32"/>
        </w:rPr>
      </w:pPr>
    </w:p>
    <w:p w14:paraId="4DF26277" w14:textId="77777777" w:rsidR="00AB0958" w:rsidRPr="00E92990" w:rsidRDefault="008632E4" w:rsidP="00E92990">
      <w:pPr>
        <w:spacing w:line="276" w:lineRule="auto"/>
        <w:ind w:right="6"/>
        <w:jc w:val="center"/>
        <w:rPr>
          <w:rFonts w:ascii="Lato" w:hAnsi="Lato"/>
          <w:b/>
          <w:bCs/>
          <w:sz w:val="32"/>
          <w:szCs w:val="32"/>
        </w:rPr>
      </w:pPr>
      <w:r w:rsidRPr="00E92990">
        <w:rPr>
          <w:rFonts w:ascii="Lato" w:hAnsi="Lato"/>
          <w:b/>
          <w:bCs/>
          <w:sz w:val="32"/>
          <w:szCs w:val="32"/>
          <w:vertAlign w:val="superscript"/>
        </w:rPr>
        <w:t>(</w:t>
      </w:r>
      <w:r w:rsidR="002B4C51" w:rsidRPr="00E92990">
        <w:rPr>
          <w:rFonts w:ascii="Lato" w:hAnsi="Lato"/>
          <w:b/>
          <w:bCs/>
          <w:sz w:val="32"/>
          <w:szCs w:val="32"/>
          <w:vertAlign w:val="superscript"/>
        </w:rPr>
        <w:t>1</w:t>
      </w:r>
      <w:r w:rsidRPr="00E92990">
        <w:rPr>
          <w:rFonts w:ascii="Lato" w:hAnsi="Lato"/>
          <w:b/>
          <w:bCs/>
          <w:sz w:val="32"/>
          <w:szCs w:val="32"/>
          <w:vertAlign w:val="superscript"/>
        </w:rPr>
        <w:t>)</w:t>
      </w:r>
      <w:r w:rsidR="002B4C51" w:rsidRPr="00E92990">
        <w:rPr>
          <w:rFonts w:ascii="Lato" w:hAnsi="Lato"/>
          <w:b/>
          <w:bCs/>
          <w:sz w:val="32"/>
          <w:szCs w:val="32"/>
          <w:vertAlign w:val="superscript"/>
        </w:rPr>
        <w:t xml:space="preserve"> </w:t>
      </w:r>
      <w:r w:rsidR="00AB0958" w:rsidRPr="00E92990">
        <w:rPr>
          <w:rFonts w:ascii="Lato" w:hAnsi="Lato"/>
          <w:b/>
          <w:bCs/>
          <w:sz w:val="32"/>
          <w:szCs w:val="32"/>
        </w:rPr>
        <w:t xml:space="preserve">Department of Physical and Biological </w:t>
      </w:r>
      <w:r w:rsidR="00551B1D" w:rsidRPr="00E92990">
        <w:rPr>
          <w:rFonts w:ascii="Lato" w:hAnsi="Lato"/>
          <w:b/>
          <w:bCs/>
          <w:sz w:val="32"/>
          <w:szCs w:val="32"/>
        </w:rPr>
        <w:t>S</w:t>
      </w:r>
      <w:r w:rsidR="00AB0958" w:rsidRPr="00E92990">
        <w:rPr>
          <w:rFonts w:ascii="Lato" w:hAnsi="Lato"/>
          <w:b/>
          <w:bCs/>
          <w:sz w:val="32"/>
          <w:szCs w:val="32"/>
        </w:rPr>
        <w:t>ciences, University of Southern Queensland, Toowoomba</w:t>
      </w:r>
      <w:r w:rsidR="00DD2C55" w:rsidRPr="00E92990">
        <w:rPr>
          <w:rFonts w:ascii="Lato" w:hAnsi="Lato"/>
          <w:b/>
          <w:bCs/>
          <w:sz w:val="32"/>
          <w:szCs w:val="32"/>
        </w:rPr>
        <w:t>, Queensland, 4350</w:t>
      </w:r>
      <w:r w:rsidR="002B4C51" w:rsidRPr="00E92990">
        <w:rPr>
          <w:rFonts w:ascii="Lato" w:hAnsi="Lato"/>
          <w:b/>
          <w:bCs/>
          <w:sz w:val="32"/>
          <w:szCs w:val="32"/>
        </w:rPr>
        <w:t xml:space="preserve">; </w:t>
      </w:r>
      <w:r w:rsidRPr="00E92990">
        <w:rPr>
          <w:rFonts w:ascii="Lato" w:hAnsi="Lato"/>
          <w:b/>
          <w:bCs/>
          <w:sz w:val="32"/>
          <w:szCs w:val="32"/>
          <w:vertAlign w:val="superscript"/>
        </w:rPr>
        <w:t>(2)</w:t>
      </w:r>
      <w:r w:rsidR="002B4C51" w:rsidRPr="00E92990">
        <w:rPr>
          <w:rFonts w:ascii="Lato" w:hAnsi="Lato"/>
          <w:b/>
          <w:bCs/>
          <w:sz w:val="32"/>
          <w:szCs w:val="32"/>
          <w:vertAlign w:val="superscript"/>
        </w:rPr>
        <w:t xml:space="preserve"> </w:t>
      </w:r>
      <w:r w:rsidR="00AB0958" w:rsidRPr="00E92990">
        <w:rPr>
          <w:rFonts w:ascii="Lato" w:hAnsi="Lato"/>
          <w:b/>
          <w:bCs/>
          <w:sz w:val="32"/>
          <w:szCs w:val="32"/>
        </w:rPr>
        <w:t>CSIRO Marine and Atmospheric Research, Aspendale, Vic</w:t>
      </w:r>
      <w:r w:rsidR="00DD2C55" w:rsidRPr="00E92990">
        <w:rPr>
          <w:rFonts w:ascii="Lato" w:hAnsi="Lato"/>
          <w:b/>
          <w:bCs/>
          <w:sz w:val="32"/>
          <w:szCs w:val="32"/>
        </w:rPr>
        <w:t>toria</w:t>
      </w:r>
      <w:r w:rsidR="00AB0958" w:rsidRPr="00E92990">
        <w:rPr>
          <w:rFonts w:ascii="Lato" w:hAnsi="Lato"/>
          <w:b/>
          <w:bCs/>
          <w:sz w:val="32"/>
          <w:szCs w:val="32"/>
        </w:rPr>
        <w:t xml:space="preserve"> 3195</w:t>
      </w:r>
    </w:p>
    <w:p w14:paraId="66B84C84" w14:textId="77777777" w:rsidR="00AB0958" w:rsidRPr="00E92990" w:rsidRDefault="00AB0958" w:rsidP="00E92990">
      <w:pPr>
        <w:spacing w:line="276" w:lineRule="auto"/>
        <w:ind w:right="6"/>
        <w:jc w:val="center"/>
        <w:rPr>
          <w:rFonts w:ascii="Lato" w:hAnsi="Lato"/>
          <w:b/>
          <w:bCs/>
          <w:sz w:val="32"/>
          <w:szCs w:val="32"/>
        </w:rPr>
      </w:pPr>
    </w:p>
    <w:p w14:paraId="475C4343" w14:textId="77777777" w:rsidR="00AB0958" w:rsidRPr="00E92990" w:rsidRDefault="00AB0958" w:rsidP="008235C5">
      <w:pPr>
        <w:spacing w:line="276" w:lineRule="auto"/>
        <w:ind w:right="6"/>
        <w:jc w:val="both"/>
        <w:rPr>
          <w:rFonts w:ascii="Lato" w:hAnsi="Lato"/>
          <w:sz w:val="28"/>
          <w:szCs w:val="28"/>
        </w:rPr>
      </w:pPr>
    </w:p>
    <w:p w14:paraId="398D3CFA" w14:textId="77777777" w:rsidR="00AB0958" w:rsidRPr="00E92990" w:rsidRDefault="00AB0958" w:rsidP="008235C5">
      <w:pPr>
        <w:spacing w:line="276" w:lineRule="auto"/>
        <w:ind w:right="6"/>
        <w:jc w:val="both"/>
        <w:rPr>
          <w:rFonts w:ascii="Lato" w:hAnsi="Lato"/>
          <w:sz w:val="28"/>
          <w:szCs w:val="28"/>
        </w:rPr>
      </w:pPr>
    </w:p>
    <w:p w14:paraId="7A692247" w14:textId="77777777" w:rsidR="00AB0958" w:rsidRPr="00E92990" w:rsidRDefault="00AB0958" w:rsidP="008235C5">
      <w:pPr>
        <w:spacing w:line="276" w:lineRule="auto"/>
        <w:ind w:right="6"/>
        <w:jc w:val="both"/>
        <w:rPr>
          <w:rFonts w:ascii="Lato" w:hAnsi="Lato"/>
          <w:sz w:val="28"/>
          <w:szCs w:val="28"/>
        </w:rPr>
      </w:pPr>
    </w:p>
    <w:p w14:paraId="2E54E75E" w14:textId="77777777" w:rsidR="00AB0958" w:rsidRPr="00E92990" w:rsidRDefault="00AB0958" w:rsidP="008235C5">
      <w:pPr>
        <w:spacing w:line="276" w:lineRule="auto"/>
        <w:ind w:right="6"/>
        <w:jc w:val="both"/>
        <w:rPr>
          <w:rFonts w:ascii="Lato" w:hAnsi="Lato"/>
          <w:sz w:val="28"/>
          <w:szCs w:val="28"/>
        </w:rPr>
      </w:pPr>
    </w:p>
    <w:p w14:paraId="0A3CD872" w14:textId="77777777" w:rsidR="00AB0958" w:rsidRPr="00E92990" w:rsidRDefault="00AB0958" w:rsidP="008235C5">
      <w:pPr>
        <w:spacing w:line="276" w:lineRule="auto"/>
        <w:ind w:right="6"/>
        <w:jc w:val="both"/>
        <w:rPr>
          <w:rFonts w:ascii="Lato" w:hAnsi="Lato"/>
          <w:sz w:val="28"/>
          <w:szCs w:val="28"/>
        </w:rPr>
      </w:pPr>
    </w:p>
    <w:p w14:paraId="79157C2B" w14:textId="77777777" w:rsidR="00E92990" w:rsidRPr="00E92990" w:rsidRDefault="00E92990" w:rsidP="008235C5">
      <w:pPr>
        <w:spacing w:line="276" w:lineRule="auto"/>
        <w:ind w:right="6"/>
        <w:jc w:val="both"/>
        <w:rPr>
          <w:rFonts w:ascii="Lato" w:hAnsi="Lato"/>
          <w:sz w:val="28"/>
          <w:szCs w:val="28"/>
        </w:rPr>
      </w:pPr>
    </w:p>
    <w:p w14:paraId="42B56422" w14:textId="77777777" w:rsidR="00E92990" w:rsidRPr="00E92990" w:rsidRDefault="00E92990" w:rsidP="008235C5">
      <w:pPr>
        <w:spacing w:line="276" w:lineRule="auto"/>
        <w:ind w:right="6"/>
        <w:jc w:val="both"/>
        <w:rPr>
          <w:rFonts w:ascii="Lato" w:hAnsi="Lato"/>
          <w:sz w:val="28"/>
          <w:szCs w:val="28"/>
        </w:rPr>
      </w:pPr>
    </w:p>
    <w:p w14:paraId="7F26D59A" w14:textId="77777777" w:rsidR="00E92990" w:rsidRPr="00E92990" w:rsidRDefault="00E92990" w:rsidP="008235C5">
      <w:pPr>
        <w:spacing w:line="276" w:lineRule="auto"/>
        <w:ind w:right="6"/>
        <w:jc w:val="both"/>
        <w:rPr>
          <w:rFonts w:ascii="Lato" w:hAnsi="Lato"/>
          <w:sz w:val="28"/>
          <w:szCs w:val="28"/>
        </w:rPr>
      </w:pPr>
    </w:p>
    <w:p w14:paraId="3DFDE350" w14:textId="77777777" w:rsidR="00E92990" w:rsidRPr="00E92990" w:rsidRDefault="00E92990" w:rsidP="008235C5">
      <w:pPr>
        <w:spacing w:line="276" w:lineRule="auto"/>
        <w:ind w:right="6"/>
        <w:jc w:val="both"/>
        <w:rPr>
          <w:rFonts w:ascii="Lato" w:hAnsi="Lato"/>
          <w:sz w:val="28"/>
          <w:szCs w:val="28"/>
        </w:rPr>
      </w:pPr>
    </w:p>
    <w:p w14:paraId="1D07072B" w14:textId="77777777" w:rsidR="00E92990" w:rsidRPr="00E92990" w:rsidRDefault="00E92990" w:rsidP="008235C5">
      <w:pPr>
        <w:spacing w:line="276" w:lineRule="auto"/>
        <w:ind w:right="6"/>
        <w:jc w:val="both"/>
        <w:rPr>
          <w:rFonts w:ascii="Lato" w:hAnsi="Lato"/>
          <w:sz w:val="28"/>
          <w:szCs w:val="28"/>
        </w:rPr>
      </w:pPr>
    </w:p>
    <w:p w14:paraId="00D5AB59" w14:textId="77777777" w:rsidR="00E92990" w:rsidRPr="00E92990" w:rsidRDefault="00E92990" w:rsidP="008235C5">
      <w:pPr>
        <w:spacing w:line="276" w:lineRule="auto"/>
        <w:ind w:right="6"/>
        <w:jc w:val="both"/>
        <w:rPr>
          <w:rFonts w:ascii="Lato" w:hAnsi="Lato"/>
          <w:sz w:val="28"/>
          <w:szCs w:val="28"/>
        </w:rPr>
      </w:pPr>
    </w:p>
    <w:p w14:paraId="7ED783A5" w14:textId="31AACF0B" w:rsidR="004E6869" w:rsidRPr="00E92990" w:rsidRDefault="004B6594" w:rsidP="00E92990">
      <w:pPr>
        <w:spacing w:line="276" w:lineRule="auto"/>
        <w:ind w:right="6"/>
        <w:jc w:val="center"/>
        <w:rPr>
          <w:rFonts w:ascii="Lato" w:hAnsi="Lato"/>
          <w:b/>
          <w:sz w:val="32"/>
          <w:szCs w:val="32"/>
        </w:rPr>
      </w:pPr>
      <w:r w:rsidRPr="00E92990">
        <w:rPr>
          <w:rFonts w:ascii="Lato" w:hAnsi="Lato"/>
          <w:b/>
          <w:sz w:val="32"/>
          <w:szCs w:val="32"/>
        </w:rPr>
        <w:lastRenderedPageBreak/>
        <w:t>Content</w:t>
      </w:r>
    </w:p>
    <w:p w14:paraId="2CE247DB" w14:textId="77777777" w:rsidR="004E6869" w:rsidRPr="00E92990" w:rsidRDefault="004E6869" w:rsidP="008235C5">
      <w:pPr>
        <w:spacing w:line="276" w:lineRule="auto"/>
        <w:ind w:right="6"/>
        <w:jc w:val="both"/>
        <w:rPr>
          <w:rFonts w:ascii="Lato" w:hAnsi="Lato"/>
          <w:b/>
        </w:rPr>
      </w:pPr>
    </w:p>
    <w:p w14:paraId="7FEB5A39" w14:textId="77777777" w:rsidR="00440FFA" w:rsidRPr="00E92990" w:rsidRDefault="00440FFA" w:rsidP="008235C5">
      <w:pPr>
        <w:spacing w:line="276" w:lineRule="auto"/>
        <w:ind w:right="6"/>
        <w:jc w:val="both"/>
        <w:rPr>
          <w:rFonts w:ascii="Lato" w:hAnsi="Lato"/>
          <w:b/>
        </w:rPr>
      </w:pPr>
    </w:p>
    <w:p w14:paraId="7C439A16" w14:textId="77777777" w:rsidR="00440FFA" w:rsidRPr="00E92990" w:rsidRDefault="00440FFA" w:rsidP="008235C5">
      <w:pPr>
        <w:pStyle w:val="TOC1"/>
        <w:tabs>
          <w:tab w:val="right" w:leader="dot" w:pos="8636"/>
        </w:tabs>
        <w:spacing w:line="276" w:lineRule="auto"/>
        <w:jc w:val="both"/>
        <w:rPr>
          <w:rFonts w:ascii="Lato" w:eastAsia="Times New Roman" w:hAnsi="Lato"/>
          <w:noProof/>
          <w:lang w:val="en-AU" w:eastAsia="en-AU"/>
        </w:rPr>
      </w:pPr>
      <w:r w:rsidRPr="00E92990">
        <w:rPr>
          <w:rFonts w:ascii="Lato" w:hAnsi="Lato"/>
        </w:rPr>
        <w:fldChar w:fldCharType="begin"/>
      </w:r>
      <w:r w:rsidRPr="00E92990">
        <w:rPr>
          <w:rFonts w:ascii="Lato" w:hAnsi="Lato"/>
        </w:rPr>
        <w:instrText xml:space="preserve"> TOC \o "1-3" \h \z \u </w:instrText>
      </w:r>
      <w:r w:rsidRPr="00E92990">
        <w:rPr>
          <w:rFonts w:ascii="Lato" w:hAnsi="Lato"/>
        </w:rPr>
        <w:fldChar w:fldCharType="separate"/>
      </w:r>
      <w:hyperlink w:anchor="_Toc157957223" w:history="1">
        <w:r w:rsidRPr="00E92990">
          <w:rPr>
            <w:rStyle w:val="Hyperlink"/>
            <w:rFonts w:ascii="Lato" w:hAnsi="Lato"/>
            <w:noProof/>
          </w:rPr>
          <w:t>Abstract</w:t>
        </w:r>
        <w:r w:rsidRPr="00E92990">
          <w:rPr>
            <w:rFonts w:ascii="Lato" w:hAnsi="Lato"/>
            <w:noProof/>
            <w:webHidden/>
          </w:rPr>
          <w:tab/>
        </w:r>
        <w:r w:rsidRPr="00E92990">
          <w:rPr>
            <w:rFonts w:ascii="Lato" w:hAnsi="Lato"/>
            <w:noProof/>
            <w:webHidden/>
          </w:rPr>
          <w:fldChar w:fldCharType="begin"/>
        </w:r>
        <w:r w:rsidRPr="00E92990">
          <w:rPr>
            <w:rFonts w:ascii="Lato" w:hAnsi="Lato"/>
            <w:noProof/>
            <w:webHidden/>
          </w:rPr>
          <w:instrText xml:space="preserve"> PAGEREF _Toc157957223 \h </w:instrText>
        </w:r>
        <w:r w:rsidRPr="00E92990">
          <w:rPr>
            <w:rFonts w:ascii="Lato" w:hAnsi="Lato"/>
            <w:noProof/>
          </w:rPr>
        </w:r>
        <w:r w:rsidRPr="00E92990">
          <w:rPr>
            <w:rFonts w:ascii="Lato" w:hAnsi="Lato"/>
            <w:noProof/>
            <w:webHidden/>
          </w:rPr>
          <w:fldChar w:fldCharType="separate"/>
        </w:r>
        <w:r w:rsidR="009A1D58" w:rsidRPr="00E92990">
          <w:rPr>
            <w:rFonts w:ascii="Lato" w:hAnsi="Lato"/>
            <w:noProof/>
            <w:webHidden/>
          </w:rPr>
          <w:t>3</w:t>
        </w:r>
        <w:r w:rsidRPr="00E92990">
          <w:rPr>
            <w:rFonts w:ascii="Lato" w:hAnsi="Lato"/>
            <w:noProof/>
            <w:webHidden/>
          </w:rPr>
          <w:fldChar w:fldCharType="end"/>
        </w:r>
      </w:hyperlink>
    </w:p>
    <w:p w14:paraId="487B2D30" w14:textId="77777777" w:rsidR="00440FFA" w:rsidRPr="00E92990" w:rsidRDefault="00440FFA" w:rsidP="008235C5">
      <w:pPr>
        <w:pStyle w:val="TOC1"/>
        <w:tabs>
          <w:tab w:val="right" w:leader="dot" w:pos="8636"/>
        </w:tabs>
        <w:spacing w:line="276" w:lineRule="auto"/>
        <w:jc w:val="both"/>
        <w:rPr>
          <w:rFonts w:ascii="Lato" w:eastAsia="Times New Roman" w:hAnsi="Lato"/>
          <w:noProof/>
          <w:lang w:val="en-AU" w:eastAsia="en-AU"/>
        </w:rPr>
      </w:pPr>
      <w:hyperlink w:anchor="_Toc157957224" w:history="1">
        <w:r w:rsidRPr="00E92990">
          <w:rPr>
            <w:rStyle w:val="Hyperlink"/>
            <w:rFonts w:ascii="Lato" w:hAnsi="Lato"/>
            <w:noProof/>
          </w:rPr>
          <w:t>1. Introduction: A brief description of the Island Rule models</w:t>
        </w:r>
        <w:r w:rsidRPr="00E92990">
          <w:rPr>
            <w:rFonts w:ascii="Lato" w:hAnsi="Lato"/>
            <w:noProof/>
            <w:webHidden/>
          </w:rPr>
          <w:tab/>
        </w:r>
        <w:r w:rsidRPr="00E92990">
          <w:rPr>
            <w:rFonts w:ascii="Lato" w:hAnsi="Lato"/>
            <w:noProof/>
            <w:webHidden/>
          </w:rPr>
          <w:fldChar w:fldCharType="begin"/>
        </w:r>
        <w:r w:rsidRPr="00E92990">
          <w:rPr>
            <w:rFonts w:ascii="Lato" w:hAnsi="Lato"/>
            <w:noProof/>
            <w:webHidden/>
          </w:rPr>
          <w:instrText xml:space="preserve"> PAGEREF _Toc157957224 \h </w:instrText>
        </w:r>
        <w:r w:rsidRPr="00E92990">
          <w:rPr>
            <w:rFonts w:ascii="Lato" w:hAnsi="Lato"/>
            <w:noProof/>
          </w:rPr>
        </w:r>
        <w:r w:rsidRPr="00E92990">
          <w:rPr>
            <w:rFonts w:ascii="Lato" w:hAnsi="Lato"/>
            <w:noProof/>
            <w:webHidden/>
          </w:rPr>
          <w:fldChar w:fldCharType="separate"/>
        </w:r>
        <w:r w:rsidR="009A1D58" w:rsidRPr="00E92990">
          <w:rPr>
            <w:rFonts w:ascii="Lato" w:hAnsi="Lato"/>
            <w:noProof/>
            <w:webHidden/>
          </w:rPr>
          <w:t>3</w:t>
        </w:r>
        <w:r w:rsidRPr="00E92990">
          <w:rPr>
            <w:rFonts w:ascii="Lato" w:hAnsi="Lato"/>
            <w:noProof/>
            <w:webHidden/>
          </w:rPr>
          <w:fldChar w:fldCharType="end"/>
        </w:r>
      </w:hyperlink>
    </w:p>
    <w:p w14:paraId="38815332" w14:textId="77777777" w:rsidR="00440FFA" w:rsidRPr="00E92990" w:rsidRDefault="00440FFA" w:rsidP="008235C5">
      <w:pPr>
        <w:pStyle w:val="TOC1"/>
        <w:tabs>
          <w:tab w:val="right" w:leader="dot" w:pos="8636"/>
        </w:tabs>
        <w:spacing w:line="276" w:lineRule="auto"/>
        <w:jc w:val="both"/>
        <w:rPr>
          <w:rFonts w:ascii="Lato" w:eastAsia="Times New Roman" w:hAnsi="Lato"/>
          <w:noProof/>
          <w:lang w:val="en-AU" w:eastAsia="en-AU"/>
        </w:rPr>
      </w:pPr>
      <w:hyperlink w:anchor="_Toc157957225" w:history="1">
        <w:r w:rsidRPr="00E92990">
          <w:rPr>
            <w:rStyle w:val="Hyperlink"/>
            <w:rFonts w:ascii="Lato" w:hAnsi="Lato"/>
            <w:noProof/>
          </w:rPr>
          <w:t>2. Application caveat</w:t>
        </w:r>
        <w:r w:rsidRPr="00E92990">
          <w:rPr>
            <w:rFonts w:ascii="Lato" w:hAnsi="Lato"/>
            <w:noProof/>
            <w:webHidden/>
          </w:rPr>
          <w:tab/>
        </w:r>
        <w:r w:rsidRPr="00E92990">
          <w:rPr>
            <w:rFonts w:ascii="Lato" w:hAnsi="Lato"/>
            <w:noProof/>
            <w:webHidden/>
          </w:rPr>
          <w:fldChar w:fldCharType="begin"/>
        </w:r>
        <w:r w:rsidRPr="00E92990">
          <w:rPr>
            <w:rFonts w:ascii="Lato" w:hAnsi="Lato"/>
            <w:noProof/>
            <w:webHidden/>
          </w:rPr>
          <w:instrText xml:space="preserve"> PAGEREF _Toc157957225 \h </w:instrText>
        </w:r>
        <w:r w:rsidRPr="00E92990">
          <w:rPr>
            <w:rFonts w:ascii="Lato" w:hAnsi="Lato"/>
            <w:noProof/>
          </w:rPr>
        </w:r>
        <w:r w:rsidRPr="00E92990">
          <w:rPr>
            <w:rFonts w:ascii="Lato" w:hAnsi="Lato"/>
            <w:noProof/>
            <w:webHidden/>
          </w:rPr>
          <w:fldChar w:fldCharType="separate"/>
        </w:r>
        <w:r w:rsidR="009A1D58" w:rsidRPr="00E92990">
          <w:rPr>
            <w:rFonts w:ascii="Lato" w:hAnsi="Lato"/>
            <w:noProof/>
            <w:webHidden/>
          </w:rPr>
          <w:t>4</w:t>
        </w:r>
        <w:r w:rsidRPr="00E92990">
          <w:rPr>
            <w:rFonts w:ascii="Lato" w:hAnsi="Lato"/>
            <w:noProof/>
            <w:webHidden/>
          </w:rPr>
          <w:fldChar w:fldCharType="end"/>
        </w:r>
      </w:hyperlink>
    </w:p>
    <w:p w14:paraId="546166F3" w14:textId="77777777" w:rsidR="00440FFA" w:rsidRPr="00E92990" w:rsidRDefault="00440FFA" w:rsidP="008235C5">
      <w:pPr>
        <w:pStyle w:val="TOC1"/>
        <w:tabs>
          <w:tab w:val="right" w:leader="dot" w:pos="8636"/>
        </w:tabs>
        <w:spacing w:line="276" w:lineRule="auto"/>
        <w:jc w:val="both"/>
        <w:rPr>
          <w:rFonts w:ascii="Lato" w:eastAsia="Times New Roman" w:hAnsi="Lato"/>
          <w:noProof/>
          <w:lang w:val="en-AU" w:eastAsia="en-AU"/>
        </w:rPr>
      </w:pPr>
      <w:hyperlink w:anchor="_Toc157957226" w:history="1">
        <w:r w:rsidRPr="00E92990">
          <w:rPr>
            <w:rStyle w:val="Hyperlink"/>
            <w:rFonts w:ascii="Lato" w:hAnsi="Lato"/>
            <w:noProof/>
          </w:rPr>
          <w:t>3. Examples of climate applications</w:t>
        </w:r>
        <w:r w:rsidRPr="00E92990">
          <w:rPr>
            <w:rFonts w:ascii="Lato" w:hAnsi="Lato"/>
            <w:noProof/>
            <w:webHidden/>
          </w:rPr>
          <w:tab/>
        </w:r>
        <w:r w:rsidRPr="00E92990">
          <w:rPr>
            <w:rFonts w:ascii="Lato" w:hAnsi="Lato"/>
            <w:noProof/>
            <w:webHidden/>
          </w:rPr>
          <w:fldChar w:fldCharType="begin"/>
        </w:r>
        <w:r w:rsidRPr="00E92990">
          <w:rPr>
            <w:rFonts w:ascii="Lato" w:hAnsi="Lato"/>
            <w:noProof/>
            <w:webHidden/>
          </w:rPr>
          <w:instrText xml:space="preserve"> PAGEREF _Toc157957226 \h </w:instrText>
        </w:r>
        <w:r w:rsidRPr="00E92990">
          <w:rPr>
            <w:rFonts w:ascii="Lato" w:hAnsi="Lato"/>
            <w:noProof/>
          </w:rPr>
        </w:r>
        <w:r w:rsidRPr="00E92990">
          <w:rPr>
            <w:rFonts w:ascii="Lato" w:hAnsi="Lato"/>
            <w:noProof/>
            <w:webHidden/>
          </w:rPr>
          <w:fldChar w:fldCharType="separate"/>
        </w:r>
        <w:r w:rsidR="009A1D58" w:rsidRPr="00E92990">
          <w:rPr>
            <w:rFonts w:ascii="Lato" w:hAnsi="Lato"/>
            <w:noProof/>
            <w:webHidden/>
          </w:rPr>
          <w:t>5</w:t>
        </w:r>
        <w:r w:rsidRPr="00E92990">
          <w:rPr>
            <w:rFonts w:ascii="Lato" w:hAnsi="Lato"/>
            <w:noProof/>
            <w:webHidden/>
          </w:rPr>
          <w:fldChar w:fldCharType="end"/>
        </w:r>
      </w:hyperlink>
    </w:p>
    <w:p w14:paraId="37B7648D" w14:textId="77777777" w:rsidR="00440FFA" w:rsidRPr="00E92990" w:rsidRDefault="00440FFA" w:rsidP="008235C5">
      <w:pPr>
        <w:pStyle w:val="TOC2"/>
        <w:tabs>
          <w:tab w:val="right" w:leader="dot" w:pos="8636"/>
        </w:tabs>
        <w:spacing w:line="276" w:lineRule="auto"/>
        <w:jc w:val="both"/>
        <w:rPr>
          <w:rFonts w:ascii="Lato" w:hAnsi="Lato"/>
          <w:noProof/>
        </w:rPr>
      </w:pPr>
      <w:hyperlink w:anchor="_Toc157957227" w:history="1">
        <w:r w:rsidRPr="00E92990">
          <w:rPr>
            <w:rStyle w:val="Hyperlink"/>
            <w:rFonts w:ascii="Lato" w:hAnsi="Lato"/>
            <w:noProof/>
          </w:rPr>
          <w:t>3.1 Steady state</w:t>
        </w:r>
        <w:r w:rsidRPr="00E92990">
          <w:rPr>
            <w:rFonts w:ascii="Lato" w:hAnsi="Lato"/>
            <w:noProof/>
            <w:webHidden/>
          </w:rPr>
          <w:tab/>
        </w:r>
        <w:r w:rsidRPr="00E92990">
          <w:rPr>
            <w:rFonts w:ascii="Lato" w:hAnsi="Lato"/>
            <w:noProof/>
            <w:webHidden/>
          </w:rPr>
          <w:fldChar w:fldCharType="begin"/>
        </w:r>
        <w:r w:rsidRPr="00E92990">
          <w:rPr>
            <w:rFonts w:ascii="Lato" w:hAnsi="Lato"/>
            <w:noProof/>
            <w:webHidden/>
          </w:rPr>
          <w:instrText xml:space="preserve"> PAGEREF _Toc157957227 \h </w:instrText>
        </w:r>
        <w:r w:rsidRPr="00E92990">
          <w:rPr>
            <w:rFonts w:ascii="Lato" w:hAnsi="Lato"/>
            <w:noProof/>
          </w:rPr>
        </w:r>
        <w:r w:rsidRPr="00E92990">
          <w:rPr>
            <w:rFonts w:ascii="Lato" w:hAnsi="Lato"/>
            <w:noProof/>
            <w:webHidden/>
          </w:rPr>
          <w:fldChar w:fldCharType="separate"/>
        </w:r>
        <w:r w:rsidR="009A1D58" w:rsidRPr="00E92990">
          <w:rPr>
            <w:rFonts w:ascii="Lato" w:hAnsi="Lato"/>
            <w:noProof/>
            <w:webHidden/>
          </w:rPr>
          <w:t>5</w:t>
        </w:r>
        <w:r w:rsidRPr="00E92990">
          <w:rPr>
            <w:rFonts w:ascii="Lato" w:hAnsi="Lato"/>
            <w:noProof/>
            <w:webHidden/>
          </w:rPr>
          <w:fldChar w:fldCharType="end"/>
        </w:r>
      </w:hyperlink>
    </w:p>
    <w:p w14:paraId="11993AC2" w14:textId="77777777" w:rsidR="00440FFA" w:rsidRPr="00E92990" w:rsidRDefault="00440FFA" w:rsidP="008235C5">
      <w:pPr>
        <w:pStyle w:val="TOC2"/>
        <w:tabs>
          <w:tab w:val="right" w:leader="dot" w:pos="8636"/>
        </w:tabs>
        <w:spacing w:line="276" w:lineRule="auto"/>
        <w:jc w:val="both"/>
        <w:rPr>
          <w:rFonts w:ascii="Lato" w:hAnsi="Lato"/>
          <w:noProof/>
        </w:rPr>
      </w:pPr>
      <w:hyperlink w:anchor="_Toc157957228" w:history="1">
        <w:r w:rsidRPr="00E92990">
          <w:rPr>
            <w:rStyle w:val="Hyperlink"/>
            <w:rFonts w:ascii="Lato" w:hAnsi="Lato"/>
            <w:noProof/>
          </w:rPr>
          <w:t>3.2 Decadal difference in the Pacific discharge/recharge via Sverdrup transport</w:t>
        </w:r>
        <w:r w:rsidRPr="00E92990">
          <w:rPr>
            <w:rFonts w:ascii="Lato" w:hAnsi="Lato"/>
            <w:noProof/>
            <w:webHidden/>
          </w:rPr>
          <w:tab/>
        </w:r>
        <w:r w:rsidRPr="00E92990">
          <w:rPr>
            <w:rFonts w:ascii="Lato" w:hAnsi="Lato"/>
            <w:noProof/>
            <w:webHidden/>
          </w:rPr>
          <w:fldChar w:fldCharType="begin"/>
        </w:r>
        <w:r w:rsidRPr="00E92990">
          <w:rPr>
            <w:rFonts w:ascii="Lato" w:hAnsi="Lato"/>
            <w:noProof/>
            <w:webHidden/>
          </w:rPr>
          <w:instrText xml:space="preserve"> PAGEREF _Toc157957228 \h </w:instrText>
        </w:r>
        <w:r w:rsidRPr="00E92990">
          <w:rPr>
            <w:rFonts w:ascii="Lato" w:hAnsi="Lato"/>
            <w:noProof/>
          </w:rPr>
        </w:r>
        <w:r w:rsidRPr="00E92990">
          <w:rPr>
            <w:rFonts w:ascii="Lato" w:hAnsi="Lato"/>
            <w:noProof/>
            <w:webHidden/>
          </w:rPr>
          <w:fldChar w:fldCharType="separate"/>
        </w:r>
        <w:r w:rsidR="009A1D58" w:rsidRPr="00E92990">
          <w:rPr>
            <w:rFonts w:ascii="Lato" w:hAnsi="Lato"/>
            <w:noProof/>
            <w:webHidden/>
          </w:rPr>
          <w:t>6</w:t>
        </w:r>
        <w:r w:rsidRPr="00E92990">
          <w:rPr>
            <w:rFonts w:ascii="Lato" w:hAnsi="Lato"/>
            <w:noProof/>
            <w:webHidden/>
          </w:rPr>
          <w:fldChar w:fldCharType="end"/>
        </w:r>
      </w:hyperlink>
    </w:p>
    <w:p w14:paraId="3E6FED88" w14:textId="77777777" w:rsidR="00440FFA" w:rsidRPr="00E92990" w:rsidRDefault="00440FFA" w:rsidP="008235C5">
      <w:pPr>
        <w:pStyle w:val="TOC2"/>
        <w:tabs>
          <w:tab w:val="right" w:leader="dot" w:pos="8636"/>
        </w:tabs>
        <w:spacing w:line="276" w:lineRule="auto"/>
        <w:jc w:val="both"/>
        <w:rPr>
          <w:rFonts w:ascii="Lato" w:hAnsi="Lato"/>
          <w:noProof/>
        </w:rPr>
      </w:pPr>
      <w:hyperlink w:anchor="_Toc157957229" w:history="1">
        <w:r w:rsidRPr="00E92990">
          <w:rPr>
            <w:rStyle w:val="Hyperlink"/>
            <w:rFonts w:ascii="Lato" w:hAnsi="Lato"/>
            <w:noProof/>
          </w:rPr>
          <w:t>3.3 South Pacific circulation trend over the past 15 years: comparison of other observations</w:t>
        </w:r>
        <w:r w:rsidRPr="00E92990">
          <w:rPr>
            <w:rFonts w:ascii="Lato" w:hAnsi="Lato"/>
            <w:noProof/>
            <w:webHidden/>
          </w:rPr>
          <w:tab/>
        </w:r>
        <w:r w:rsidRPr="00E92990">
          <w:rPr>
            <w:rFonts w:ascii="Lato" w:hAnsi="Lato"/>
            <w:noProof/>
            <w:webHidden/>
          </w:rPr>
          <w:fldChar w:fldCharType="begin"/>
        </w:r>
        <w:r w:rsidRPr="00E92990">
          <w:rPr>
            <w:rFonts w:ascii="Lato" w:hAnsi="Lato"/>
            <w:noProof/>
            <w:webHidden/>
          </w:rPr>
          <w:instrText xml:space="preserve"> PAGEREF _Toc157957229 \h </w:instrText>
        </w:r>
        <w:r w:rsidRPr="00E92990">
          <w:rPr>
            <w:rFonts w:ascii="Lato" w:hAnsi="Lato"/>
            <w:noProof/>
          </w:rPr>
        </w:r>
        <w:r w:rsidRPr="00E92990">
          <w:rPr>
            <w:rFonts w:ascii="Lato" w:hAnsi="Lato"/>
            <w:noProof/>
            <w:webHidden/>
          </w:rPr>
          <w:fldChar w:fldCharType="separate"/>
        </w:r>
        <w:r w:rsidR="009A1D58" w:rsidRPr="00E92990">
          <w:rPr>
            <w:rFonts w:ascii="Lato" w:hAnsi="Lato"/>
            <w:noProof/>
            <w:webHidden/>
          </w:rPr>
          <w:t>8</w:t>
        </w:r>
        <w:r w:rsidRPr="00E92990">
          <w:rPr>
            <w:rFonts w:ascii="Lato" w:hAnsi="Lato"/>
            <w:noProof/>
            <w:webHidden/>
          </w:rPr>
          <w:fldChar w:fldCharType="end"/>
        </w:r>
      </w:hyperlink>
    </w:p>
    <w:p w14:paraId="66F85811" w14:textId="77777777" w:rsidR="00440FFA" w:rsidRPr="00E92990" w:rsidRDefault="00440FFA" w:rsidP="008235C5">
      <w:pPr>
        <w:pStyle w:val="TOC2"/>
        <w:tabs>
          <w:tab w:val="right" w:leader="dot" w:pos="8636"/>
        </w:tabs>
        <w:spacing w:line="276" w:lineRule="auto"/>
        <w:jc w:val="both"/>
        <w:rPr>
          <w:rFonts w:ascii="Lato" w:hAnsi="Lato"/>
          <w:noProof/>
        </w:rPr>
      </w:pPr>
      <w:hyperlink w:anchor="_Toc157957230" w:history="1">
        <w:r w:rsidRPr="00E92990">
          <w:rPr>
            <w:rStyle w:val="Hyperlink"/>
            <w:rFonts w:ascii="Lato" w:hAnsi="Lato"/>
            <w:noProof/>
          </w:rPr>
          <w:t>3.4 Linking ozone depletion to ocean circulation changes</w:t>
        </w:r>
        <w:r w:rsidRPr="00E92990">
          <w:rPr>
            <w:rFonts w:ascii="Lato" w:hAnsi="Lato"/>
            <w:noProof/>
            <w:webHidden/>
          </w:rPr>
          <w:tab/>
        </w:r>
        <w:r w:rsidRPr="00E92990">
          <w:rPr>
            <w:rFonts w:ascii="Lato" w:hAnsi="Lato"/>
            <w:noProof/>
            <w:webHidden/>
          </w:rPr>
          <w:fldChar w:fldCharType="begin"/>
        </w:r>
        <w:r w:rsidRPr="00E92990">
          <w:rPr>
            <w:rFonts w:ascii="Lato" w:hAnsi="Lato"/>
            <w:noProof/>
            <w:webHidden/>
          </w:rPr>
          <w:instrText xml:space="preserve"> PAGEREF _Toc157957230 \h </w:instrText>
        </w:r>
        <w:r w:rsidRPr="00E92990">
          <w:rPr>
            <w:rFonts w:ascii="Lato" w:hAnsi="Lato"/>
            <w:noProof/>
          </w:rPr>
        </w:r>
        <w:r w:rsidRPr="00E92990">
          <w:rPr>
            <w:rFonts w:ascii="Lato" w:hAnsi="Lato"/>
            <w:noProof/>
            <w:webHidden/>
          </w:rPr>
          <w:fldChar w:fldCharType="separate"/>
        </w:r>
        <w:r w:rsidR="009A1D58" w:rsidRPr="00E92990">
          <w:rPr>
            <w:rFonts w:ascii="Lato" w:hAnsi="Lato"/>
            <w:noProof/>
            <w:webHidden/>
          </w:rPr>
          <w:t>9</w:t>
        </w:r>
        <w:r w:rsidRPr="00E92990">
          <w:rPr>
            <w:rFonts w:ascii="Lato" w:hAnsi="Lato"/>
            <w:noProof/>
            <w:webHidden/>
          </w:rPr>
          <w:fldChar w:fldCharType="end"/>
        </w:r>
      </w:hyperlink>
    </w:p>
    <w:p w14:paraId="60575FF6" w14:textId="77777777" w:rsidR="00440FFA" w:rsidRPr="00E92990" w:rsidRDefault="00440FFA" w:rsidP="008235C5">
      <w:pPr>
        <w:pStyle w:val="TOC1"/>
        <w:tabs>
          <w:tab w:val="right" w:leader="dot" w:pos="8636"/>
        </w:tabs>
        <w:spacing w:line="276" w:lineRule="auto"/>
        <w:jc w:val="both"/>
        <w:rPr>
          <w:rFonts w:ascii="Lato" w:eastAsia="Times New Roman" w:hAnsi="Lato"/>
          <w:noProof/>
          <w:lang w:val="en-AU" w:eastAsia="en-AU"/>
        </w:rPr>
      </w:pPr>
      <w:hyperlink w:anchor="_Toc157957231" w:history="1">
        <w:r w:rsidRPr="00E92990">
          <w:rPr>
            <w:rStyle w:val="Hyperlink"/>
            <w:rFonts w:ascii="Lato" w:hAnsi="Lato"/>
            <w:noProof/>
          </w:rPr>
          <w:t>4. Summary</w:t>
        </w:r>
        <w:r w:rsidRPr="00E92990">
          <w:rPr>
            <w:rFonts w:ascii="Lato" w:hAnsi="Lato"/>
            <w:noProof/>
            <w:webHidden/>
          </w:rPr>
          <w:tab/>
        </w:r>
        <w:r w:rsidRPr="00E92990">
          <w:rPr>
            <w:rFonts w:ascii="Lato" w:hAnsi="Lato"/>
            <w:noProof/>
            <w:webHidden/>
          </w:rPr>
          <w:fldChar w:fldCharType="begin"/>
        </w:r>
        <w:r w:rsidRPr="00E92990">
          <w:rPr>
            <w:rFonts w:ascii="Lato" w:hAnsi="Lato"/>
            <w:noProof/>
            <w:webHidden/>
          </w:rPr>
          <w:instrText xml:space="preserve"> PAGEREF _Toc157957231 \h </w:instrText>
        </w:r>
        <w:r w:rsidRPr="00E92990">
          <w:rPr>
            <w:rFonts w:ascii="Lato" w:hAnsi="Lato"/>
            <w:noProof/>
          </w:rPr>
        </w:r>
        <w:r w:rsidRPr="00E92990">
          <w:rPr>
            <w:rFonts w:ascii="Lato" w:hAnsi="Lato"/>
            <w:noProof/>
            <w:webHidden/>
          </w:rPr>
          <w:fldChar w:fldCharType="separate"/>
        </w:r>
        <w:r w:rsidR="009A1D58" w:rsidRPr="00E92990">
          <w:rPr>
            <w:rFonts w:ascii="Lato" w:hAnsi="Lato"/>
            <w:noProof/>
            <w:webHidden/>
          </w:rPr>
          <w:t>10</w:t>
        </w:r>
        <w:r w:rsidRPr="00E92990">
          <w:rPr>
            <w:rFonts w:ascii="Lato" w:hAnsi="Lato"/>
            <w:noProof/>
            <w:webHidden/>
          </w:rPr>
          <w:fldChar w:fldCharType="end"/>
        </w:r>
      </w:hyperlink>
    </w:p>
    <w:p w14:paraId="13094DC4" w14:textId="77777777" w:rsidR="00440FFA" w:rsidRPr="00E92990" w:rsidRDefault="00440FFA" w:rsidP="008235C5">
      <w:pPr>
        <w:pStyle w:val="TOC1"/>
        <w:tabs>
          <w:tab w:val="right" w:leader="dot" w:pos="8636"/>
        </w:tabs>
        <w:spacing w:line="276" w:lineRule="auto"/>
        <w:jc w:val="both"/>
        <w:rPr>
          <w:rFonts w:ascii="Lato" w:eastAsia="Times New Roman" w:hAnsi="Lato"/>
          <w:noProof/>
          <w:lang w:val="en-AU" w:eastAsia="en-AU"/>
        </w:rPr>
      </w:pPr>
      <w:hyperlink w:anchor="_Toc157957232" w:history="1">
        <w:r w:rsidRPr="00E92990">
          <w:rPr>
            <w:rStyle w:val="Hyperlink"/>
            <w:rFonts w:ascii="Lato" w:hAnsi="Lato"/>
            <w:noProof/>
          </w:rPr>
          <w:t>References</w:t>
        </w:r>
        <w:r w:rsidRPr="00E92990">
          <w:rPr>
            <w:rFonts w:ascii="Lato" w:hAnsi="Lato"/>
            <w:noProof/>
            <w:webHidden/>
          </w:rPr>
          <w:tab/>
        </w:r>
        <w:r w:rsidRPr="00E92990">
          <w:rPr>
            <w:rFonts w:ascii="Lato" w:hAnsi="Lato"/>
            <w:noProof/>
            <w:webHidden/>
          </w:rPr>
          <w:fldChar w:fldCharType="begin"/>
        </w:r>
        <w:r w:rsidRPr="00E92990">
          <w:rPr>
            <w:rFonts w:ascii="Lato" w:hAnsi="Lato"/>
            <w:noProof/>
            <w:webHidden/>
          </w:rPr>
          <w:instrText xml:space="preserve"> PAGEREF _Toc157957232 \h </w:instrText>
        </w:r>
        <w:r w:rsidRPr="00E92990">
          <w:rPr>
            <w:rFonts w:ascii="Lato" w:hAnsi="Lato"/>
            <w:noProof/>
          </w:rPr>
        </w:r>
        <w:r w:rsidRPr="00E92990">
          <w:rPr>
            <w:rFonts w:ascii="Lato" w:hAnsi="Lato"/>
            <w:noProof/>
            <w:webHidden/>
          </w:rPr>
          <w:fldChar w:fldCharType="separate"/>
        </w:r>
        <w:r w:rsidR="009A1D58" w:rsidRPr="00E92990">
          <w:rPr>
            <w:rFonts w:ascii="Lato" w:hAnsi="Lato"/>
            <w:noProof/>
            <w:webHidden/>
          </w:rPr>
          <w:t>11</w:t>
        </w:r>
        <w:r w:rsidRPr="00E92990">
          <w:rPr>
            <w:rFonts w:ascii="Lato" w:hAnsi="Lato"/>
            <w:noProof/>
            <w:webHidden/>
          </w:rPr>
          <w:fldChar w:fldCharType="end"/>
        </w:r>
      </w:hyperlink>
    </w:p>
    <w:p w14:paraId="61950D1E" w14:textId="77777777" w:rsidR="00E92990" w:rsidRPr="00E92990" w:rsidRDefault="00440FFA" w:rsidP="008235C5">
      <w:pPr>
        <w:spacing w:line="276" w:lineRule="auto"/>
        <w:ind w:right="6"/>
        <w:jc w:val="both"/>
        <w:rPr>
          <w:rFonts w:ascii="Lato" w:hAnsi="Lato"/>
        </w:rPr>
      </w:pPr>
      <w:r w:rsidRPr="00E92990">
        <w:rPr>
          <w:rFonts w:ascii="Lato" w:hAnsi="Lato"/>
        </w:rPr>
        <w:fldChar w:fldCharType="end"/>
      </w:r>
      <w:bookmarkStart w:id="0" w:name="_Toc157957223"/>
    </w:p>
    <w:p w14:paraId="66F9132B" w14:textId="6F59C2DA" w:rsidR="00AB0958" w:rsidRPr="00E92990" w:rsidRDefault="00AB0958" w:rsidP="00E92990">
      <w:pPr>
        <w:spacing w:line="276" w:lineRule="auto"/>
        <w:ind w:right="6"/>
        <w:jc w:val="center"/>
        <w:rPr>
          <w:rFonts w:ascii="Lato" w:hAnsi="Lato"/>
          <w:b/>
          <w:sz w:val="28"/>
          <w:szCs w:val="28"/>
        </w:rPr>
      </w:pPr>
      <w:r w:rsidRPr="00E92990">
        <w:rPr>
          <w:rStyle w:val="Heading1Char"/>
          <w:rFonts w:ascii="Lato" w:hAnsi="Lato"/>
          <w:sz w:val="28"/>
          <w:szCs w:val="28"/>
        </w:rPr>
        <w:t>Abstract</w:t>
      </w:r>
      <w:bookmarkEnd w:id="0"/>
    </w:p>
    <w:p w14:paraId="7C6156F2" w14:textId="77777777" w:rsidR="00AB0958" w:rsidRPr="00E92990" w:rsidRDefault="00AB0958" w:rsidP="008235C5">
      <w:pPr>
        <w:spacing w:line="276" w:lineRule="auto"/>
        <w:ind w:right="6"/>
        <w:jc w:val="both"/>
        <w:rPr>
          <w:rFonts w:ascii="Lato" w:hAnsi="Lato"/>
        </w:rPr>
      </w:pPr>
    </w:p>
    <w:p w14:paraId="3D518B8F" w14:textId="77777777" w:rsidR="00AB0958" w:rsidRPr="00E92990" w:rsidRDefault="00AB0958" w:rsidP="008235C5">
      <w:pPr>
        <w:spacing w:line="276" w:lineRule="auto"/>
        <w:ind w:right="6"/>
        <w:jc w:val="both"/>
        <w:rPr>
          <w:rFonts w:ascii="Lato" w:hAnsi="Lato"/>
          <w:b/>
          <w:bCs/>
        </w:rPr>
      </w:pPr>
      <w:r w:rsidRPr="00E92990">
        <w:rPr>
          <w:rFonts w:ascii="Lato" w:hAnsi="Lato"/>
        </w:rPr>
        <w:t>Some 40 years after Sverdrup (1947) developed his fundamental wind-driven circulation theory, Australian scientist Dr. Stuart Godfrey, advanced it in an elegant and provoking way (Godfrey, 1989). He proposed an “Island Rule” and used it in conjunction with the Sverdrup relationship such that given a set of surface wind-stress field, global wind-driven circulation can be determined. We have applied this Island Rule model to monthly surface wind stress fields from NCEP (</w:t>
      </w:r>
      <w:proofErr w:type="spellStart"/>
      <w:r w:rsidRPr="00E92990">
        <w:rPr>
          <w:rFonts w:ascii="Lato" w:hAnsi="Lato"/>
        </w:rPr>
        <w:t>Kalnay</w:t>
      </w:r>
      <w:proofErr w:type="spellEnd"/>
      <w:r w:rsidRPr="00E92990">
        <w:rPr>
          <w:rFonts w:ascii="Lato" w:hAnsi="Lato"/>
        </w:rPr>
        <w:t xml:space="preserve"> et al., 1996) reanalysis and ERA40 (</w:t>
      </w:r>
      <w:proofErr w:type="spellStart"/>
      <w:r w:rsidRPr="00E92990">
        <w:rPr>
          <w:rFonts w:ascii="Lato" w:hAnsi="Lato"/>
        </w:rPr>
        <w:t>Uppala</w:t>
      </w:r>
      <w:proofErr w:type="spellEnd"/>
      <w:r w:rsidRPr="00E92990">
        <w:rPr>
          <w:rFonts w:ascii="Lato" w:hAnsi="Lato"/>
        </w:rPr>
        <w:t xml:space="preserve">, et al., 2005) reanalysis to generate the wind-driven circulation history in terms of barotropic stream function and steric height. This dataset is now available to serve the global Earth system research community for climate model validation purposes and for description of variations and trends of the wind-driven ocean circulation. </w:t>
      </w:r>
    </w:p>
    <w:p w14:paraId="7C63BA59" w14:textId="77777777" w:rsidR="00AB0958" w:rsidRPr="00E92990" w:rsidRDefault="00AB0958" w:rsidP="008235C5">
      <w:pPr>
        <w:spacing w:line="276" w:lineRule="auto"/>
        <w:ind w:right="6"/>
        <w:jc w:val="both"/>
        <w:rPr>
          <w:rFonts w:ascii="Lato" w:hAnsi="Lato"/>
        </w:rPr>
      </w:pPr>
    </w:p>
    <w:p w14:paraId="18F0DA87" w14:textId="77777777" w:rsidR="0000466E" w:rsidRPr="00E92990" w:rsidRDefault="0000466E" w:rsidP="008235C5">
      <w:pPr>
        <w:spacing w:line="276" w:lineRule="auto"/>
        <w:ind w:right="6"/>
        <w:jc w:val="both"/>
        <w:rPr>
          <w:rFonts w:ascii="Lato" w:hAnsi="Lato"/>
        </w:rPr>
      </w:pPr>
    </w:p>
    <w:p w14:paraId="6AFC199F" w14:textId="77777777" w:rsidR="00AB0958" w:rsidRPr="00E92990" w:rsidRDefault="00AB0958" w:rsidP="008235C5">
      <w:pPr>
        <w:pStyle w:val="Heading1"/>
        <w:spacing w:line="276" w:lineRule="auto"/>
        <w:jc w:val="both"/>
        <w:rPr>
          <w:rFonts w:ascii="Lato" w:hAnsi="Lato"/>
          <w:sz w:val="24"/>
          <w:szCs w:val="24"/>
        </w:rPr>
      </w:pPr>
      <w:bookmarkStart w:id="1" w:name="_Toc157957224"/>
      <w:r w:rsidRPr="00E92990">
        <w:rPr>
          <w:rFonts w:ascii="Lato" w:hAnsi="Lato"/>
          <w:sz w:val="24"/>
          <w:szCs w:val="24"/>
        </w:rPr>
        <w:t xml:space="preserve">1. </w:t>
      </w:r>
      <w:r w:rsidR="004B6594" w:rsidRPr="00E92990">
        <w:rPr>
          <w:rFonts w:ascii="Lato" w:hAnsi="Lato"/>
          <w:sz w:val="24"/>
          <w:szCs w:val="24"/>
        </w:rPr>
        <w:t xml:space="preserve">Introduction: </w:t>
      </w:r>
      <w:r w:rsidRPr="00E92990">
        <w:rPr>
          <w:rFonts w:ascii="Lato" w:hAnsi="Lato"/>
          <w:sz w:val="24"/>
          <w:szCs w:val="24"/>
        </w:rPr>
        <w:t>A brief description of the Island Rule models</w:t>
      </w:r>
      <w:bookmarkEnd w:id="1"/>
    </w:p>
    <w:p w14:paraId="646FEBE2" w14:textId="77777777" w:rsidR="00AB0958" w:rsidRPr="00E92990" w:rsidRDefault="00AB0958" w:rsidP="008235C5">
      <w:pPr>
        <w:spacing w:line="276" w:lineRule="auto"/>
        <w:ind w:right="6"/>
        <w:jc w:val="both"/>
        <w:rPr>
          <w:rFonts w:ascii="Lato" w:hAnsi="Lato"/>
        </w:rPr>
      </w:pPr>
    </w:p>
    <w:p w14:paraId="34B93882" w14:textId="77777777" w:rsidR="00AB0958" w:rsidRPr="00E92990" w:rsidRDefault="00AB0958" w:rsidP="008235C5">
      <w:pPr>
        <w:spacing w:line="276" w:lineRule="auto"/>
        <w:ind w:right="6"/>
        <w:jc w:val="both"/>
        <w:rPr>
          <w:rFonts w:ascii="Lato" w:hAnsi="Lato"/>
        </w:rPr>
      </w:pPr>
      <w:r w:rsidRPr="00E92990">
        <w:rPr>
          <w:rFonts w:ascii="Lato" w:hAnsi="Lato"/>
        </w:rPr>
        <w:t xml:space="preserve">For the interior ocean, the stream function </w:t>
      </w:r>
      <w:r w:rsidRPr="00E92990">
        <w:rPr>
          <w:rFonts w:ascii="Lato" w:hAnsi="Lato"/>
          <w:position w:val="-10"/>
        </w:rPr>
        <w:object w:dxaOrig="240" w:dyaOrig="260" w14:anchorId="0291E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7" o:title=""/>
          </v:shape>
          <o:OLEObject Type="Embed" ProgID="Equation.3" ShapeID="_x0000_i1025" DrawAspect="Content" ObjectID="_1709098159" r:id="rId8"/>
        </w:object>
      </w:r>
      <w:r w:rsidRPr="00E92990">
        <w:rPr>
          <w:rFonts w:ascii="Lato" w:hAnsi="Lato"/>
        </w:rPr>
        <w:t xml:space="preserve"> is determined by the Sverdrup relationship: </w:t>
      </w:r>
    </w:p>
    <w:p w14:paraId="40B9B349" w14:textId="77777777" w:rsidR="00AB0958" w:rsidRPr="00E92990" w:rsidRDefault="00AB0958" w:rsidP="008235C5">
      <w:pPr>
        <w:spacing w:line="276" w:lineRule="auto"/>
        <w:ind w:right="6"/>
        <w:jc w:val="both"/>
        <w:rPr>
          <w:rFonts w:ascii="Lato" w:hAnsi="Lato"/>
        </w:rPr>
      </w:pPr>
    </w:p>
    <w:p w14:paraId="2F1FCC1D" w14:textId="77777777" w:rsidR="00AB0958" w:rsidRPr="00E92990" w:rsidRDefault="00AB0958" w:rsidP="008235C5">
      <w:pPr>
        <w:spacing w:line="276" w:lineRule="auto"/>
        <w:ind w:right="6"/>
        <w:jc w:val="both"/>
        <w:rPr>
          <w:rFonts w:ascii="Lato" w:hAnsi="Lato"/>
        </w:rPr>
      </w:pPr>
      <w:r w:rsidRPr="00E92990">
        <w:rPr>
          <w:rFonts w:ascii="Lato" w:hAnsi="Lato"/>
          <w:position w:val="-24"/>
        </w:rPr>
        <w:object w:dxaOrig="1680" w:dyaOrig="620" w14:anchorId="334E84AE">
          <v:shape id="_x0000_i1026" type="#_x0000_t75" style="width:96pt;height:35.25pt" o:ole="">
            <v:imagedata r:id="rId9" o:title=""/>
          </v:shape>
          <o:OLEObject Type="Embed" ProgID="Equation.3" ShapeID="_x0000_i1026" DrawAspect="Content" ObjectID="_1709098160" r:id="rId10"/>
        </w:object>
      </w:r>
      <w:r w:rsidRPr="00E92990">
        <w:rPr>
          <w:rFonts w:ascii="Lato" w:hAnsi="Lato"/>
        </w:rPr>
        <w:t>, (1)</w:t>
      </w:r>
    </w:p>
    <w:p w14:paraId="71E65125" w14:textId="77777777" w:rsidR="00DD2C55" w:rsidRPr="00E92990" w:rsidRDefault="00DD2C55" w:rsidP="008235C5">
      <w:pPr>
        <w:spacing w:line="276" w:lineRule="auto"/>
        <w:ind w:right="6"/>
        <w:jc w:val="both"/>
        <w:rPr>
          <w:rFonts w:ascii="Lato" w:hAnsi="Lato"/>
        </w:rPr>
      </w:pPr>
    </w:p>
    <w:p w14:paraId="2BC3E5C3" w14:textId="77777777" w:rsidR="00AB0958" w:rsidRPr="00E92990" w:rsidRDefault="00AB0958" w:rsidP="008235C5">
      <w:pPr>
        <w:spacing w:line="276" w:lineRule="auto"/>
        <w:ind w:right="6"/>
        <w:jc w:val="both"/>
        <w:rPr>
          <w:rFonts w:ascii="Lato" w:hAnsi="Lato"/>
        </w:rPr>
      </w:pPr>
      <w:r w:rsidRPr="00E92990">
        <w:rPr>
          <w:rFonts w:ascii="Lato" w:hAnsi="Lato"/>
        </w:rPr>
        <w:t>Where</w:t>
      </w:r>
      <w:r w:rsidRPr="00E92990">
        <w:rPr>
          <w:rFonts w:ascii="Lato" w:hAnsi="Lato"/>
          <w:position w:val="-28"/>
        </w:rPr>
        <w:object w:dxaOrig="780" w:dyaOrig="660" w14:anchorId="6644DA62">
          <v:shape id="_x0000_i1027" type="#_x0000_t75" style="width:39pt;height:33pt" o:ole="">
            <v:imagedata r:id="rId11" o:title=""/>
          </v:shape>
          <o:OLEObject Type="Embed" ProgID="Equation.3" ShapeID="_x0000_i1027" DrawAspect="Content" ObjectID="_1709098161" r:id="rId12"/>
        </w:object>
      </w:r>
      <w:r w:rsidRPr="00E92990">
        <w:rPr>
          <w:rFonts w:ascii="Lato" w:hAnsi="Lato"/>
        </w:rPr>
        <w:t xml:space="preserve">,  </w:t>
      </w:r>
      <w:r w:rsidRPr="00E92990">
        <w:rPr>
          <w:rFonts w:ascii="Lato" w:hAnsi="Lato"/>
          <w:position w:val="-10"/>
        </w:rPr>
        <w:object w:dxaOrig="240" w:dyaOrig="320" w14:anchorId="7A7AC3E7">
          <v:shape id="_x0000_i1028" type="#_x0000_t75" style="width:12pt;height:15.75pt" o:ole="">
            <v:imagedata r:id="rId13" o:title=""/>
          </v:shape>
          <o:OLEObject Type="Embed" ProgID="Equation.3" ShapeID="_x0000_i1028" DrawAspect="Content" ObjectID="_1709098162" r:id="rId14"/>
        </w:object>
      </w:r>
      <w:r w:rsidRPr="00E92990">
        <w:rPr>
          <w:rFonts w:ascii="Lato" w:hAnsi="Lato"/>
        </w:rPr>
        <w:t xml:space="preserve"> is the Coriolis coefficient, and </w:t>
      </w:r>
      <w:r w:rsidRPr="00E92990">
        <w:rPr>
          <w:rFonts w:ascii="Lato" w:hAnsi="Lato"/>
          <w:position w:val="-12"/>
        </w:rPr>
        <w:object w:dxaOrig="260" w:dyaOrig="360" w14:anchorId="52BA811C">
          <v:shape id="_x0000_i1029" type="#_x0000_t75" style="width:12.75pt;height:18pt" o:ole="">
            <v:imagedata r:id="rId15" o:title=""/>
          </v:shape>
          <o:OLEObject Type="Embed" ProgID="Equation.3" ShapeID="_x0000_i1029" DrawAspect="Content" ObjectID="_1709098163" r:id="rId16"/>
        </w:object>
      </w:r>
      <w:r w:rsidRPr="00E92990">
        <w:rPr>
          <w:rFonts w:ascii="Lato" w:hAnsi="Lato"/>
        </w:rPr>
        <w:t xml:space="preserve"> is the surface wind stress.  The flow along the western boundary, where the Sverdrup relationship breaks down, is calculated using the “Island Rule” for flows around an island, such as Australasia, New Zealand, and </w:t>
      </w:r>
      <w:proofErr w:type="gramStart"/>
      <w:r w:rsidRPr="00E92990">
        <w:rPr>
          <w:rFonts w:ascii="Lato" w:hAnsi="Lato"/>
        </w:rPr>
        <w:t>Madagascar</w:t>
      </w:r>
      <w:r w:rsidRPr="00E92990" w:rsidDel="00C20DAC">
        <w:rPr>
          <w:rFonts w:ascii="Lato" w:hAnsi="Lato"/>
        </w:rPr>
        <w:t xml:space="preserve"> </w:t>
      </w:r>
      <w:r w:rsidRPr="00E92990">
        <w:rPr>
          <w:rFonts w:ascii="Lato" w:hAnsi="Lato"/>
        </w:rPr>
        <w:t xml:space="preserve"> (</w:t>
      </w:r>
      <w:proofErr w:type="gramEnd"/>
      <w:r w:rsidRPr="00E92990">
        <w:rPr>
          <w:rFonts w:ascii="Lato" w:hAnsi="Lato"/>
        </w:rPr>
        <w:t>see upper panel, Fig. 1). The total flow</w:t>
      </w:r>
      <w:r w:rsidRPr="00E92990">
        <w:rPr>
          <w:rFonts w:ascii="Lato" w:hAnsi="Lato"/>
          <w:position w:val="-12"/>
        </w:rPr>
        <w:object w:dxaOrig="260" w:dyaOrig="360" w14:anchorId="57F7E351">
          <v:shape id="_x0000_i1030" type="#_x0000_t75" style="width:12.75pt;height:18pt" o:ole="">
            <v:imagedata r:id="rId17" o:title=""/>
          </v:shape>
          <o:OLEObject Type="Embed" ProgID="Equation.3" ShapeID="_x0000_i1030" DrawAspect="Content" ObjectID="_1709098164" r:id="rId18"/>
        </w:object>
      </w:r>
      <w:r w:rsidRPr="00E92990">
        <w:rPr>
          <w:rFonts w:ascii="Lato" w:hAnsi="Lato"/>
        </w:rPr>
        <w:t xml:space="preserve"> is determined by the pressure head between each island’s northern and southern extremities, and is the integral of wind along the red loop, i.e.,</w:t>
      </w:r>
    </w:p>
    <w:p w14:paraId="15524448" w14:textId="77777777" w:rsidR="00AB0958" w:rsidRPr="00E92990" w:rsidRDefault="00AB0958" w:rsidP="008235C5">
      <w:pPr>
        <w:spacing w:line="276" w:lineRule="auto"/>
        <w:ind w:right="6"/>
        <w:jc w:val="both"/>
        <w:rPr>
          <w:rFonts w:ascii="Lato" w:hAnsi="Lato"/>
        </w:rPr>
      </w:pPr>
    </w:p>
    <w:p w14:paraId="10123ADA" w14:textId="77777777" w:rsidR="00AB0958" w:rsidRPr="00E92990" w:rsidRDefault="00AB0958" w:rsidP="008235C5">
      <w:pPr>
        <w:spacing w:line="276" w:lineRule="auto"/>
        <w:ind w:right="6"/>
        <w:jc w:val="both"/>
        <w:rPr>
          <w:rFonts w:ascii="Lato" w:hAnsi="Lato"/>
        </w:rPr>
      </w:pPr>
      <w:r w:rsidRPr="00E92990">
        <w:rPr>
          <w:rFonts w:ascii="Lato" w:hAnsi="Lato"/>
          <w:position w:val="-22"/>
        </w:rPr>
        <w:object w:dxaOrig="2780" w:dyaOrig="499" w14:anchorId="5BD87397">
          <v:shape id="_x0000_i1031" type="#_x0000_t75" style="width:169.5pt;height:30pt" o:ole="">
            <v:imagedata r:id="rId19" o:title=""/>
          </v:shape>
          <o:OLEObject Type="Embed" ProgID="Equation.3" ShapeID="_x0000_i1031" DrawAspect="Content" ObjectID="_1709098165" r:id="rId20"/>
        </w:object>
      </w:r>
      <w:r w:rsidRPr="00E92990">
        <w:rPr>
          <w:rFonts w:ascii="Lato" w:hAnsi="Lato"/>
        </w:rPr>
        <w:t>. (2)</w:t>
      </w:r>
    </w:p>
    <w:p w14:paraId="2668759E" w14:textId="77777777" w:rsidR="00AB0958" w:rsidRPr="00E92990" w:rsidRDefault="00AB0958" w:rsidP="008235C5">
      <w:pPr>
        <w:spacing w:line="276" w:lineRule="auto"/>
        <w:ind w:right="6"/>
        <w:jc w:val="both"/>
        <w:rPr>
          <w:rFonts w:ascii="Lato" w:hAnsi="Lato"/>
        </w:rPr>
      </w:pPr>
    </w:p>
    <w:p w14:paraId="1074FFA0" w14:textId="77777777" w:rsidR="00AB0958" w:rsidRPr="00E92990" w:rsidRDefault="00AB0958" w:rsidP="008235C5">
      <w:pPr>
        <w:spacing w:line="276" w:lineRule="auto"/>
        <w:ind w:right="6"/>
        <w:jc w:val="both"/>
        <w:rPr>
          <w:rFonts w:ascii="Lato" w:hAnsi="Lato"/>
        </w:rPr>
      </w:pPr>
      <w:r w:rsidRPr="00E92990">
        <w:rPr>
          <w:rFonts w:ascii="Lato" w:hAnsi="Lato"/>
        </w:rPr>
        <w:t xml:space="preserve">We have calculated both the stream function and the steric heights for NCEP and ERA40 wind products, with the Indonesian Throughflow Passage open in a quasi-realistic topographic setting.  The data provides monthly, annual mean and seasonal outputs of both variables in </w:t>
      </w:r>
      <w:proofErr w:type="spellStart"/>
      <w:r w:rsidRPr="00E92990">
        <w:rPr>
          <w:rFonts w:ascii="Lato" w:hAnsi="Lato"/>
        </w:rPr>
        <w:t>NetCDF</w:t>
      </w:r>
      <w:proofErr w:type="spellEnd"/>
      <w:r w:rsidRPr="00E92990">
        <w:rPr>
          <w:rFonts w:ascii="Lato" w:hAnsi="Lato"/>
        </w:rPr>
        <w:t xml:space="preserve"> format. These data are now available from the Tasmania Partnership of Advanced Computing (</w:t>
      </w:r>
      <w:r w:rsidR="00DD2C55" w:rsidRPr="00E92990">
        <w:rPr>
          <w:rFonts w:ascii="Lato" w:hAnsi="Lato"/>
        </w:rPr>
        <w:t>http://digitallibrary.tpac.org.au)</w:t>
      </w:r>
      <w:r w:rsidRPr="00E92990">
        <w:rPr>
          <w:rFonts w:ascii="Lato" w:hAnsi="Lato"/>
        </w:rPr>
        <w:t>. The Indonesian Throughflow, which is the path integral of the wind stress around the red loop QRST (upper panel, Fig. 1, based on that calculated using NCEP winds), shows a realistic seasonal cycle, strongest in southern winter and weaker in southern summer (lower panel, Fig. 1).</w:t>
      </w:r>
    </w:p>
    <w:p w14:paraId="737F4CB4" w14:textId="77777777" w:rsidR="00DD2C55" w:rsidRPr="00E92990" w:rsidRDefault="00DD2C55" w:rsidP="008235C5">
      <w:pPr>
        <w:spacing w:line="276" w:lineRule="auto"/>
        <w:ind w:right="6"/>
        <w:jc w:val="both"/>
        <w:rPr>
          <w:rFonts w:ascii="Lato" w:hAnsi="Lato"/>
        </w:rPr>
      </w:pPr>
    </w:p>
    <w:p w14:paraId="75AE7C57" w14:textId="77777777" w:rsidR="00AB0958" w:rsidRPr="00E92990" w:rsidRDefault="004B6594" w:rsidP="008235C5">
      <w:pPr>
        <w:pStyle w:val="Heading1"/>
        <w:spacing w:line="276" w:lineRule="auto"/>
        <w:jc w:val="both"/>
        <w:rPr>
          <w:rFonts w:ascii="Lato" w:hAnsi="Lato"/>
          <w:sz w:val="24"/>
          <w:szCs w:val="24"/>
        </w:rPr>
      </w:pPr>
      <w:bookmarkStart w:id="2" w:name="_Toc157957225"/>
      <w:r w:rsidRPr="00E92990">
        <w:rPr>
          <w:rFonts w:ascii="Lato" w:hAnsi="Lato"/>
          <w:sz w:val="24"/>
          <w:szCs w:val="24"/>
        </w:rPr>
        <w:t xml:space="preserve">2. </w:t>
      </w:r>
      <w:r w:rsidR="00AB0958" w:rsidRPr="00E92990">
        <w:rPr>
          <w:rFonts w:ascii="Lato" w:hAnsi="Lato"/>
          <w:sz w:val="24"/>
          <w:szCs w:val="24"/>
        </w:rPr>
        <w:t>Application caveat</w:t>
      </w:r>
      <w:bookmarkEnd w:id="2"/>
    </w:p>
    <w:p w14:paraId="41E505A0" w14:textId="77777777" w:rsidR="00AB0958" w:rsidRPr="00E92990" w:rsidRDefault="00AB0958" w:rsidP="008235C5">
      <w:pPr>
        <w:spacing w:line="276" w:lineRule="auto"/>
        <w:ind w:left="60" w:right="6"/>
        <w:jc w:val="both"/>
        <w:rPr>
          <w:rFonts w:ascii="Lato" w:hAnsi="Lato"/>
        </w:rPr>
      </w:pPr>
    </w:p>
    <w:p w14:paraId="0A1593E2" w14:textId="77777777" w:rsidR="00AB0958" w:rsidRPr="00E92990" w:rsidRDefault="00AB0958" w:rsidP="008235C5">
      <w:pPr>
        <w:spacing w:line="276" w:lineRule="auto"/>
        <w:ind w:left="60" w:right="6"/>
        <w:jc w:val="both"/>
        <w:rPr>
          <w:rFonts w:ascii="Lato" w:hAnsi="Lato"/>
        </w:rPr>
      </w:pPr>
      <w:r w:rsidRPr="00E92990">
        <w:rPr>
          <w:rFonts w:ascii="Lato" w:hAnsi="Lato"/>
        </w:rPr>
        <w:t xml:space="preserve">One primary application is to calculate ocean climate trends. One of the primary assumptions of the Island Rule is that the wind forcing has acted on the ocean for a timescale longer than that of the oceanic adjustment, i.e., Rossby wave process, long enough such that the ocean can be assumed to be at a steady state. In other words, the timescale for Rossby wave to traverse from the eastern boundary to the western boundary, which is longer as latitude increases, must be shorter than the time duration within which a trend is to be determined.  These time scales have been calculated by previous studies for the South Pacific (e.g., </w:t>
      </w:r>
      <w:proofErr w:type="spellStart"/>
      <w:r w:rsidRPr="00E92990">
        <w:rPr>
          <w:rFonts w:ascii="Lato" w:hAnsi="Lato"/>
        </w:rPr>
        <w:t>Qiu</w:t>
      </w:r>
      <w:proofErr w:type="spellEnd"/>
      <w:r w:rsidRPr="00E92990">
        <w:rPr>
          <w:rFonts w:ascii="Lato" w:hAnsi="Lato"/>
        </w:rPr>
        <w:t xml:space="preserve"> and Chen, 2006, Fig. 2). For example, at 45</w:t>
      </w:r>
      <w:r w:rsidRPr="00E92990">
        <w:rPr>
          <w:rFonts w:ascii="Lato" w:hAnsi="Lato"/>
          <w:vertAlign w:val="superscript"/>
        </w:rPr>
        <w:t>o</w:t>
      </w:r>
      <w:r w:rsidRPr="00E92990">
        <w:rPr>
          <w:rFonts w:ascii="Lato" w:hAnsi="Lato"/>
        </w:rPr>
        <w:t xml:space="preserve">S, it would take 22 years to compete the full Rossby wave adjustment process from the South Pacific's eastern boundary to its western boundary. To determine the wind-driven South Pacific circulation </w:t>
      </w:r>
      <w:r w:rsidRPr="00E92990">
        <w:rPr>
          <w:rFonts w:ascii="Lato" w:hAnsi="Lato"/>
        </w:rPr>
        <w:lastRenderedPageBreak/>
        <w:t>trend at this latitude from 1978-2003 (e.g., Cai, 2006), which is 25 years, the Island Rule can be applied.  At any latitudes north of 45</w:t>
      </w:r>
      <w:r w:rsidRPr="00E92990">
        <w:rPr>
          <w:rFonts w:ascii="Lato" w:hAnsi="Lato"/>
          <w:vertAlign w:val="superscript"/>
        </w:rPr>
        <w:t>o</w:t>
      </w:r>
      <w:r w:rsidRPr="00E92990">
        <w:rPr>
          <w:rFonts w:ascii="Lato" w:hAnsi="Lato"/>
        </w:rPr>
        <w:t>S, e.g., in the tropics, where the Rossby wave adjustment time scale is much shorter, the Island Rule is applicable. For the same time duration (1978-2003) discussed above, one can use the Island Rule to calculate maps of the wind-driven circulation trends. We will discuss this further in section 3.4.</w:t>
      </w:r>
    </w:p>
    <w:p w14:paraId="78D706E3" w14:textId="77777777" w:rsidR="00DD2C55" w:rsidRPr="00E92990" w:rsidRDefault="00DD2C55" w:rsidP="008235C5">
      <w:pPr>
        <w:spacing w:line="276" w:lineRule="auto"/>
        <w:ind w:left="60" w:right="6"/>
        <w:jc w:val="both"/>
        <w:rPr>
          <w:rFonts w:ascii="Lato" w:hAnsi="Lato"/>
        </w:rPr>
      </w:pPr>
    </w:p>
    <w:p w14:paraId="6C301EBC" w14:textId="77777777" w:rsidR="00AB0958" w:rsidRPr="00E92990" w:rsidRDefault="00AB0958" w:rsidP="008235C5">
      <w:pPr>
        <w:pStyle w:val="Heading1"/>
        <w:spacing w:line="276" w:lineRule="auto"/>
        <w:jc w:val="both"/>
        <w:rPr>
          <w:rFonts w:ascii="Lato" w:hAnsi="Lato"/>
          <w:sz w:val="24"/>
          <w:szCs w:val="24"/>
        </w:rPr>
      </w:pPr>
      <w:bookmarkStart w:id="3" w:name="_Toc157957226"/>
      <w:r w:rsidRPr="00E92990">
        <w:rPr>
          <w:rFonts w:ascii="Lato" w:hAnsi="Lato"/>
          <w:sz w:val="24"/>
          <w:szCs w:val="24"/>
        </w:rPr>
        <w:t xml:space="preserve">3. </w:t>
      </w:r>
      <w:r w:rsidRPr="00E92990">
        <w:rPr>
          <w:rFonts w:ascii="Lato" w:hAnsi="Lato"/>
          <w:sz w:val="28"/>
          <w:szCs w:val="28"/>
        </w:rPr>
        <w:t>Examples of climate applications</w:t>
      </w:r>
      <w:bookmarkEnd w:id="3"/>
    </w:p>
    <w:p w14:paraId="0D17FE46" w14:textId="77777777" w:rsidR="00AB0958" w:rsidRPr="00E92990" w:rsidRDefault="00AB0958" w:rsidP="008235C5">
      <w:pPr>
        <w:autoSpaceDE w:val="0"/>
        <w:autoSpaceDN w:val="0"/>
        <w:adjustRightInd w:val="0"/>
        <w:spacing w:line="276" w:lineRule="auto"/>
        <w:ind w:right="6"/>
        <w:jc w:val="both"/>
        <w:rPr>
          <w:rFonts w:ascii="Lato" w:hAnsi="Lato"/>
          <w:b/>
          <w:bCs/>
        </w:rPr>
      </w:pPr>
    </w:p>
    <w:p w14:paraId="6C826D2A" w14:textId="77777777" w:rsidR="00AB0958" w:rsidRPr="00E92990" w:rsidRDefault="00AB0958" w:rsidP="008235C5">
      <w:pPr>
        <w:pStyle w:val="Heading2"/>
        <w:spacing w:line="276" w:lineRule="auto"/>
        <w:jc w:val="both"/>
        <w:rPr>
          <w:rFonts w:ascii="Lato" w:hAnsi="Lato"/>
          <w:i w:val="0"/>
          <w:iCs w:val="0"/>
          <w:sz w:val="24"/>
          <w:szCs w:val="24"/>
        </w:rPr>
      </w:pPr>
      <w:bookmarkStart w:id="4" w:name="_Toc157957227"/>
      <w:r w:rsidRPr="00E92990">
        <w:rPr>
          <w:rFonts w:ascii="Lato" w:hAnsi="Lato"/>
          <w:i w:val="0"/>
          <w:iCs w:val="0"/>
          <w:sz w:val="24"/>
          <w:szCs w:val="24"/>
        </w:rPr>
        <w:t>3.1 Steady state</w:t>
      </w:r>
      <w:bookmarkEnd w:id="4"/>
      <w:r w:rsidRPr="00E92990">
        <w:rPr>
          <w:rFonts w:ascii="Lato" w:hAnsi="Lato"/>
          <w:i w:val="0"/>
          <w:iCs w:val="0"/>
          <w:sz w:val="24"/>
          <w:szCs w:val="24"/>
        </w:rPr>
        <w:t xml:space="preserve"> </w:t>
      </w:r>
    </w:p>
    <w:p w14:paraId="62A2C4C3" w14:textId="77777777" w:rsidR="00AB0958" w:rsidRPr="00E92990" w:rsidRDefault="00AB0958" w:rsidP="008235C5">
      <w:pPr>
        <w:autoSpaceDE w:val="0"/>
        <w:autoSpaceDN w:val="0"/>
        <w:adjustRightInd w:val="0"/>
        <w:spacing w:line="276" w:lineRule="auto"/>
        <w:ind w:right="6"/>
        <w:jc w:val="both"/>
        <w:rPr>
          <w:rFonts w:ascii="Lato" w:hAnsi="Lato"/>
          <w:b/>
          <w:bCs/>
        </w:rPr>
      </w:pPr>
    </w:p>
    <w:p w14:paraId="19636B3F" w14:textId="77777777" w:rsidR="00AB0958" w:rsidRPr="00E92990" w:rsidRDefault="00AB0958" w:rsidP="008235C5">
      <w:pPr>
        <w:autoSpaceDE w:val="0"/>
        <w:autoSpaceDN w:val="0"/>
        <w:adjustRightInd w:val="0"/>
        <w:spacing w:line="276" w:lineRule="auto"/>
        <w:ind w:right="6"/>
        <w:jc w:val="both"/>
        <w:rPr>
          <w:rFonts w:ascii="Lato" w:hAnsi="Lato"/>
        </w:rPr>
      </w:pPr>
      <w:r w:rsidRPr="00E92990">
        <w:rPr>
          <w:rFonts w:ascii="Lato" w:hAnsi="Lato"/>
        </w:rPr>
        <w:t>Due to lack of observations in the Southern Hemisphere, we have very little understanding of the seasonality of the ocean circulation.  The Island Rule model can be used to reveal the seasonalit</w:t>
      </w:r>
      <w:r w:rsidR="002B4C51" w:rsidRPr="00E92990">
        <w:rPr>
          <w:rFonts w:ascii="Lato" w:hAnsi="Lato"/>
        </w:rPr>
        <w:t>y of the wind-driven component.</w:t>
      </w:r>
      <w:r w:rsidRPr="00E92990">
        <w:rPr>
          <w:rFonts w:ascii="Lato" w:hAnsi="Lato"/>
        </w:rPr>
        <w:t xml:space="preserve"> Fig</w:t>
      </w:r>
      <w:r w:rsidR="00737267" w:rsidRPr="00E92990">
        <w:rPr>
          <w:rFonts w:ascii="Lato" w:hAnsi="Lato"/>
        </w:rPr>
        <w:t>.</w:t>
      </w:r>
      <w:r w:rsidRPr="00E92990">
        <w:rPr>
          <w:rFonts w:ascii="Lato" w:hAnsi="Lato"/>
        </w:rPr>
        <w:t xml:space="preserve"> 3 displays such circulation for two seasons, the southern summer (upper panel) and the southern winter (lower panel). It shows a strong influence of the midlatitude westerly jet on the ocean. In summer, the subtropical ridge is at latitude furthest to the south. As a result, the associated wind stress curl, which determines the ocean circulation, moves furthest to the south, and the zero-curl line, which defines the southern-most boundary of the subtropical gyres, stretches across the three oceans, intersecting the South American coast (Fig. 2, Cai, 2006). This generates the so-called super-gyre circulation, linking the subtropical circulation of the South Pacific, South Indian, and South Atlantic. The flow of the East Australian Current (EAC) through Tasman Sea (Tasman leakage) veers into the Indian Ocean and to the South Atlantic. The super-gyre circulation is thought to be involved in the global thermohaline circulation, with the Tasman leakage contributing 3.2 Sv of the total 20 Sv of the North Atlantic </w:t>
      </w:r>
      <w:proofErr w:type="gramStart"/>
      <w:r w:rsidRPr="00E92990">
        <w:rPr>
          <w:rFonts w:ascii="Lato" w:hAnsi="Lato"/>
        </w:rPr>
        <w:t>Deep Water</w:t>
      </w:r>
      <w:proofErr w:type="gramEnd"/>
      <w:r w:rsidRPr="00E92990">
        <w:rPr>
          <w:rFonts w:ascii="Lato" w:hAnsi="Lato"/>
        </w:rPr>
        <w:t xml:space="preserve"> formation (</w:t>
      </w:r>
      <w:proofErr w:type="spellStart"/>
      <w:r w:rsidRPr="00E92990">
        <w:rPr>
          <w:rFonts w:ascii="Lato" w:hAnsi="Lato"/>
        </w:rPr>
        <w:t>Speich</w:t>
      </w:r>
      <w:proofErr w:type="spellEnd"/>
      <w:r w:rsidRPr="00E92990">
        <w:rPr>
          <w:rFonts w:ascii="Lato" w:hAnsi="Lato"/>
        </w:rPr>
        <w:t xml:space="preserve"> et al., 2006). In winter, as the </w:t>
      </w:r>
      <w:r w:rsidR="002B4C51" w:rsidRPr="00E92990">
        <w:rPr>
          <w:rFonts w:ascii="Lato" w:hAnsi="Lato"/>
        </w:rPr>
        <w:t xml:space="preserve">wind system moves northwards, </w:t>
      </w:r>
      <w:r w:rsidRPr="00E92990">
        <w:rPr>
          <w:rFonts w:ascii="Lato" w:hAnsi="Lato"/>
        </w:rPr>
        <w:t>the gyre circulation in the South Pacific is isolated from the Indian and Atlantic</w:t>
      </w:r>
      <w:r w:rsidR="002B4C51" w:rsidRPr="00E92990">
        <w:rPr>
          <w:rFonts w:ascii="Lato" w:hAnsi="Lato"/>
        </w:rPr>
        <w:t xml:space="preserve"> circulation. </w:t>
      </w:r>
      <w:r w:rsidRPr="00E92990">
        <w:rPr>
          <w:rFonts w:ascii="Lato" w:hAnsi="Lato"/>
        </w:rPr>
        <w:t>The EAC separates from the coast at about 32</w:t>
      </w:r>
      <w:r w:rsidRPr="00E92990">
        <w:rPr>
          <w:rFonts w:ascii="Lato" w:hAnsi="Lato"/>
          <w:vertAlign w:val="superscript"/>
        </w:rPr>
        <w:t>o</w:t>
      </w:r>
      <w:r w:rsidRPr="00E92990">
        <w:rPr>
          <w:rFonts w:ascii="Lato" w:hAnsi="Lato"/>
        </w:rPr>
        <w:t>S. These wind-driven features are consistent with what is revealed by limited observations.</w:t>
      </w:r>
    </w:p>
    <w:p w14:paraId="161613C6" w14:textId="77777777" w:rsidR="00AB0958" w:rsidRPr="00E92990" w:rsidRDefault="00AB0958" w:rsidP="008235C5">
      <w:pPr>
        <w:autoSpaceDE w:val="0"/>
        <w:autoSpaceDN w:val="0"/>
        <w:adjustRightInd w:val="0"/>
        <w:spacing w:line="276" w:lineRule="auto"/>
        <w:ind w:right="6"/>
        <w:jc w:val="both"/>
        <w:rPr>
          <w:rFonts w:ascii="Lato" w:hAnsi="Lato"/>
        </w:rPr>
      </w:pPr>
    </w:p>
    <w:p w14:paraId="68015C22" w14:textId="77777777" w:rsidR="00AB0958" w:rsidRPr="00E92990" w:rsidRDefault="00AB0958" w:rsidP="008235C5">
      <w:pPr>
        <w:pStyle w:val="Heading2"/>
        <w:spacing w:line="276" w:lineRule="auto"/>
        <w:jc w:val="both"/>
        <w:rPr>
          <w:rFonts w:ascii="Lato" w:hAnsi="Lato"/>
          <w:i w:val="0"/>
          <w:iCs w:val="0"/>
        </w:rPr>
      </w:pPr>
      <w:bookmarkStart w:id="5" w:name="_Toc157957228"/>
      <w:r w:rsidRPr="00E92990">
        <w:rPr>
          <w:rFonts w:ascii="Lato" w:hAnsi="Lato"/>
          <w:i w:val="0"/>
          <w:iCs w:val="0"/>
        </w:rPr>
        <w:t>3.2 Decadal difference in the Pacific discharge/recharge via Sverdrup transport</w:t>
      </w:r>
      <w:bookmarkEnd w:id="5"/>
    </w:p>
    <w:p w14:paraId="17386FF4" w14:textId="77777777" w:rsidR="00AB0958" w:rsidRPr="00E92990" w:rsidRDefault="00AB0958" w:rsidP="008235C5">
      <w:pPr>
        <w:spacing w:line="276" w:lineRule="auto"/>
        <w:jc w:val="both"/>
        <w:rPr>
          <w:rFonts w:ascii="Lato" w:hAnsi="Lato"/>
        </w:rPr>
      </w:pPr>
    </w:p>
    <w:p w14:paraId="6B2B90D2" w14:textId="77777777" w:rsidR="00DD2C55" w:rsidRPr="00E92990" w:rsidRDefault="00AB0958" w:rsidP="008235C5">
      <w:pPr>
        <w:spacing w:line="276" w:lineRule="auto"/>
        <w:ind w:right="6"/>
        <w:jc w:val="both"/>
        <w:rPr>
          <w:rFonts w:ascii="Lato" w:hAnsi="Lato"/>
        </w:rPr>
      </w:pPr>
      <w:r w:rsidRPr="00E92990">
        <w:rPr>
          <w:rFonts w:ascii="Lato" w:hAnsi="Lato"/>
        </w:rPr>
        <w:lastRenderedPageBreak/>
        <w:t>The Pacific Ocean climate experienced a shift towards a warm state in the late 1970s, with marked changes in the ENSO properties and in many other circu</w:t>
      </w:r>
      <w:r w:rsidR="00DD2C55" w:rsidRPr="00E92990">
        <w:rPr>
          <w:rFonts w:ascii="Lato" w:hAnsi="Lato"/>
        </w:rPr>
        <w:t xml:space="preserve">lation fields. </w:t>
      </w:r>
      <w:r w:rsidRPr="00E92990">
        <w:rPr>
          <w:rFonts w:ascii="Lato" w:hAnsi="Lato"/>
        </w:rPr>
        <w:t xml:space="preserve">During the post-1980 period, El </w:t>
      </w:r>
      <w:proofErr w:type="spellStart"/>
      <w:r w:rsidRPr="00E92990">
        <w:rPr>
          <w:rFonts w:ascii="Lato" w:hAnsi="Lato"/>
        </w:rPr>
        <w:t>Niños</w:t>
      </w:r>
      <w:proofErr w:type="spellEnd"/>
      <w:r w:rsidRPr="00E92990">
        <w:rPr>
          <w:rFonts w:ascii="Lato" w:hAnsi="Lato"/>
        </w:rPr>
        <w:t xml:space="preserve"> are stronger than La </w:t>
      </w:r>
      <w:proofErr w:type="spellStart"/>
      <w:r w:rsidRPr="00E92990">
        <w:rPr>
          <w:rFonts w:ascii="Lato" w:hAnsi="Lato"/>
        </w:rPr>
        <w:t>Niñas</w:t>
      </w:r>
      <w:proofErr w:type="spellEnd"/>
      <w:r w:rsidRPr="00E92990">
        <w:rPr>
          <w:rFonts w:ascii="Lato" w:hAnsi="Lato"/>
        </w:rPr>
        <w:t xml:space="preserve"> contributing to significant difference in the mean circulation between the pre- and post-1980 periods. In the post-1980 periods, the equal Pacific circulation features weaker equatorial easterlies, stronger positive curls from the equator to 5</w:t>
      </w:r>
      <w:r w:rsidRPr="00E92990">
        <w:rPr>
          <w:rFonts w:ascii="Lato" w:hAnsi="Lato"/>
          <w:vertAlign w:val="superscript"/>
        </w:rPr>
        <w:t>o</w:t>
      </w:r>
      <w:r w:rsidRPr="00E92990">
        <w:rPr>
          <w:rFonts w:ascii="Lato" w:hAnsi="Lato"/>
        </w:rPr>
        <w:t>N and negative curl in the 5</w:t>
      </w:r>
      <w:r w:rsidRPr="00E92990">
        <w:rPr>
          <w:rFonts w:ascii="Lato" w:hAnsi="Lato"/>
          <w:vertAlign w:val="superscript"/>
        </w:rPr>
        <w:t>o</w:t>
      </w:r>
      <w:r w:rsidRPr="00E92990">
        <w:rPr>
          <w:rFonts w:ascii="Lato" w:hAnsi="Lato"/>
        </w:rPr>
        <w:t>S – 15</w:t>
      </w:r>
      <w:r w:rsidRPr="00E92990">
        <w:rPr>
          <w:rFonts w:ascii="Lato" w:hAnsi="Lato"/>
          <w:vertAlign w:val="superscript"/>
        </w:rPr>
        <w:t>o</w:t>
      </w:r>
      <w:r w:rsidRPr="00E92990">
        <w:rPr>
          <w:rFonts w:ascii="Lato" w:hAnsi="Lato"/>
        </w:rPr>
        <w:t>S (Fig. 4a). The curls, through Sverdrup balance promotes a greater discharge of heat from the equatorial region and hence a shallower equatorial Pacific thermocline in the post-198</w:t>
      </w:r>
      <w:r w:rsidR="00E20E7A" w:rsidRPr="00E92990">
        <w:rPr>
          <w:rFonts w:ascii="Lato" w:hAnsi="Lato"/>
        </w:rPr>
        <w:t xml:space="preserve">0 period (Fig. 4b) (Jin, 1997; </w:t>
      </w:r>
      <w:proofErr w:type="spellStart"/>
      <w:r w:rsidRPr="00E92990">
        <w:rPr>
          <w:rFonts w:ascii="Lato" w:hAnsi="Lato"/>
        </w:rPr>
        <w:t>Meinen</w:t>
      </w:r>
      <w:proofErr w:type="spellEnd"/>
      <w:r w:rsidRPr="00E92990">
        <w:rPr>
          <w:rFonts w:ascii="Lato" w:hAnsi="Lato"/>
        </w:rPr>
        <w:t xml:space="preserve"> and McPhaden, 2000), consistent with an El Niño-like multidecadal-long condition for the post-1980 period. On interannual time scales, the discharge signal is transmitted into the WA coast and radiates into the Indian Ocean, leading to a shallower mean thermocline off the WA coast and throughout the southern tropical Indian Ocean (Fig. 4b). </w:t>
      </w:r>
    </w:p>
    <w:p w14:paraId="015FB670" w14:textId="77777777" w:rsidR="00DD2C55" w:rsidRPr="00E92990" w:rsidRDefault="00DD2C55" w:rsidP="008235C5">
      <w:pPr>
        <w:autoSpaceDE w:val="0"/>
        <w:autoSpaceDN w:val="0"/>
        <w:adjustRightInd w:val="0"/>
        <w:spacing w:line="276" w:lineRule="auto"/>
        <w:ind w:right="6"/>
        <w:jc w:val="both"/>
        <w:rPr>
          <w:rFonts w:ascii="Lato" w:hAnsi="Lato"/>
        </w:rPr>
      </w:pPr>
    </w:p>
    <w:p w14:paraId="0AFB1537" w14:textId="77777777" w:rsidR="00AB0958" w:rsidRPr="00E92990" w:rsidRDefault="00AB0958" w:rsidP="008235C5">
      <w:pPr>
        <w:autoSpaceDE w:val="0"/>
        <w:autoSpaceDN w:val="0"/>
        <w:adjustRightInd w:val="0"/>
        <w:spacing w:line="276" w:lineRule="auto"/>
        <w:ind w:right="6"/>
        <w:jc w:val="both"/>
        <w:rPr>
          <w:rFonts w:ascii="Lato" w:hAnsi="Lato"/>
        </w:rPr>
      </w:pPr>
      <w:r w:rsidRPr="00E92990">
        <w:rPr>
          <w:rFonts w:ascii="Lato" w:hAnsi="Lato"/>
        </w:rPr>
        <w:t>Figure 5: Decadal difference in wind-driven circulation (1981-2000 average minus the 1960-1980 average). Unit in Sv. The post-1980 period features stronger ENSO, with greater discharge of heat from the equatorial Pacific to the extra-tropics.</w:t>
      </w:r>
    </w:p>
    <w:p w14:paraId="5D698C29" w14:textId="77777777" w:rsidR="00E20E7A" w:rsidRPr="00E92990" w:rsidRDefault="00E20E7A" w:rsidP="008235C5">
      <w:pPr>
        <w:spacing w:line="276" w:lineRule="auto"/>
        <w:jc w:val="both"/>
        <w:rPr>
          <w:rFonts w:ascii="Lato" w:hAnsi="Lato"/>
          <w:b/>
          <w:color w:val="000000"/>
        </w:rPr>
      </w:pPr>
    </w:p>
    <w:p w14:paraId="3532EF0A" w14:textId="77777777" w:rsidR="008D6937" w:rsidRPr="00E92990" w:rsidRDefault="008D6937" w:rsidP="008235C5">
      <w:pPr>
        <w:spacing w:line="276" w:lineRule="auto"/>
        <w:jc w:val="both"/>
        <w:rPr>
          <w:rFonts w:ascii="Lato" w:hAnsi="Lato"/>
          <w:b/>
          <w:color w:val="000000"/>
        </w:rPr>
      </w:pPr>
    </w:p>
    <w:p w14:paraId="7E092CEB" w14:textId="77777777" w:rsidR="008D6937" w:rsidRPr="00E92990" w:rsidRDefault="008D6937" w:rsidP="008235C5">
      <w:pPr>
        <w:autoSpaceDE w:val="0"/>
        <w:autoSpaceDN w:val="0"/>
        <w:adjustRightInd w:val="0"/>
        <w:spacing w:line="276" w:lineRule="auto"/>
        <w:ind w:right="6"/>
        <w:jc w:val="both"/>
        <w:rPr>
          <w:rFonts w:ascii="Lato" w:hAnsi="Lato"/>
        </w:rPr>
      </w:pPr>
      <w:r w:rsidRPr="00E92990">
        <w:rPr>
          <w:rFonts w:ascii="Lato" w:hAnsi="Lato"/>
        </w:rPr>
        <w:t>Using the Island Rule calculation, we examine ways in which the discharge process operates. In the tropics, where Rossby wave time scale is short, the model is particularly applicable. The difference in the wind driven circulation (Fig. 5) features broad interior poleward flows. These are important pathways for discharging heat from the equatorial Pacific. Another way is the equatorward flows along the boundaries, replacing the discharged warm equatorial warm water with the off-equatorial colder water. These processes also operate in the southern tropical Indian Ocean, and are supported by negative wind stress curl (Fig. 4a).</w:t>
      </w:r>
    </w:p>
    <w:p w14:paraId="410D2EDA" w14:textId="77777777" w:rsidR="00FE4F59" w:rsidRPr="00E92990" w:rsidRDefault="00FE4F59" w:rsidP="008235C5">
      <w:pPr>
        <w:spacing w:line="276" w:lineRule="auto"/>
        <w:jc w:val="both"/>
        <w:rPr>
          <w:rFonts w:ascii="Lato" w:hAnsi="Lato"/>
          <w:b/>
        </w:rPr>
      </w:pPr>
    </w:p>
    <w:p w14:paraId="31CB4839" w14:textId="77777777" w:rsidR="00AB0958" w:rsidRPr="00E92990" w:rsidRDefault="00AB0958" w:rsidP="008235C5">
      <w:pPr>
        <w:pStyle w:val="Heading2"/>
        <w:spacing w:line="276" w:lineRule="auto"/>
        <w:jc w:val="both"/>
        <w:rPr>
          <w:rFonts w:ascii="Lato" w:hAnsi="Lato"/>
          <w:i w:val="0"/>
          <w:iCs w:val="0"/>
        </w:rPr>
      </w:pPr>
      <w:bookmarkStart w:id="6" w:name="_Toc157957229"/>
      <w:r w:rsidRPr="00E92990">
        <w:rPr>
          <w:rFonts w:ascii="Lato" w:hAnsi="Lato"/>
          <w:i w:val="0"/>
          <w:iCs w:val="0"/>
        </w:rPr>
        <w:t>3.3 South Pacific circulation trend over the past 15 years: comparison of other observations</w:t>
      </w:r>
      <w:bookmarkEnd w:id="6"/>
    </w:p>
    <w:p w14:paraId="5E9E832E" w14:textId="77777777" w:rsidR="00AB0958" w:rsidRPr="00E92990" w:rsidRDefault="00AB0958" w:rsidP="008235C5">
      <w:pPr>
        <w:spacing w:line="276" w:lineRule="auto"/>
        <w:jc w:val="both"/>
        <w:rPr>
          <w:rFonts w:ascii="Lato" w:hAnsi="Lato"/>
        </w:rPr>
      </w:pPr>
    </w:p>
    <w:p w14:paraId="021B58B3" w14:textId="77777777" w:rsidR="00DA6A34" w:rsidRPr="00E92990" w:rsidRDefault="00AB0958" w:rsidP="008235C5">
      <w:pPr>
        <w:autoSpaceDE w:val="0"/>
        <w:autoSpaceDN w:val="0"/>
        <w:adjustRightInd w:val="0"/>
        <w:spacing w:line="276" w:lineRule="auto"/>
        <w:ind w:right="6"/>
        <w:jc w:val="both"/>
        <w:rPr>
          <w:rFonts w:ascii="Lato" w:hAnsi="Lato"/>
        </w:rPr>
      </w:pPr>
      <w:r w:rsidRPr="00E92990">
        <w:rPr>
          <w:rFonts w:ascii="Lato" w:hAnsi="Lato"/>
        </w:rPr>
        <w:t>Large-scale sea surface height (SSH) changes in the extratropical South Pacific Ocean have been investigated using satellite altimetry data (</w:t>
      </w:r>
      <w:proofErr w:type="spellStart"/>
      <w:r w:rsidRPr="00E92990">
        <w:rPr>
          <w:rFonts w:ascii="Lato" w:hAnsi="Lato"/>
        </w:rPr>
        <w:t>Qiu</w:t>
      </w:r>
      <w:proofErr w:type="spellEnd"/>
      <w:r w:rsidRPr="00E92990">
        <w:rPr>
          <w:rFonts w:ascii="Lato" w:hAnsi="Lato"/>
        </w:rPr>
        <w:t xml:space="preserve"> and Chen, 2006) and available hydrographic and Argo observations (</w:t>
      </w:r>
      <w:proofErr w:type="spellStart"/>
      <w:r w:rsidRPr="00E92990">
        <w:rPr>
          <w:rFonts w:ascii="Lato" w:hAnsi="Lato"/>
        </w:rPr>
        <w:t>Roemmich</w:t>
      </w:r>
      <w:proofErr w:type="spellEnd"/>
      <w:r w:rsidRPr="00E92990">
        <w:rPr>
          <w:rFonts w:ascii="Lato" w:hAnsi="Lato"/>
        </w:rPr>
        <w:t xml:space="preserve"> et al., 2006). In the midlatitude region south of 30</w:t>
      </w:r>
      <w:r w:rsidRPr="00E92990">
        <w:rPr>
          <w:rFonts w:ascii="Lato" w:hAnsi="Lato"/>
          <w:vertAlign w:val="superscript"/>
        </w:rPr>
        <w:t>o</w:t>
      </w:r>
      <w:r w:rsidRPr="00E92990">
        <w:rPr>
          <w:rFonts w:ascii="Lato" w:hAnsi="Lato"/>
        </w:rPr>
        <w:t xml:space="preserve">S, the decadal SSH signals are dominated by an </w:t>
      </w:r>
      <w:r w:rsidRPr="00E92990">
        <w:rPr>
          <w:rFonts w:ascii="Lato" w:hAnsi="Lato"/>
        </w:rPr>
        <w:lastRenderedPageBreak/>
        <w:t>increasing trend in both the western basin around New Zealand and the eastern basin centered around 45</w:t>
      </w:r>
      <w:r w:rsidRPr="00E92990">
        <w:rPr>
          <w:rFonts w:ascii="Lato" w:hAnsi="Lato"/>
          <w:vertAlign w:val="superscript"/>
        </w:rPr>
        <w:t>o</w:t>
      </w:r>
      <w:r w:rsidRPr="00E92990">
        <w:rPr>
          <w:rFonts w:ascii="Lato" w:hAnsi="Lato"/>
        </w:rPr>
        <w:t>S and 105</w:t>
      </w:r>
      <w:r w:rsidRPr="00E92990">
        <w:rPr>
          <w:rFonts w:ascii="Lato" w:hAnsi="Lato"/>
          <w:vertAlign w:val="superscript"/>
        </w:rPr>
        <w:t>o</w:t>
      </w:r>
      <w:r w:rsidRPr="00E92990">
        <w:rPr>
          <w:rFonts w:ascii="Lato" w:hAnsi="Lato"/>
        </w:rPr>
        <w:t xml:space="preserve">W. The change suggests a spin-up of the subtropical Pacific gyre circulation. </w:t>
      </w:r>
    </w:p>
    <w:p w14:paraId="6E268E76" w14:textId="77777777" w:rsidR="00B27EF9" w:rsidRPr="00E92990" w:rsidRDefault="00B27EF9" w:rsidP="008235C5">
      <w:pPr>
        <w:autoSpaceDE w:val="0"/>
        <w:autoSpaceDN w:val="0"/>
        <w:adjustRightInd w:val="0"/>
        <w:spacing w:line="276" w:lineRule="auto"/>
        <w:ind w:right="6"/>
        <w:jc w:val="both"/>
        <w:rPr>
          <w:rFonts w:ascii="Lato" w:hAnsi="Lato"/>
        </w:rPr>
      </w:pPr>
    </w:p>
    <w:p w14:paraId="583430FD" w14:textId="77777777" w:rsidR="00B27EF9" w:rsidRPr="00E92990" w:rsidRDefault="00B27EF9" w:rsidP="008235C5">
      <w:pPr>
        <w:autoSpaceDE w:val="0"/>
        <w:autoSpaceDN w:val="0"/>
        <w:adjustRightInd w:val="0"/>
        <w:spacing w:line="276" w:lineRule="auto"/>
        <w:ind w:right="6"/>
        <w:jc w:val="both"/>
        <w:rPr>
          <w:rFonts w:ascii="Lato" w:hAnsi="Lato"/>
        </w:rPr>
      </w:pPr>
      <w:proofErr w:type="spellStart"/>
      <w:r w:rsidRPr="00E92990">
        <w:rPr>
          <w:rFonts w:ascii="Lato" w:hAnsi="Lato"/>
        </w:rPr>
        <w:t>Roemmich</w:t>
      </w:r>
      <w:proofErr w:type="spellEnd"/>
      <w:r w:rsidRPr="00E92990">
        <w:rPr>
          <w:rFonts w:ascii="Lato" w:hAnsi="Lato"/>
        </w:rPr>
        <w:t xml:space="preserve"> et al. (2006) estimate that increase in SSH at 40</w:t>
      </w:r>
      <w:r w:rsidRPr="00E92990">
        <w:rPr>
          <w:rFonts w:ascii="Lato" w:hAnsi="Lato"/>
          <w:vertAlign w:val="superscript"/>
        </w:rPr>
        <w:t>o</w:t>
      </w:r>
      <w:r w:rsidRPr="00E92990">
        <w:rPr>
          <w:rFonts w:ascii="Lato" w:hAnsi="Lato"/>
        </w:rPr>
        <w:t>S 170</w:t>
      </w:r>
      <w:r w:rsidRPr="00E92990">
        <w:rPr>
          <w:rFonts w:ascii="Lato" w:hAnsi="Lato"/>
          <w:vertAlign w:val="superscript"/>
        </w:rPr>
        <w:t>o</w:t>
      </w:r>
      <w:r w:rsidRPr="00E92990">
        <w:rPr>
          <w:rFonts w:ascii="Lato" w:hAnsi="Lato"/>
        </w:rPr>
        <w:t>W over the period is about 10 cm. They also show that the spin-up penetrates into a depth as deep as 1800m. The extent to which changes in winds contribute to this spin-up can be investigated by the Island Rule model.   Wind changes over the period are dominated by an upward trend of the Southern Annular Mode, with decreasing midlatitude westerlies and increasing westerlies at the polar latitudes (Thompson and Solomon, 2002).</w:t>
      </w:r>
    </w:p>
    <w:p w14:paraId="65484EDF" w14:textId="77777777" w:rsidR="00B27EF9" w:rsidRPr="00E92990" w:rsidRDefault="00B27EF9" w:rsidP="008235C5">
      <w:pPr>
        <w:autoSpaceDE w:val="0"/>
        <w:autoSpaceDN w:val="0"/>
        <w:adjustRightInd w:val="0"/>
        <w:spacing w:line="276" w:lineRule="auto"/>
        <w:ind w:right="6"/>
        <w:jc w:val="both"/>
        <w:rPr>
          <w:rFonts w:ascii="Lato" w:hAnsi="Lato"/>
        </w:rPr>
      </w:pPr>
    </w:p>
    <w:p w14:paraId="2206AF9C" w14:textId="77777777" w:rsidR="00B27EF9" w:rsidRPr="00E92990" w:rsidRDefault="00B27EF9" w:rsidP="008235C5">
      <w:pPr>
        <w:autoSpaceDE w:val="0"/>
        <w:autoSpaceDN w:val="0"/>
        <w:adjustRightInd w:val="0"/>
        <w:spacing w:line="276" w:lineRule="auto"/>
        <w:ind w:right="6"/>
        <w:jc w:val="both"/>
        <w:rPr>
          <w:rFonts w:ascii="Lato" w:hAnsi="Lato"/>
        </w:rPr>
      </w:pPr>
      <w:r w:rsidRPr="00E92990">
        <w:rPr>
          <w:rFonts w:ascii="Lato" w:hAnsi="Lato"/>
        </w:rPr>
        <w:t>Fig. 6a shows the trend in wind-driven steric height during1992-1994 in the unit of m</w:t>
      </w:r>
      <w:r w:rsidRPr="00E92990">
        <w:rPr>
          <w:rFonts w:ascii="Lato" w:hAnsi="Lato"/>
          <w:vertAlign w:val="superscript"/>
        </w:rPr>
        <w:t>2</w:t>
      </w:r>
      <w:r w:rsidRPr="00E92990">
        <w:rPr>
          <w:rFonts w:ascii="Lato" w:hAnsi="Lato"/>
        </w:rPr>
        <w:t xml:space="preserve"> per year. At the location of 45</w:t>
      </w:r>
      <w:r w:rsidRPr="00E92990">
        <w:rPr>
          <w:rFonts w:ascii="Lato" w:hAnsi="Lato"/>
          <w:vertAlign w:val="superscript"/>
        </w:rPr>
        <w:t>o</w:t>
      </w:r>
      <w:r w:rsidRPr="00E92990">
        <w:rPr>
          <w:rFonts w:ascii="Lato" w:hAnsi="Lato"/>
        </w:rPr>
        <w:t>S and 170</w:t>
      </w:r>
      <w:r w:rsidRPr="00E92990">
        <w:rPr>
          <w:rFonts w:ascii="Lato" w:hAnsi="Lato"/>
          <w:vertAlign w:val="superscript"/>
        </w:rPr>
        <w:t>o</w:t>
      </w:r>
      <w:r w:rsidRPr="00E92990">
        <w:rPr>
          <w:rFonts w:ascii="Lato" w:hAnsi="Lato"/>
        </w:rPr>
        <w:t>W steric height increases as much as 20 m</w:t>
      </w:r>
      <w:proofErr w:type="gramStart"/>
      <w:r w:rsidRPr="00E92990">
        <w:rPr>
          <w:rFonts w:ascii="Lato" w:hAnsi="Lato"/>
          <w:vertAlign w:val="superscript"/>
        </w:rPr>
        <w:t xml:space="preserve">2 </w:t>
      </w:r>
      <w:r w:rsidRPr="00E92990">
        <w:rPr>
          <w:rFonts w:ascii="Lato" w:hAnsi="Lato"/>
        </w:rPr>
        <w:t xml:space="preserve"> per</w:t>
      </w:r>
      <w:proofErr w:type="gramEnd"/>
      <w:r w:rsidRPr="00E92990">
        <w:rPr>
          <w:rFonts w:ascii="Lato" w:hAnsi="Lato"/>
        </w:rPr>
        <w:t xml:space="preserve"> year. If we divide this value by 1800 m, we arrive at an increase of some 1 cm per year, or some 12 cm over the period, consistent with the </w:t>
      </w:r>
      <w:proofErr w:type="spellStart"/>
      <w:r w:rsidRPr="00E92990">
        <w:rPr>
          <w:rFonts w:ascii="Lato" w:hAnsi="Lato"/>
        </w:rPr>
        <w:t>Roemmich</w:t>
      </w:r>
      <w:proofErr w:type="spellEnd"/>
      <w:r w:rsidRPr="00E92990">
        <w:rPr>
          <w:rFonts w:ascii="Lato" w:hAnsi="Lato"/>
        </w:rPr>
        <w:t xml:space="preserve"> et al. (2006) result. It should be pointed out that the duration of 15 years in which our trend is calculated is marginally comparable to the Rossby wave time scale; as such we might have overestimated the impact of wind changes. However, a comparison with other studies suggests that within the timescale of Rossby wave, the Island Rule performs reasonably well. Fig. 6b shows the trend pattern </w:t>
      </w:r>
      <w:proofErr w:type="spellStart"/>
      <w:r w:rsidRPr="00E92990">
        <w:rPr>
          <w:rFonts w:ascii="Lato" w:hAnsi="Lato"/>
        </w:rPr>
        <w:t>Qiu</w:t>
      </w:r>
      <w:proofErr w:type="spellEnd"/>
      <w:r w:rsidRPr="00E92990">
        <w:rPr>
          <w:rFonts w:ascii="Lato" w:hAnsi="Lato"/>
        </w:rPr>
        <w:t xml:space="preserve"> and Chen (2006) obtained using a time dependent Rossby wave model for the period of 1992-2004. The two patterns resemble each other.</w:t>
      </w:r>
    </w:p>
    <w:p w14:paraId="758BAB0A" w14:textId="77777777" w:rsidR="00B27EF9" w:rsidRPr="00E92990" w:rsidRDefault="00B27EF9" w:rsidP="008235C5">
      <w:pPr>
        <w:autoSpaceDE w:val="0"/>
        <w:autoSpaceDN w:val="0"/>
        <w:adjustRightInd w:val="0"/>
        <w:spacing w:line="276" w:lineRule="auto"/>
        <w:ind w:right="6"/>
        <w:jc w:val="both"/>
        <w:rPr>
          <w:rFonts w:ascii="Lato" w:hAnsi="Lato"/>
        </w:rPr>
      </w:pPr>
    </w:p>
    <w:p w14:paraId="0A2DA7C1" w14:textId="77777777" w:rsidR="00DA6A34" w:rsidRPr="00E92990" w:rsidRDefault="00DA6A34" w:rsidP="008235C5">
      <w:pPr>
        <w:autoSpaceDE w:val="0"/>
        <w:autoSpaceDN w:val="0"/>
        <w:adjustRightInd w:val="0"/>
        <w:spacing w:line="276" w:lineRule="auto"/>
        <w:ind w:right="6"/>
        <w:jc w:val="both"/>
        <w:rPr>
          <w:rFonts w:ascii="Lato" w:hAnsi="Lato"/>
        </w:rPr>
      </w:pPr>
    </w:p>
    <w:p w14:paraId="14895A2D" w14:textId="77777777" w:rsidR="00DA6A34" w:rsidRPr="00E92990" w:rsidRDefault="00DA6A34" w:rsidP="008235C5">
      <w:pPr>
        <w:autoSpaceDE w:val="0"/>
        <w:autoSpaceDN w:val="0"/>
        <w:adjustRightInd w:val="0"/>
        <w:spacing w:line="276" w:lineRule="auto"/>
        <w:ind w:right="6"/>
        <w:jc w:val="both"/>
        <w:rPr>
          <w:rFonts w:ascii="Lato" w:hAnsi="Lato"/>
        </w:rPr>
      </w:pPr>
    </w:p>
    <w:p w14:paraId="745539A0" w14:textId="77777777" w:rsidR="00DA6A34" w:rsidRPr="00E92990" w:rsidRDefault="00AB0958" w:rsidP="008235C5">
      <w:pPr>
        <w:autoSpaceDE w:val="0"/>
        <w:autoSpaceDN w:val="0"/>
        <w:adjustRightInd w:val="0"/>
        <w:spacing w:line="276" w:lineRule="auto"/>
        <w:ind w:right="6"/>
        <w:jc w:val="both"/>
        <w:rPr>
          <w:rFonts w:ascii="Lato" w:hAnsi="Lato"/>
        </w:rPr>
      </w:pPr>
      <w:r w:rsidRPr="00E92990">
        <w:rPr>
          <w:rFonts w:ascii="Lato" w:hAnsi="Lato"/>
        </w:rPr>
        <w:t>Figure 6:</w:t>
      </w:r>
      <w:r w:rsidR="00DA6A34" w:rsidRPr="00E92990">
        <w:rPr>
          <w:rFonts w:ascii="Lato" w:hAnsi="Lato"/>
        </w:rPr>
        <w:t xml:space="preserve"> </w:t>
      </w:r>
      <w:r w:rsidR="009C34A8" w:rsidRPr="00E92990">
        <w:rPr>
          <w:rFonts w:ascii="Lato" w:hAnsi="Lato"/>
        </w:rPr>
        <w:t xml:space="preserve">(a) </w:t>
      </w:r>
      <w:r w:rsidRPr="00E92990">
        <w:rPr>
          <w:rFonts w:ascii="Lato" w:hAnsi="Lato" w:cs="CMR10"/>
          <w:lang w:bidi="ta-IN"/>
        </w:rPr>
        <w:t>Linear trend in steric height (m</w:t>
      </w:r>
      <w:r w:rsidRPr="00E92990">
        <w:rPr>
          <w:rFonts w:ascii="Lato" w:hAnsi="Lato" w:cs="CMR10"/>
          <w:vertAlign w:val="superscript"/>
          <w:lang w:bidi="ta-IN"/>
        </w:rPr>
        <w:t>2</w:t>
      </w:r>
      <w:r w:rsidRPr="00E92990">
        <w:rPr>
          <w:rFonts w:ascii="Lato" w:hAnsi="Lato" w:cs="CMR10"/>
          <w:lang w:bidi="ta-IN"/>
        </w:rPr>
        <w:t xml:space="preserve"> per year) obtained using the Island Rule model driven by NCEP wind</w:t>
      </w:r>
      <w:r w:rsidR="009C34A8" w:rsidRPr="00E92990">
        <w:rPr>
          <w:rFonts w:ascii="Lato" w:hAnsi="Lato" w:cs="CMR10"/>
          <w:lang w:bidi="ta-IN"/>
        </w:rPr>
        <w:t xml:space="preserve">, which compares well with </w:t>
      </w:r>
      <w:r w:rsidR="00627924" w:rsidRPr="00E92990">
        <w:rPr>
          <w:rFonts w:ascii="Lato" w:hAnsi="Lato" w:cs="CMR10"/>
          <w:lang w:bidi="ta-IN"/>
        </w:rPr>
        <w:t xml:space="preserve">the </w:t>
      </w:r>
      <w:r w:rsidRPr="00E92990">
        <w:rPr>
          <w:rFonts w:ascii="Lato" w:hAnsi="Lato" w:cs="CMR10"/>
          <w:lang w:bidi="ta-IN"/>
        </w:rPr>
        <w:t xml:space="preserve">SSH trend map </w:t>
      </w:r>
      <w:r w:rsidR="000465B2" w:rsidRPr="00E92990">
        <w:rPr>
          <w:rFonts w:ascii="Lato" w:hAnsi="Lato" w:cs="CMR10"/>
          <w:lang w:bidi="ta-IN"/>
        </w:rPr>
        <w:t xml:space="preserve">(mm per year) </w:t>
      </w:r>
      <w:r w:rsidR="00C14CFA" w:rsidRPr="00E92990">
        <w:rPr>
          <w:rFonts w:ascii="Lato" w:hAnsi="Lato" w:cs="CMR10"/>
          <w:lang w:bidi="ta-IN"/>
        </w:rPr>
        <w:t xml:space="preserve">shown </w:t>
      </w:r>
      <w:r w:rsidR="009C34A8" w:rsidRPr="00E92990">
        <w:rPr>
          <w:rFonts w:ascii="Lato" w:hAnsi="Lato" w:cs="CMR10"/>
          <w:lang w:bidi="ta-IN"/>
        </w:rPr>
        <w:t xml:space="preserve">in (b) </w:t>
      </w:r>
      <w:r w:rsidR="00C14CFA" w:rsidRPr="00E92990">
        <w:rPr>
          <w:rFonts w:ascii="Lato" w:hAnsi="Lato" w:cs="CMR10"/>
          <w:lang w:bidi="ta-IN"/>
        </w:rPr>
        <w:t>for the period</w:t>
      </w:r>
      <w:r w:rsidRPr="00E92990">
        <w:rPr>
          <w:rFonts w:ascii="Lato" w:hAnsi="Lato" w:cs="CMR10"/>
          <w:lang w:bidi="ta-IN"/>
        </w:rPr>
        <w:t xml:space="preserve"> October 1992 to December 2004 </w:t>
      </w:r>
      <w:r w:rsidR="00C14CFA" w:rsidRPr="00E92990">
        <w:rPr>
          <w:rFonts w:ascii="Lato" w:hAnsi="Lato" w:cs="CMR10"/>
          <w:lang w:bidi="ta-IN"/>
        </w:rPr>
        <w:t xml:space="preserve">and </w:t>
      </w:r>
      <w:r w:rsidRPr="00E92990">
        <w:rPr>
          <w:rFonts w:ascii="Lato" w:hAnsi="Lato" w:cs="CMR10"/>
          <w:lang w:bidi="ta-IN"/>
        </w:rPr>
        <w:t>obtained using a Rossby wave model (</w:t>
      </w:r>
      <w:proofErr w:type="spellStart"/>
      <w:r w:rsidRPr="00E92990">
        <w:rPr>
          <w:rFonts w:ascii="Lato" w:hAnsi="Lato" w:cs="CMR10"/>
          <w:lang w:bidi="ta-IN"/>
        </w:rPr>
        <w:t>Qiu</w:t>
      </w:r>
      <w:proofErr w:type="spellEnd"/>
      <w:r w:rsidRPr="00E92990">
        <w:rPr>
          <w:rFonts w:ascii="Lato" w:hAnsi="Lato" w:cs="CMR10"/>
          <w:lang w:bidi="ta-IN"/>
        </w:rPr>
        <w:t xml:space="preserve"> and Chen, 2006). In (b) black contours denote the climatological sea sur</w:t>
      </w:r>
      <w:r w:rsidR="009C34A8" w:rsidRPr="00E92990">
        <w:rPr>
          <w:rFonts w:ascii="Lato" w:hAnsi="Lato" w:cs="CMR10"/>
          <w:lang w:bidi="ta-IN"/>
        </w:rPr>
        <w:t>face dynamic height.</w:t>
      </w:r>
    </w:p>
    <w:p w14:paraId="0490A1B2" w14:textId="77777777" w:rsidR="00B86440" w:rsidRPr="00E92990" w:rsidRDefault="00B86440" w:rsidP="008235C5">
      <w:pPr>
        <w:autoSpaceDE w:val="0"/>
        <w:autoSpaceDN w:val="0"/>
        <w:adjustRightInd w:val="0"/>
        <w:spacing w:line="276" w:lineRule="auto"/>
        <w:ind w:right="6"/>
        <w:jc w:val="both"/>
        <w:rPr>
          <w:rFonts w:ascii="Lato" w:hAnsi="Lato"/>
        </w:rPr>
      </w:pPr>
    </w:p>
    <w:p w14:paraId="3B97D2CD" w14:textId="77777777" w:rsidR="00B86440" w:rsidRPr="00E92990" w:rsidRDefault="00B86440" w:rsidP="008235C5">
      <w:pPr>
        <w:autoSpaceDE w:val="0"/>
        <w:autoSpaceDN w:val="0"/>
        <w:adjustRightInd w:val="0"/>
        <w:spacing w:line="276" w:lineRule="auto"/>
        <w:ind w:right="6"/>
        <w:jc w:val="both"/>
        <w:rPr>
          <w:rFonts w:ascii="Lato" w:hAnsi="Lato"/>
        </w:rPr>
      </w:pPr>
    </w:p>
    <w:p w14:paraId="4A7ED199" w14:textId="77777777" w:rsidR="00B86440" w:rsidRPr="00E92990" w:rsidRDefault="00AB0958" w:rsidP="008235C5">
      <w:pPr>
        <w:pStyle w:val="Heading2"/>
        <w:spacing w:line="276" w:lineRule="auto"/>
        <w:jc w:val="both"/>
        <w:rPr>
          <w:rFonts w:ascii="Lato" w:hAnsi="Lato"/>
          <w:i w:val="0"/>
          <w:iCs w:val="0"/>
          <w:sz w:val="24"/>
          <w:szCs w:val="24"/>
        </w:rPr>
      </w:pPr>
      <w:bookmarkStart w:id="7" w:name="_Toc157957230"/>
      <w:r w:rsidRPr="00E92990">
        <w:rPr>
          <w:rFonts w:ascii="Lato" w:hAnsi="Lato"/>
          <w:i w:val="0"/>
          <w:iCs w:val="0"/>
          <w:sz w:val="24"/>
          <w:szCs w:val="24"/>
        </w:rPr>
        <w:t>3.</w:t>
      </w:r>
      <w:r w:rsidRPr="00E92990">
        <w:rPr>
          <w:rFonts w:ascii="Lato" w:hAnsi="Lato"/>
          <w:i w:val="0"/>
          <w:iCs w:val="0"/>
        </w:rPr>
        <w:t>4 Linking ozone depletion to ocean circulation changes</w:t>
      </w:r>
      <w:bookmarkEnd w:id="7"/>
    </w:p>
    <w:p w14:paraId="7E3BAD39" w14:textId="77777777" w:rsidR="009C34A8" w:rsidRPr="00E92990" w:rsidRDefault="009C34A8" w:rsidP="008235C5">
      <w:pPr>
        <w:autoSpaceDE w:val="0"/>
        <w:autoSpaceDN w:val="0"/>
        <w:adjustRightInd w:val="0"/>
        <w:spacing w:line="276" w:lineRule="auto"/>
        <w:ind w:right="6"/>
        <w:jc w:val="both"/>
        <w:rPr>
          <w:rFonts w:ascii="Lato" w:hAnsi="Lato"/>
        </w:rPr>
      </w:pPr>
    </w:p>
    <w:p w14:paraId="52717152" w14:textId="77777777" w:rsidR="00B27EF9" w:rsidRPr="00E92990" w:rsidRDefault="00B27EF9" w:rsidP="008235C5">
      <w:pPr>
        <w:autoSpaceDE w:val="0"/>
        <w:autoSpaceDN w:val="0"/>
        <w:adjustRightInd w:val="0"/>
        <w:spacing w:line="276" w:lineRule="auto"/>
        <w:ind w:right="6"/>
        <w:jc w:val="both"/>
        <w:rPr>
          <w:rFonts w:ascii="Lato" w:hAnsi="Lato"/>
        </w:rPr>
      </w:pPr>
      <w:r w:rsidRPr="00E92990">
        <w:rPr>
          <w:rFonts w:ascii="Lato" w:hAnsi="Lato"/>
        </w:rPr>
        <w:t xml:space="preserve">Recent climate trends over the Southern Hemisphere summer feature a strengthening of the circumpolar westerly and a weakening of the midlatitude westerly extending from the stratosphere to Earth’s surface (Fig. 7a). Much of the </w:t>
      </w:r>
      <w:r w:rsidRPr="00E92990">
        <w:rPr>
          <w:rFonts w:ascii="Lato" w:hAnsi="Lato"/>
        </w:rPr>
        <w:lastRenderedPageBreak/>
        <w:t>change is attributable to Antarctic ozone depletion (Thompson and Solomon, 2002; Gillett and Thompson, 2003). Although the maximum change of zonal wind stress is located far to the south at approximately 60</w:t>
      </w:r>
      <w:r w:rsidRPr="00E92990">
        <w:rPr>
          <w:rFonts w:ascii="Lato" w:hAnsi="Lato"/>
          <w:vertAlign w:val="superscript"/>
        </w:rPr>
        <w:t>o</w:t>
      </w:r>
      <w:r w:rsidRPr="00E92990">
        <w:rPr>
          <w:rFonts w:ascii="Lato" w:hAnsi="Lato"/>
        </w:rPr>
        <w:t>S, the maximum change of the wind stress curl, which is dominated by the meridional gradient of zonal wind stress, is located at approximately 45</w:t>
      </w:r>
      <w:r w:rsidRPr="00E92990">
        <w:rPr>
          <w:rFonts w:ascii="Lato" w:hAnsi="Lato"/>
          <w:vertAlign w:val="superscript"/>
        </w:rPr>
        <w:t>o</w:t>
      </w:r>
      <w:r w:rsidRPr="00E92990">
        <w:rPr>
          <w:rFonts w:ascii="Lato" w:hAnsi="Lato"/>
        </w:rPr>
        <w:t>S–50</w:t>
      </w:r>
      <w:r w:rsidRPr="00E92990">
        <w:rPr>
          <w:rFonts w:ascii="Lato" w:hAnsi="Lato"/>
          <w:vertAlign w:val="superscript"/>
        </w:rPr>
        <w:t>o</w:t>
      </w:r>
      <w:r w:rsidRPr="00E92990">
        <w:rPr>
          <w:rFonts w:ascii="Lato" w:hAnsi="Lato"/>
        </w:rPr>
        <w:t>S. According to (1) it is the wind stress curl, not the wind stress itself, that drives the large-scale ocean circulation. The consequential circulation resulting from the wind change is determined using the Island Rule model as shown in Fig. 7b (Cai, 2006).</w:t>
      </w:r>
    </w:p>
    <w:p w14:paraId="65153C51" w14:textId="77777777" w:rsidR="00B27EF9" w:rsidRPr="00E92990" w:rsidRDefault="00B27EF9" w:rsidP="008235C5">
      <w:pPr>
        <w:autoSpaceDE w:val="0"/>
        <w:autoSpaceDN w:val="0"/>
        <w:adjustRightInd w:val="0"/>
        <w:spacing w:line="276" w:lineRule="auto"/>
        <w:ind w:right="6"/>
        <w:jc w:val="both"/>
        <w:rPr>
          <w:rFonts w:ascii="Lato" w:hAnsi="Lato"/>
        </w:rPr>
      </w:pPr>
    </w:p>
    <w:p w14:paraId="7AB7CDFB" w14:textId="77777777" w:rsidR="00B86440" w:rsidRPr="00E92990" w:rsidRDefault="00B86440" w:rsidP="008235C5">
      <w:pPr>
        <w:autoSpaceDE w:val="0"/>
        <w:autoSpaceDN w:val="0"/>
        <w:adjustRightInd w:val="0"/>
        <w:spacing w:line="276" w:lineRule="auto"/>
        <w:ind w:right="6"/>
        <w:jc w:val="both"/>
        <w:rPr>
          <w:rFonts w:ascii="Lato" w:hAnsi="Lato"/>
        </w:rPr>
      </w:pPr>
    </w:p>
    <w:p w14:paraId="33D7E6A6" w14:textId="77777777" w:rsidR="00B86440" w:rsidRPr="00E92990" w:rsidRDefault="00B86440" w:rsidP="008235C5">
      <w:pPr>
        <w:autoSpaceDE w:val="0"/>
        <w:autoSpaceDN w:val="0"/>
        <w:adjustRightInd w:val="0"/>
        <w:spacing w:line="276" w:lineRule="auto"/>
        <w:ind w:right="6"/>
        <w:jc w:val="both"/>
        <w:rPr>
          <w:rFonts w:ascii="Lato" w:hAnsi="Lato"/>
        </w:rPr>
      </w:pPr>
      <w:r w:rsidRPr="00E92990">
        <w:rPr>
          <w:rFonts w:ascii="Lato" w:hAnsi="Lato"/>
          <w:color w:val="000000"/>
        </w:rPr>
        <w:t xml:space="preserve">Figure 7: </w:t>
      </w:r>
      <w:r w:rsidR="00AB0958" w:rsidRPr="00E92990">
        <w:rPr>
          <w:rFonts w:ascii="Lato" w:hAnsi="Lato"/>
          <w:color w:val="000000"/>
        </w:rPr>
        <w:t xml:space="preserve">(a) Trends of southern </w:t>
      </w:r>
      <w:r w:rsidR="000465B2" w:rsidRPr="00E92990">
        <w:rPr>
          <w:rFonts w:ascii="Lato" w:hAnsi="Lato"/>
          <w:color w:val="000000"/>
        </w:rPr>
        <w:t>h</w:t>
      </w:r>
      <w:r w:rsidR="00AB0958" w:rsidRPr="00E92990">
        <w:rPr>
          <w:rFonts w:ascii="Lato" w:hAnsi="Lato"/>
          <w:color w:val="000000"/>
        </w:rPr>
        <w:t xml:space="preserve">emispheric summer NCEP surface winds over 1978-2002 (maximum </w:t>
      </w:r>
      <w:r w:rsidRPr="00E92990">
        <w:rPr>
          <w:rFonts w:ascii="Lato" w:hAnsi="Lato"/>
          <w:color w:val="000000"/>
        </w:rPr>
        <w:t>vector 3</w:t>
      </w:r>
      <w:r w:rsidR="00B40CCA" w:rsidRPr="00E92990">
        <w:rPr>
          <w:rFonts w:ascii="Lato" w:hAnsi="Lato"/>
          <w:color w:val="000000"/>
        </w:rPr>
        <w:t xml:space="preserve"> </w:t>
      </w:r>
      <w:r w:rsidRPr="00E92990">
        <w:rPr>
          <w:rFonts w:ascii="Lato" w:hAnsi="Lato"/>
          <w:color w:val="000000"/>
        </w:rPr>
        <w:t>m per second), and (b)</w:t>
      </w:r>
      <w:r w:rsidR="00AB0958" w:rsidRPr="00E92990">
        <w:rPr>
          <w:rFonts w:ascii="Lato" w:hAnsi="Lato"/>
          <w:color w:val="000000"/>
        </w:rPr>
        <w:t xml:space="preserve"> the associated ocean circulation trend calculated using the Island Rule model (Sv).</w:t>
      </w:r>
      <w:r w:rsidRPr="00E92990">
        <w:rPr>
          <w:rFonts w:ascii="Lato" w:hAnsi="Lato"/>
        </w:rPr>
        <w:t xml:space="preserve"> </w:t>
      </w:r>
    </w:p>
    <w:p w14:paraId="7CB84538" w14:textId="77777777" w:rsidR="00B86440" w:rsidRPr="00E92990" w:rsidRDefault="00B86440" w:rsidP="008235C5">
      <w:pPr>
        <w:autoSpaceDE w:val="0"/>
        <w:autoSpaceDN w:val="0"/>
        <w:adjustRightInd w:val="0"/>
        <w:spacing w:line="276" w:lineRule="auto"/>
        <w:ind w:right="6"/>
        <w:jc w:val="both"/>
        <w:rPr>
          <w:rFonts w:ascii="Lato" w:hAnsi="Lato"/>
        </w:rPr>
      </w:pPr>
    </w:p>
    <w:p w14:paraId="11629D74" w14:textId="77777777" w:rsidR="00B40CCA" w:rsidRPr="00E92990" w:rsidRDefault="00AB0958" w:rsidP="008235C5">
      <w:pPr>
        <w:autoSpaceDE w:val="0"/>
        <w:autoSpaceDN w:val="0"/>
        <w:adjustRightInd w:val="0"/>
        <w:spacing w:line="276" w:lineRule="auto"/>
        <w:ind w:right="6"/>
        <w:jc w:val="both"/>
        <w:rPr>
          <w:rFonts w:ascii="Lato" w:hAnsi="Lato"/>
        </w:rPr>
      </w:pPr>
      <w:r w:rsidRPr="00E92990">
        <w:rPr>
          <w:rFonts w:ascii="Lato" w:hAnsi="Lato"/>
        </w:rPr>
        <w:t xml:space="preserve">The result shows that the observed surface wind changes have forced a southward shift and spin-up of the super gyre, including a strengthening of the EAC flow passing through the Tasman Sea. The increase in the flow reaches approximately 20%. The result is consistent with the trend since 1992 as discussed above. This provides a good example of using the Island Rule model to link atmospheric circulation changes with those of oceanic circulation. </w:t>
      </w:r>
    </w:p>
    <w:p w14:paraId="0F3F2271" w14:textId="77777777" w:rsidR="00B40CCA" w:rsidRPr="00E92990" w:rsidRDefault="00B40CCA" w:rsidP="008235C5">
      <w:pPr>
        <w:autoSpaceDE w:val="0"/>
        <w:autoSpaceDN w:val="0"/>
        <w:adjustRightInd w:val="0"/>
        <w:spacing w:line="276" w:lineRule="auto"/>
        <w:ind w:right="6"/>
        <w:jc w:val="both"/>
        <w:rPr>
          <w:rFonts w:ascii="Lato" w:hAnsi="Lato"/>
          <w:b/>
          <w:bCs/>
        </w:rPr>
      </w:pPr>
    </w:p>
    <w:p w14:paraId="0418FE7B" w14:textId="77777777" w:rsidR="00B40CCA" w:rsidRPr="00E92990" w:rsidRDefault="00B40CCA" w:rsidP="008235C5">
      <w:pPr>
        <w:autoSpaceDE w:val="0"/>
        <w:autoSpaceDN w:val="0"/>
        <w:adjustRightInd w:val="0"/>
        <w:spacing w:line="276" w:lineRule="auto"/>
        <w:ind w:right="6"/>
        <w:jc w:val="both"/>
        <w:rPr>
          <w:rFonts w:ascii="Lato" w:hAnsi="Lato"/>
          <w:b/>
          <w:bCs/>
        </w:rPr>
      </w:pPr>
    </w:p>
    <w:p w14:paraId="4DE7555A" w14:textId="77777777" w:rsidR="00B40CCA" w:rsidRPr="00E92990" w:rsidRDefault="00AB0958" w:rsidP="00E92990">
      <w:pPr>
        <w:pStyle w:val="Heading1"/>
        <w:spacing w:line="276" w:lineRule="auto"/>
        <w:jc w:val="center"/>
        <w:rPr>
          <w:rFonts w:ascii="Lato" w:hAnsi="Lato"/>
          <w:sz w:val="28"/>
          <w:szCs w:val="28"/>
        </w:rPr>
      </w:pPr>
      <w:bookmarkStart w:id="8" w:name="_Toc157957231"/>
      <w:r w:rsidRPr="00E92990">
        <w:rPr>
          <w:rFonts w:ascii="Lato" w:hAnsi="Lato"/>
          <w:sz w:val="28"/>
          <w:szCs w:val="28"/>
        </w:rPr>
        <w:t>4. Summary</w:t>
      </w:r>
      <w:bookmarkEnd w:id="8"/>
    </w:p>
    <w:p w14:paraId="3EC23F07" w14:textId="77777777" w:rsidR="00B40CCA" w:rsidRPr="00E92990" w:rsidRDefault="00B40CCA" w:rsidP="008235C5">
      <w:pPr>
        <w:autoSpaceDE w:val="0"/>
        <w:autoSpaceDN w:val="0"/>
        <w:adjustRightInd w:val="0"/>
        <w:spacing w:line="276" w:lineRule="auto"/>
        <w:ind w:right="6"/>
        <w:jc w:val="both"/>
        <w:rPr>
          <w:rFonts w:ascii="Lato" w:hAnsi="Lato"/>
        </w:rPr>
      </w:pPr>
    </w:p>
    <w:p w14:paraId="3CF8C782" w14:textId="77777777" w:rsidR="00AB0958" w:rsidRPr="00E92990" w:rsidRDefault="00AB0958" w:rsidP="008235C5">
      <w:pPr>
        <w:spacing w:line="276" w:lineRule="auto"/>
        <w:ind w:right="6"/>
        <w:jc w:val="both"/>
        <w:rPr>
          <w:rFonts w:ascii="Lato" w:hAnsi="Lato"/>
          <w:b/>
          <w:bCs/>
          <w:lang w:val="en-AU"/>
        </w:rPr>
      </w:pPr>
      <w:r w:rsidRPr="00E92990">
        <w:rPr>
          <w:rFonts w:ascii="Lato" w:hAnsi="Lato"/>
          <w:lang w:val="en-AU"/>
        </w:rPr>
        <w:t>Over the past decades, reanalyses of both the atmosphere and the ocean have been generated and commonly used for research on climate variability and climate change. These include the NCEP/NCAR atmospheric circulation reanalysis, SODA, and the thermal reanalysis of the CSIRO and BMRC of the upper Pacific and Indian Ocean. Separately, there have been several other efforts that focused on a specific field of the coupled climate system, such as the sea level data set (Church et al., 2004) and the global rainfall dataset (</w:t>
      </w:r>
      <w:proofErr w:type="spellStart"/>
      <w:r w:rsidRPr="00E92990">
        <w:rPr>
          <w:rFonts w:ascii="Lato" w:hAnsi="Lato"/>
          <w:lang w:val="en-AU"/>
        </w:rPr>
        <w:t>Xie</w:t>
      </w:r>
      <w:proofErr w:type="spellEnd"/>
      <w:r w:rsidRPr="00E92990">
        <w:rPr>
          <w:rFonts w:ascii="Lato" w:hAnsi="Lato"/>
          <w:lang w:val="en-AU"/>
        </w:rPr>
        <w:t xml:space="preserve"> and Arkin, 1996). Here we provide </w:t>
      </w:r>
      <w:r w:rsidRPr="00E92990">
        <w:rPr>
          <w:rFonts w:ascii="Lato" w:hAnsi="Lato"/>
          <w:bCs/>
          <w:lang w:val="en-AU"/>
        </w:rPr>
        <w:t>a global wind-driven barotropic circulation</w:t>
      </w:r>
      <w:r w:rsidRPr="00E92990">
        <w:rPr>
          <w:rFonts w:ascii="Lato" w:hAnsi="Lato"/>
          <w:lang w:val="en-AU"/>
        </w:rPr>
        <w:t xml:space="preserve"> dataset as part of the global reanalysis effort. The data sets include depth-integrated stream-function and steric heights calculated for ERA40 and NCEP monthly winds using Stuart Godfrey’s Island Rule Sverdrup model (Godfrey, 1989). The data is available to the Australian research community. In this report, we have provided a description of the dataset, caveats in using them, and examples of its applications. These include an examination of the temporal behaviour of the Indonesian </w:t>
      </w:r>
      <w:r w:rsidRPr="00E92990">
        <w:rPr>
          <w:rFonts w:ascii="Lato" w:hAnsi="Lato"/>
          <w:lang w:val="en-AU"/>
        </w:rPr>
        <w:lastRenderedPageBreak/>
        <w:t xml:space="preserve">Throughflow, trends of the ENSO discharge/recharge process in the Indo-Pacific system, and subtropical gyre spin-up associated with the Southern Annular Mode.  A natural progression of the work would be a development of a time dependent Island Rule model, which explicitly incorporates the transient wave processes. This is currently being investigated (Godfrey, personal communication). In the ocean interior, this is relatively simple; however, flows around islands and approaching a western boundary would need to adjust to Kelvin-Munk waves </w:t>
      </w:r>
      <w:r w:rsidR="004262A6" w:rsidRPr="00E92990">
        <w:rPr>
          <w:rFonts w:ascii="Lato" w:hAnsi="Lato"/>
          <w:lang w:val="en-AU"/>
        </w:rPr>
        <w:t xml:space="preserve">as detailed in Godfrey (1975). </w:t>
      </w:r>
      <w:r w:rsidRPr="00E92990">
        <w:rPr>
          <w:rFonts w:ascii="Lato" w:hAnsi="Lato"/>
          <w:lang w:val="en-AU"/>
        </w:rPr>
        <w:t>We plan to generate a new data set once the time-dependent version is completed.</w:t>
      </w:r>
    </w:p>
    <w:p w14:paraId="2F0AA982" w14:textId="77777777" w:rsidR="00FE4F59" w:rsidRPr="00E92990" w:rsidRDefault="00FE4F59" w:rsidP="008235C5">
      <w:pPr>
        <w:pStyle w:val="Heading1"/>
        <w:spacing w:line="276" w:lineRule="auto"/>
        <w:jc w:val="both"/>
        <w:rPr>
          <w:rFonts w:ascii="Lato" w:hAnsi="Lato"/>
          <w:sz w:val="24"/>
          <w:szCs w:val="24"/>
        </w:rPr>
      </w:pPr>
    </w:p>
    <w:p w14:paraId="4715AD8D" w14:textId="77777777" w:rsidR="00AB0958" w:rsidRPr="00E92990" w:rsidRDefault="00AB0958" w:rsidP="008235C5">
      <w:pPr>
        <w:pStyle w:val="Heading1"/>
        <w:spacing w:line="276" w:lineRule="auto"/>
        <w:jc w:val="both"/>
        <w:rPr>
          <w:rFonts w:ascii="Lato" w:hAnsi="Lato"/>
          <w:sz w:val="28"/>
          <w:szCs w:val="28"/>
        </w:rPr>
      </w:pPr>
      <w:bookmarkStart w:id="9" w:name="_Toc157957232"/>
      <w:r w:rsidRPr="00E92990">
        <w:rPr>
          <w:rFonts w:ascii="Lato" w:hAnsi="Lato"/>
          <w:sz w:val="28"/>
          <w:szCs w:val="28"/>
        </w:rPr>
        <w:t>References</w:t>
      </w:r>
      <w:bookmarkEnd w:id="9"/>
    </w:p>
    <w:p w14:paraId="25AFE572" w14:textId="77777777" w:rsidR="004B6594" w:rsidRPr="00E92990" w:rsidRDefault="004B6594" w:rsidP="008235C5">
      <w:pPr>
        <w:pStyle w:val="BodyText"/>
        <w:keepLines/>
        <w:spacing w:line="276" w:lineRule="auto"/>
        <w:ind w:right="6"/>
        <w:jc w:val="both"/>
        <w:rPr>
          <w:rFonts w:ascii="Lato" w:eastAsia="SimSun" w:hAnsi="Lato"/>
          <w:lang w:eastAsia="zh-CN"/>
        </w:rPr>
      </w:pPr>
    </w:p>
    <w:p w14:paraId="68021D7B" w14:textId="77777777" w:rsidR="00AB0958" w:rsidRPr="00E92990" w:rsidRDefault="00AB0958" w:rsidP="008235C5">
      <w:pPr>
        <w:pStyle w:val="BodyText"/>
        <w:keepLines/>
        <w:spacing w:line="276" w:lineRule="auto"/>
        <w:ind w:right="6"/>
        <w:jc w:val="both"/>
        <w:rPr>
          <w:rFonts w:ascii="Lato" w:eastAsia="SimSun" w:hAnsi="Lato"/>
          <w:lang w:eastAsia="zh-CN"/>
        </w:rPr>
      </w:pPr>
      <w:r w:rsidRPr="00E92990">
        <w:rPr>
          <w:rFonts w:ascii="Lato" w:eastAsia="SimSun" w:hAnsi="Lato"/>
          <w:lang w:eastAsia="zh-CN"/>
        </w:rPr>
        <w:t xml:space="preserve">Cai, W. J.  (2006): Antarctic ozone depletion causes an intensification of the </w:t>
      </w:r>
      <w:proofErr w:type="gramStart"/>
      <w:r w:rsidRPr="00E92990">
        <w:rPr>
          <w:rFonts w:ascii="Lato" w:eastAsia="SimSun" w:hAnsi="Lato"/>
          <w:lang w:eastAsia="zh-CN"/>
        </w:rPr>
        <w:t>southern ocean</w:t>
      </w:r>
      <w:proofErr w:type="gramEnd"/>
      <w:r w:rsidRPr="00E92990">
        <w:rPr>
          <w:rFonts w:ascii="Lato" w:eastAsia="SimSun" w:hAnsi="Lato"/>
          <w:lang w:eastAsia="zh-CN"/>
        </w:rPr>
        <w:t xml:space="preserve"> super-gyre circulation. Geophysical Research Letters, </w:t>
      </w:r>
      <w:r w:rsidRPr="00E92990">
        <w:rPr>
          <w:rFonts w:ascii="Lato" w:eastAsia="SimSun" w:hAnsi="Lato"/>
          <w:b/>
          <w:bCs/>
          <w:lang w:eastAsia="zh-CN"/>
        </w:rPr>
        <w:t>33</w:t>
      </w:r>
      <w:r w:rsidRPr="00E92990">
        <w:rPr>
          <w:rFonts w:ascii="Lato" w:eastAsia="SimSun" w:hAnsi="Lato"/>
          <w:lang w:eastAsia="zh-CN"/>
        </w:rPr>
        <w:t xml:space="preserve">(3): L03712, 10.1029/2005GL024911. </w:t>
      </w:r>
    </w:p>
    <w:p w14:paraId="3431D412" w14:textId="77777777" w:rsidR="00AB0958" w:rsidRPr="00E92990" w:rsidRDefault="00AB0958" w:rsidP="008235C5">
      <w:pPr>
        <w:autoSpaceDE w:val="0"/>
        <w:autoSpaceDN w:val="0"/>
        <w:adjustRightInd w:val="0"/>
        <w:spacing w:line="276" w:lineRule="auto"/>
        <w:ind w:right="6"/>
        <w:jc w:val="both"/>
        <w:rPr>
          <w:rFonts w:ascii="Lato" w:hAnsi="Lato"/>
          <w:lang w:val="en-AU"/>
        </w:rPr>
      </w:pPr>
    </w:p>
    <w:p w14:paraId="76A18EF4" w14:textId="77777777" w:rsidR="00AB0958" w:rsidRPr="00E92990" w:rsidRDefault="00AB0958" w:rsidP="008235C5">
      <w:pPr>
        <w:pStyle w:val="PlainText"/>
        <w:spacing w:line="276" w:lineRule="auto"/>
        <w:ind w:right="6"/>
        <w:jc w:val="both"/>
        <w:rPr>
          <w:rFonts w:ascii="Lato" w:eastAsia="SimSun" w:hAnsi="Lato" w:cs="Times New Roman"/>
          <w:sz w:val="24"/>
          <w:szCs w:val="24"/>
          <w:lang w:eastAsia="zh-CN"/>
        </w:rPr>
      </w:pPr>
      <w:r w:rsidRPr="00E92990">
        <w:rPr>
          <w:rFonts w:ascii="Lato" w:eastAsia="SimSun" w:hAnsi="Lato" w:cs="Times New Roman"/>
          <w:sz w:val="24"/>
          <w:szCs w:val="24"/>
          <w:lang w:eastAsia="zh-CN"/>
        </w:rPr>
        <w:t>Car</w:t>
      </w:r>
      <w:r w:rsidR="004262A6" w:rsidRPr="00E92990">
        <w:rPr>
          <w:rFonts w:ascii="Lato" w:eastAsia="SimSun" w:hAnsi="Lato" w:cs="Times New Roman"/>
          <w:sz w:val="24"/>
          <w:szCs w:val="24"/>
          <w:lang w:eastAsia="zh-CN"/>
        </w:rPr>
        <w:t xml:space="preserve">ton, J. A., S. B. Giese (2006): </w:t>
      </w:r>
      <w:r w:rsidRPr="00E92990">
        <w:rPr>
          <w:rFonts w:ascii="Lato" w:eastAsia="SimSun" w:hAnsi="Lato" w:cs="Times New Roman"/>
          <w:sz w:val="24"/>
          <w:szCs w:val="24"/>
          <w:lang w:eastAsia="zh-CN"/>
        </w:rPr>
        <w:t>SODA: A Re</w:t>
      </w:r>
      <w:r w:rsidR="004262A6" w:rsidRPr="00E92990">
        <w:rPr>
          <w:rFonts w:ascii="Lato" w:eastAsia="SimSun" w:hAnsi="Lato" w:cs="Times New Roman"/>
          <w:sz w:val="24"/>
          <w:szCs w:val="24"/>
          <w:lang w:eastAsia="zh-CN"/>
        </w:rPr>
        <w:t>analysis of Ocean Climate. Monthly Weather Review</w:t>
      </w:r>
      <w:r w:rsidRPr="00E92990">
        <w:rPr>
          <w:rFonts w:ascii="Lato" w:eastAsia="SimSun" w:hAnsi="Lato" w:cs="Times New Roman"/>
          <w:sz w:val="24"/>
          <w:szCs w:val="24"/>
          <w:lang w:eastAsia="zh-CN"/>
        </w:rPr>
        <w:t>, submitted.</w:t>
      </w:r>
    </w:p>
    <w:p w14:paraId="2EF60D5E" w14:textId="77777777" w:rsidR="00AB0958" w:rsidRPr="00E92990" w:rsidRDefault="00AB0958" w:rsidP="008235C5">
      <w:pPr>
        <w:autoSpaceDE w:val="0"/>
        <w:autoSpaceDN w:val="0"/>
        <w:adjustRightInd w:val="0"/>
        <w:spacing w:line="276" w:lineRule="auto"/>
        <w:ind w:right="6"/>
        <w:jc w:val="both"/>
        <w:rPr>
          <w:rFonts w:ascii="Lato" w:hAnsi="Lato"/>
          <w:lang w:val="en-AU"/>
        </w:rPr>
      </w:pPr>
    </w:p>
    <w:p w14:paraId="306BAA30" w14:textId="77777777" w:rsidR="00AB0958" w:rsidRPr="00E92990" w:rsidRDefault="00AB0958" w:rsidP="008235C5">
      <w:pPr>
        <w:spacing w:line="276" w:lineRule="auto"/>
        <w:ind w:right="6"/>
        <w:jc w:val="both"/>
        <w:rPr>
          <w:rFonts w:ascii="Lato" w:hAnsi="Lato"/>
          <w:lang w:val="en-AU"/>
        </w:rPr>
      </w:pPr>
      <w:r w:rsidRPr="00E92990">
        <w:rPr>
          <w:rFonts w:ascii="Lato" w:hAnsi="Lato"/>
          <w:lang w:val="en-AU"/>
        </w:rPr>
        <w:t xml:space="preserve">Church, J., R. Coleman, K. </w:t>
      </w:r>
      <w:proofErr w:type="spellStart"/>
      <w:r w:rsidRPr="00E92990">
        <w:rPr>
          <w:rFonts w:ascii="Lato" w:hAnsi="Lato"/>
          <w:lang w:val="en-AU"/>
        </w:rPr>
        <w:t>Lambeck</w:t>
      </w:r>
      <w:proofErr w:type="spellEnd"/>
      <w:r w:rsidRPr="00E92990">
        <w:rPr>
          <w:rFonts w:ascii="Lato" w:hAnsi="Lato"/>
          <w:lang w:val="en-AU"/>
        </w:rPr>
        <w:t>, and J. X., Mitrovica, 2004: Estimates of the regional distribution of sea level rise over the 1950-2000 pe</w:t>
      </w:r>
      <w:r w:rsidR="004262A6" w:rsidRPr="00E92990">
        <w:rPr>
          <w:rFonts w:ascii="Lato" w:hAnsi="Lato"/>
          <w:lang w:val="en-AU"/>
        </w:rPr>
        <w:t>riod. Journal of</w:t>
      </w:r>
      <w:r w:rsidRPr="00E92990">
        <w:rPr>
          <w:rFonts w:ascii="Lato" w:hAnsi="Lato"/>
          <w:lang w:val="en-AU"/>
        </w:rPr>
        <w:t xml:space="preserve"> Climate, </w:t>
      </w:r>
      <w:r w:rsidRPr="00E92990">
        <w:rPr>
          <w:rFonts w:ascii="Lato" w:hAnsi="Lato"/>
          <w:b/>
          <w:bCs/>
          <w:lang w:val="en-AU"/>
        </w:rPr>
        <w:t>17</w:t>
      </w:r>
      <w:r w:rsidRPr="00E92990">
        <w:rPr>
          <w:rFonts w:ascii="Lato" w:hAnsi="Lato"/>
          <w:lang w:val="en-AU"/>
        </w:rPr>
        <w:t>, 2609-2625.</w:t>
      </w:r>
    </w:p>
    <w:p w14:paraId="2D6CC184" w14:textId="77777777" w:rsidR="00AB0958" w:rsidRPr="00E92990" w:rsidRDefault="00AB0958" w:rsidP="008235C5">
      <w:pPr>
        <w:autoSpaceDE w:val="0"/>
        <w:autoSpaceDN w:val="0"/>
        <w:adjustRightInd w:val="0"/>
        <w:spacing w:line="276" w:lineRule="auto"/>
        <w:ind w:right="6"/>
        <w:jc w:val="both"/>
        <w:rPr>
          <w:rFonts w:ascii="Lato" w:hAnsi="Lato"/>
          <w:lang w:val="en-AU"/>
        </w:rPr>
      </w:pPr>
    </w:p>
    <w:p w14:paraId="4048A2C5" w14:textId="77777777" w:rsidR="00AB0958" w:rsidRPr="00E92990" w:rsidRDefault="00AB0958" w:rsidP="008235C5">
      <w:pPr>
        <w:spacing w:line="276" w:lineRule="auto"/>
        <w:ind w:right="6"/>
        <w:jc w:val="both"/>
        <w:rPr>
          <w:rFonts w:ascii="Lato" w:hAnsi="Lato"/>
          <w:lang w:val="en-AU"/>
        </w:rPr>
      </w:pPr>
      <w:r w:rsidRPr="00E92990">
        <w:rPr>
          <w:rFonts w:ascii="Lato" w:hAnsi="Lato"/>
          <w:lang w:val="en-AU"/>
        </w:rPr>
        <w:t xml:space="preserve">Gillett, N. P., and D. W. J. Thompson (2003): Simulation of recent Southern </w:t>
      </w:r>
      <w:r w:rsidR="004262A6" w:rsidRPr="00E92990">
        <w:rPr>
          <w:rFonts w:ascii="Lato" w:hAnsi="Lato"/>
          <w:lang w:val="en-AU"/>
        </w:rPr>
        <w:t xml:space="preserve">Hemisphere climate change. </w:t>
      </w:r>
      <w:r w:rsidRPr="00E92990">
        <w:rPr>
          <w:rFonts w:ascii="Lato" w:hAnsi="Lato"/>
          <w:lang w:val="en-AU"/>
        </w:rPr>
        <w:t xml:space="preserve">Science, </w:t>
      </w:r>
      <w:r w:rsidRPr="00E92990">
        <w:rPr>
          <w:rFonts w:ascii="Lato" w:hAnsi="Lato"/>
          <w:b/>
          <w:bCs/>
          <w:lang w:val="en-AU"/>
        </w:rPr>
        <w:t>302</w:t>
      </w:r>
      <w:r w:rsidRPr="00E92990">
        <w:rPr>
          <w:rFonts w:ascii="Lato" w:hAnsi="Lato"/>
          <w:lang w:val="en-AU"/>
        </w:rPr>
        <w:t>, 273– 275.</w:t>
      </w:r>
    </w:p>
    <w:p w14:paraId="3D9933C9" w14:textId="77777777" w:rsidR="00AB0958" w:rsidRPr="00E92990" w:rsidRDefault="00AB0958" w:rsidP="008235C5">
      <w:pPr>
        <w:spacing w:line="276" w:lineRule="auto"/>
        <w:ind w:right="6"/>
        <w:jc w:val="both"/>
        <w:rPr>
          <w:rFonts w:ascii="Lato" w:hAnsi="Lato"/>
          <w:lang w:val="en-AU"/>
        </w:rPr>
      </w:pPr>
    </w:p>
    <w:p w14:paraId="39648627" w14:textId="77777777" w:rsidR="00AB0958" w:rsidRPr="00E92990" w:rsidRDefault="00AB0958" w:rsidP="008235C5">
      <w:pPr>
        <w:autoSpaceDE w:val="0"/>
        <w:autoSpaceDN w:val="0"/>
        <w:adjustRightInd w:val="0"/>
        <w:spacing w:line="276" w:lineRule="auto"/>
        <w:ind w:right="6"/>
        <w:jc w:val="both"/>
        <w:rPr>
          <w:rFonts w:ascii="Lato" w:hAnsi="Lato"/>
          <w:lang w:val="en-AU"/>
        </w:rPr>
      </w:pPr>
      <w:r w:rsidRPr="00E92990">
        <w:rPr>
          <w:rFonts w:ascii="Lato" w:hAnsi="Lato"/>
          <w:lang w:val="en-AU"/>
        </w:rPr>
        <w:t>Godfrey, J. S. (1989): A Sverdrup model of the depth-integrated flow for the world ocean allowing f</w:t>
      </w:r>
      <w:r w:rsidR="004262A6" w:rsidRPr="00E92990">
        <w:rPr>
          <w:rFonts w:ascii="Lato" w:hAnsi="Lato"/>
          <w:lang w:val="en-AU"/>
        </w:rPr>
        <w:t>or island circulations, Geophysical Astrophysical</w:t>
      </w:r>
      <w:r w:rsidRPr="00E92990">
        <w:rPr>
          <w:rFonts w:ascii="Lato" w:hAnsi="Lato"/>
          <w:lang w:val="en-AU"/>
        </w:rPr>
        <w:t xml:space="preserve"> Fluid Dyn</w:t>
      </w:r>
      <w:r w:rsidR="004262A6" w:rsidRPr="00E92990">
        <w:rPr>
          <w:rFonts w:ascii="Lato" w:hAnsi="Lato"/>
          <w:lang w:val="en-AU"/>
        </w:rPr>
        <w:t>amics</w:t>
      </w:r>
      <w:r w:rsidRPr="00E92990">
        <w:rPr>
          <w:rFonts w:ascii="Lato" w:hAnsi="Lato"/>
          <w:lang w:val="en-AU"/>
        </w:rPr>
        <w:t xml:space="preserve">, </w:t>
      </w:r>
      <w:r w:rsidRPr="00E92990">
        <w:rPr>
          <w:rFonts w:ascii="Lato" w:hAnsi="Lato"/>
          <w:b/>
          <w:bCs/>
          <w:lang w:val="en-AU"/>
        </w:rPr>
        <w:t>45</w:t>
      </w:r>
      <w:r w:rsidRPr="00E92990">
        <w:rPr>
          <w:rFonts w:ascii="Lato" w:hAnsi="Lato"/>
          <w:lang w:val="en-AU"/>
        </w:rPr>
        <w:t>, 89–112.</w:t>
      </w:r>
    </w:p>
    <w:p w14:paraId="607B61BB" w14:textId="77777777" w:rsidR="00AB0958" w:rsidRPr="00E92990" w:rsidRDefault="00AB0958" w:rsidP="008235C5">
      <w:pPr>
        <w:autoSpaceDE w:val="0"/>
        <w:autoSpaceDN w:val="0"/>
        <w:adjustRightInd w:val="0"/>
        <w:spacing w:line="276" w:lineRule="auto"/>
        <w:ind w:right="6"/>
        <w:jc w:val="both"/>
        <w:rPr>
          <w:rFonts w:ascii="Lato" w:hAnsi="Lato"/>
          <w:lang w:val="en-AU"/>
        </w:rPr>
      </w:pPr>
    </w:p>
    <w:p w14:paraId="78611B6C" w14:textId="77777777" w:rsidR="00AB0958" w:rsidRPr="00E92990" w:rsidRDefault="00AB0958" w:rsidP="008235C5">
      <w:pPr>
        <w:autoSpaceDE w:val="0"/>
        <w:autoSpaceDN w:val="0"/>
        <w:adjustRightInd w:val="0"/>
        <w:spacing w:line="276" w:lineRule="auto"/>
        <w:ind w:right="6"/>
        <w:jc w:val="both"/>
        <w:rPr>
          <w:rFonts w:ascii="Lato" w:hAnsi="Lato"/>
          <w:lang w:val="en-AU"/>
        </w:rPr>
      </w:pPr>
      <w:r w:rsidRPr="00E92990">
        <w:rPr>
          <w:rFonts w:ascii="Lato" w:hAnsi="Lato"/>
          <w:lang w:val="en-AU"/>
        </w:rPr>
        <w:t xml:space="preserve">Godfrey, J.S. (1975):  On ocean </w:t>
      </w:r>
      <w:proofErr w:type="spellStart"/>
      <w:r w:rsidRPr="00E92990">
        <w:rPr>
          <w:rFonts w:ascii="Lato" w:hAnsi="Lato"/>
          <w:lang w:val="en-AU"/>
        </w:rPr>
        <w:t>spindow</w:t>
      </w:r>
      <w:r w:rsidR="004262A6" w:rsidRPr="00E92990">
        <w:rPr>
          <w:rFonts w:ascii="Lato" w:hAnsi="Lato"/>
          <w:lang w:val="en-AU"/>
        </w:rPr>
        <w:t>n</w:t>
      </w:r>
      <w:proofErr w:type="spellEnd"/>
      <w:r w:rsidR="004262A6" w:rsidRPr="00E92990">
        <w:rPr>
          <w:rFonts w:ascii="Lato" w:hAnsi="Lato"/>
          <w:lang w:val="en-AU"/>
        </w:rPr>
        <w:t xml:space="preserve"> I: A linear Experiment. Journal of Physical</w:t>
      </w:r>
      <w:r w:rsidRPr="00E92990">
        <w:rPr>
          <w:rFonts w:ascii="Lato" w:hAnsi="Lato"/>
          <w:lang w:val="en-AU"/>
        </w:rPr>
        <w:t xml:space="preserve"> Oceanogr</w:t>
      </w:r>
      <w:r w:rsidR="004262A6" w:rsidRPr="00E92990">
        <w:rPr>
          <w:rFonts w:ascii="Lato" w:hAnsi="Lato"/>
          <w:lang w:val="en-AU"/>
        </w:rPr>
        <w:t>aphy</w:t>
      </w:r>
      <w:r w:rsidRPr="00E92990">
        <w:rPr>
          <w:rFonts w:ascii="Lato" w:hAnsi="Lato"/>
          <w:lang w:val="en-AU"/>
        </w:rPr>
        <w:t xml:space="preserve">, </w:t>
      </w:r>
      <w:r w:rsidRPr="00E92990">
        <w:rPr>
          <w:rFonts w:ascii="Lato" w:hAnsi="Lato"/>
          <w:b/>
          <w:bCs/>
          <w:lang w:val="en-AU"/>
        </w:rPr>
        <w:t>5</w:t>
      </w:r>
      <w:r w:rsidRPr="00E92990">
        <w:rPr>
          <w:rFonts w:ascii="Lato" w:hAnsi="Lato"/>
          <w:lang w:val="en-AU"/>
        </w:rPr>
        <w:t>, 399-409.</w:t>
      </w:r>
    </w:p>
    <w:p w14:paraId="4065EBEE" w14:textId="77777777" w:rsidR="00AB0958" w:rsidRPr="00E92990" w:rsidRDefault="00AB0958" w:rsidP="008235C5">
      <w:pPr>
        <w:spacing w:before="100" w:beforeAutospacing="1" w:after="100" w:afterAutospacing="1" w:line="276" w:lineRule="auto"/>
        <w:ind w:right="6"/>
        <w:jc w:val="both"/>
        <w:rPr>
          <w:rFonts w:ascii="Lato" w:hAnsi="Lato"/>
          <w:lang w:val="en-AU"/>
        </w:rPr>
      </w:pPr>
      <w:r w:rsidRPr="00E92990">
        <w:rPr>
          <w:rFonts w:ascii="Lato" w:hAnsi="Lato"/>
          <w:lang w:val="en-AU"/>
        </w:rPr>
        <w:t xml:space="preserve">Jin, F. F. (1997): An equatorial ocean recharge paradigm for ENSO. Part I: Conceptual </w:t>
      </w:r>
      <w:r w:rsidR="004262A6" w:rsidRPr="00E92990">
        <w:rPr>
          <w:rFonts w:ascii="Lato" w:hAnsi="Lato"/>
          <w:lang w:val="en-AU"/>
        </w:rPr>
        <w:t>model. Journal of Atmospheric Science</w:t>
      </w:r>
      <w:r w:rsidRPr="00E92990">
        <w:rPr>
          <w:rFonts w:ascii="Lato" w:hAnsi="Lato"/>
          <w:lang w:val="en-AU"/>
        </w:rPr>
        <w:t xml:space="preserve">, </w:t>
      </w:r>
      <w:r w:rsidRPr="00E92990">
        <w:rPr>
          <w:rFonts w:ascii="Lato" w:hAnsi="Lato"/>
          <w:b/>
          <w:bCs/>
          <w:lang w:val="en-AU"/>
        </w:rPr>
        <w:t>54,</w:t>
      </w:r>
      <w:r w:rsidRPr="00E92990">
        <w:rPr>
          <w:rFonts w:ascii="Lato" w:hAnsi="Lato"/>
          <w:lang w:val="en-AU"/>
        </w:rPr>
        <w:t xml:space="preserve"> 811-829.</w:t>
      </w:r>
    </w:p>
    <w:p w14:paraId="2118E04E" w14:textId="77777777" w:rsidR="00AB0958" w:rsidRPr="00E92990" w:rsidRDefault="00AB0958" w:rsidP="008235C5">
      <w:pPr>
        <w:spacing w:line="276" w:lineRule="auto"/>
        <w:ind w:right="6"/>
        <w:jc w:val="both"/>
        <w:rPr>
          <w:rFonts w:ascii="Lato" w:hAnsi="Lato"/>
          <w:lang w:val="en-AU"/>
        </w:rPr>
      </w:pPr>
      <w:proofErr w:type="spellStart"/>
      <w:r w:rsidRPr="00E92990">
        <w:rPr>
          <w:rFonts w:ascii="Lato" w:hAnsi="Lato"/>
          <w:lang w:val="en-AU"/>
        </w:rPr>
        <w:lastRenderedPageBreak/>
        <w:t>Kalnay</w:t>
      </w:r>
      <w:proofErr w:type="spellEnd"/>
      <w:r w:rsidRPr="00E92990">
        <w:rPr>
          <w:rFonts w:ascii="Lato" w:hAnsi="Lato"/>
          <w:lang w:val="en-AU"/>
        </w:rPr>
        <w:t>, E., et al. (1996): The NCEP/NCAR 4</w:t>
      </w:r>
      <w:r w:rsidR="004262A6" w:rsidRPr="00E92990">
        <w:rPr>
          <w:rFonts w:ascii="Lato" w:hAnsi="Lato"/>
          <w:lang w:val="en-AU"/>
        </w:rPr>
        <w:t>0-year reanalysis project, Bulletin of the</w:t>
      </w:r>
      <w:r w:rsidRPr="00E92990">
        <w:rPr>
          <w:rFonts w:ascii="Lato" w:hAnsi="Lato"/>
          <w:lang w:val="en-AU"/>
        </w:rPr>
        <w:t xml:space="preserve"> </w:t>
      </w:r>
      <w:r w:rsidR="004262A6" w:rsidRPr="00E92990">
        <w:rPr>
          <w:rFonts w:ascii="Lato" w:hAnsi="Lato"/>
          <w:lang w:val="en-AU"/>
        </w:rPr>
        <w:t>American Meteorological Society</w:t>
      </w:r>
      <w:r w:rsidRPr="00E92990">
        <w:rPr>
          <w:rFonts w:ascii="Lato" w:hAnsi="Lato"/>
          <w:lang w:val="en-AU"/>
        </w:rPr>
        <w:t xml:space="preserve">, </w:t>
      </w:r>
      <w:r w:rsidRPr="00E92990">
        <w:rPr>
          <w:rFonts w:ascii="Lato" w:hAnsi="Lato"/>
          <w:b/>
          <w:bCs/>
          <w:lang w:val="en-AU"/>
        </w:rPr>
        <w:t>77</w:t>
      </w:r>
      <w:r w:rsidRPr="00E92990">
        <w:rPr>
          <w:rFonts w:ascii="Lato" w:hAnsi="Lato"/>
          <w:lang w:val="en-AU"/>
        </w:rPr>
        <w:t>, 437–471.</w:t>
      </w:r>
    </w:p>
    <w:p w14:paraId="5261D7D1" w14:textId="77777777" w:rsidR="00AB0958" w:rsidRPr="00E92990" w:rsidRDefault="00AB0958" w:rsidP="008235C5">
      <w:pPr>
        <w:autoSpaceDE w:val="0"/>
        <w:autoSpaceDN w:val="0"/>
        <w:adjustRightInd w:val="0"/>
        <w:spacing w:line="276" w:lineRule="auto"/>
        <w:ind w:right="6"/>
        <w:jc w:val="both"/>
        <w:rPr>
          <w:rFonts w:ascii="Lato" w:hAnsi="Lato"/>
          <w:lang w:val="en-AU"/>
        </w:rPr>
      </w:pPr>
    </w:p>
    <w:p w14:paraId="0EA151B5" w14:textId="77777777" w:rsidR="00AB0958" w:rsidRPr="00E92990" w:rsidRDefault="00AB0958" w:rsidP="008235C5">
      <w:pPr>
        <w:autoSpaceDE w:val="0"/>
        <w:autoSpaceDN w:val="0"/>
        <w:adjustRightInd w:val="0"/>
        <w:spacing w:line="276" w:lineRule="auto"/>
        <w:ind w:right="6"/>
        <w:jc w:val="both"/>
        <w:rPr>
          <w:rFonts w:ascii="Lato" w:hAnsi="Lato"/>
          <w:lang w:val="en-AU"/>
        </w:rPr>
      </w:pPr>
      <w:proofErr w:type="spellStart"/>
      <w:r w:rsidRPr="00E92990">
        <w:rPr>
          <w:rFonts w:ascii="Lato" w:hAnsi="Lato"/>
          <w:lang w:val="en-AU"/>
        </w:rPr>
        <w:t>Meinen</w:t>
      </w:r>
      <w:proofErr w:type="spellEnd"/>
      <w:r w:rsidRPr="00E92990">
        <w:rPr>
          <w:rFonts w:ascii="Lato" w:hAnsi="Lato"/>
          <w:lang w:val="en-AU"/>
        </w:rPr>
        <w:t>, C.S., and M. J. M</w:t>
      </w:r>
      <w:r w:rsidR="004262A6" w:rsidRPr="00E92990">
        <w:rPr>
          <w:rFonts w:ascii="Lato" w:hAnsi="Lato"/>
          <w:lang w:val="en-AU"/>
        </w:rPr>
        <w:t xml:space="preserve">cPhaden (2000): </w:t>
      </w:r>
      <w:r w:rsidRPr="00E92990">
        <w:rPr>
          <w:rFonts w:ascii="Lato" w:hAnsi="Lato"/>
          <w:lang w:val="en-AU"/>
        </w:rPr>
        <w:t xml:space="preserve">Observations of warm water volume changes in the equatorial Pacific and their relationship to </w:t>
      </w:r>
      <w:r w:rsidR="004262A6" w:rsidRPr="00E92990">
        <w:rPr>
          <w:rFonts w:ascii="Lato" w:hAnsi="Lato"/>
          <w:lang w:val="en-AU"/>
        </w:rPr>
        <w:t xml:space="preserve">El Niño and La Niña. Journal of Climate, </w:t>
      </w:r>
      <w:r w:rsidRPr="00E92990">
        <w:rPr>
          <w:rFonts w:ascii="Lato" w:hAnsi="Lato"/>
          <w:b/>
          <w:bCs/>
          <w:lang w:val="en-AU"/>
        </w:rPr>
        <w:t>13</w:t>
      </w:r>
      <w:r w:rsidRPr="00E92990">
        <w:rPr>
          <w:rFonts w:ascii="Lato" w:hAnsi="Lato"/>
          <w:lang w:val="en-AU"/>
        </w:rPr>
        <w:t>, 3551-3559.</w:t>
      </w:r>
    </w:p>
    <w:p w14:paraId="5DC84BFE" w14:textId="77777777" w:rsidR="00AB0958" w:rsidRPr="00E92990" w:rsidRDefault="00AB0958" w:rsidP="008235C5">
      <w:pPr>
        <w:autoSpaceDE w:val="0"/>
        <w:autoSpaceDN w:val="0"/>
        <w:adjustRightInd w:val="0"/>
        <w:spacing w:line="276" w:lineRule="auto"/>
        <w:ind w:right="6"/>
        <w:jc w:val="both"/>
        <w:rPr>
          <w:rFonts w:ascii="Lato" w:hAnsi="Lato"/>
          <w:lang w:val="en-AU"/>
        </w:rPr>
      </w:pPr>
    </w:p>
    <w:p w14:paraId="681834CD" w14:textId="77777777" w:rsidR="00AB0958" w:rsidRPr="00E92990" w:rsidRDefault="00AB0958" w:rsidP="008235C5">
      <w:pPr>
        <w:autoSpaceDE w:val="0"/>
        <w:autoSpaceDN w:val="0"/>
        <w:adjustRightInd w:val="0"/>
        <w:spacing w:line="276" w:lineRule="auto"/>
        <w:ind w:right="6"/>
        <w:jc w:val="both"/>
        <w:rPr>
          <w:rFonts w:ascii="Lato" w:hAnsi="Lato"/>
          <w:lang w:val="en-AU"/>
        </w:rPr>
      </w:pPr>
      <w:proofErr w:type="spellStart"/>
      <w:r w:rsidRPr="00E92990">
        <w:rPr>
          <w:rFonts w:ascii="Lato" w:hAnsi="Lato"/>
          <w:lang w:val="en-AU"/>
        </w:rPr>
        <w:t>Qiu</w:t>
      </w:r>
      <w:proofErr w:type="spellEnd"/>
      <w:r w:rsidRPr="00E92990">
        <w:rPr>
          <w:rFonts w:ascii="Lato" w:hAnsi="Lato"/>
          <w:lang w:val="en-AU"/>
        </w:rPr>
        <w:t xml:space="preserve">, B., and S. M. Chen (2006): Decadal variability in the large-scale sea surface height field of the South Pacific Ocean: Observations and </w:t>
      </w:r>
      <w:r w:rsidR="00A4390E" w:rsidRPr="00E92990">
        <w:rPr>
          <w:rFonts w:ascii="Lato" w:hAnsi="Lato"/>
          <w:lang w:val="en-AU"/>
        </w:rPr>
        <w:t>Causes. Journal of Physical Oceanography, 36, 1751-1762.</w:t>
      </w:r>
      <w:r w:rsidR="004262A6" w:rsidRPr="00E92990">
        <w:rPr>
          <w:rFonts w:ascii="Lato" w:hAnsi="Lato"/>
          <w:lang w:val="en-AU"/>
        </w:rPr>
        <w:t xml:space="preserve"> </w:t>
      </w:r>
    </w:p>
    <w:p w14:paraId="03AE7B09" w14:textId="77777777" w:rsidR="00AB0958" w:rsidRPr="00E92990" w:rsidRDefault="00AB0958" w:rsidP="008235C5">
      <w:pPr>
        <w:autoSpaceDE w:val="0"/>
        <w:autoSpaceDN w:val="0"/>
        <w:adjustRightInd w:val="0"/>
        <w:spacing w:line="276" w:lineRule="auto"/>
        <w:ind w:right="6"/>
        <w:jc w:val="both"/>
        <w:rPr>
          <w:rFonts w:ascii="Lato" w:hAnsi="Lato"/>
          <w:lang w:val="en-AU"/>
        </w:rPr>
      </w:pPr>
    </w:p>
    <w:p w14:paraId="57B2C496" w14:textId="77777777" w:rsidR="00AB0958" w:rsidRPr="00E92990" w:rsidRDefault="00AB0958" w:rsidP="008235C5">
      <w:pPr>
        <w:autoSpaceDE w:val="0"/>
        <w:autoSpaceDN w:val="0"/>
        <w:adjustRightInd w:val="0"/>
        <w:spacing w:line="276" w:lineRule="auto"/>
        <w:ind w:right="6"/>
        <w:jc w:val="both"/>
        <w:rPr>
          <w:rFonts w:ascii="Lato" w:hAnsi="Lato"/>
          <w:lang w:val="en-AU"/>
        </w:rPr>
      </w:pPr>
      <w:proofErr w:type="spellStart"/>
      <w:r w:rsidRPr="00E92990">
        <w:rPr>
          <w:rFonts w:ascii="Lato" w:hAnsi="Lato"/>
          <w:lang w:val="en-AU"/>
        </w:rPr>
        <w:t>Roemmich</w:t>
      </w:r>
      <w:proofErr w:type="spellEnd"/>
      <w:r w:rsidRPr="00E92990">
        <w:rPr>
          <w:rFonts w:ascii="Lato" w:hAnsi="Lato"/>
          <w:lang w:val="en-AU"/>
        </w:rPr>
        <w:t xml:space="preserve">, D., </w:t>
      </w:r>
      <w:r w:rsidR="005E47CD" w:rsidRPr="00E92990">
        <w:rPr>
          <w:rFonts w:ascii="Lato" w:hAnsi="Lato"/>
          <w:lang w:val="en-AU"/>
        </w:rPr>
        <w:t xml:space="preserve">Gilson, J., </w:t>
      </w:r>
      <w:proofErr w:type="spellStart"/>
      <w:r w:rsidR="005E47CD" w:rsidRPr="00E92990">
        <w:rPr>
          <w:rFonts w:ascii="Lato" w:hAnsi="Lato"/>
          <w:lang w:val="en-AU"/>
        </w:rPr>
        <w:t>Dawis</w:t>
      </w:r>
      <w:proofErr w:type="spellEnd"/>
      <w:r w:rsidR="005E47CD" w:rsidRPr="00E92990">
        <w:rPr>
          <w:rFonts w:ascii="Lato" w:hAnsi="Lato"/>
          <w:lang w:val="en-AU"/>
        </w:rPr>
        <w:t xml:space="preserve">, R., Sutton, P., and </w:t>
      </w:r>
      <w:proofErr w:type="spellStart"/>
      <w:r w:rsidR="005E47CD" w:rsidRPr="00E92990">
        <w:rPr>
          <w:rFonts w:ascii="Lato" w:hAnsi="Lato"/>
          <w:lang w:val="en-AU"/>
        </w:rPr>
        <w:t>Wijffels</w:t>
      </w:r>
      <w:proofErr w:type="spellEnd"/>
      <w:r w:rsidR="005E47CD" w:rsidRPr="00E92990">
        <w:rPr>
          <w:rFonts w:ascii="Lato" w:hAnsi="Lato"/>
          <w:lang w:val="en-AU"/>
        </w:rPr>
        <w:t>, S.</w:t>
      </w:r>
      <w:r w:rsidRPr="00E92990">
        <w:rPr>
          <w:rFonts w:ascii="Lato" w:hAnsi="Lato"/>
          <w:lang w:val="en-AU"/>
        </w:rPr>
        <w:t xml:space="preserve"> (2006): Decadal spin-up of the South Pacific Subtropical </w:t>
      </w:r>
      <w:r w:rsidR="005E47CD" w:rsidRPr="00E92990">
        <w:rPr>
          <w:rFonts w:ascii="Lato" w:hAnsi="Lato"/>
          <w:lang w:val="en-AU"/>
        </w:rPr>
        <w:t>Gyre, Journal of Physical Oceanography</w:t>
      </w:r>
      <w:r w:rsidRPr="00E92990">
        <w:rPr>
          <w:rFonts w:ascii="Lato" w:hAnsi="Lato"/>
          <w:lang w:val="en-AU"/>
        </w:rPr>
        <w:t>, in press.</w:t>
      </w:r>
    </w:p>
    <w:p w14:paraId="002C90CD" w14:textId="77777777" w:rsidR="00AB0958" w:rsidRPr="00E92990" w:rsidRDefault="00AB0958" w:rsidP="008235C5">
      <w:pPr>
        <w:autoSpaceDE w:val="0"/>
        <w:autoSpaceDN w:val="0"/>
        <w:adjustRightInd w:val="0"/>
        <w:spacing w:line="276" w:lineRule="auto"/>
        <w:ind w:right="6"/>
        <w:jc w:val="both"/>
        <w:rPr>
          <w:rFonts w:ascii="Lato" w:hAnsi="Lato"/>
          <w:lang w:val="en-AU"/>
        </w:rPr>
      </w:pPr>
    </w:p>
    <w:p w14:paraId="48BBC7F0" w14:textId="77777777" w:rsidR="00AB0958" w:rsidRPr="00E92990" w:rsidRDefault="00AB0958" w:rsidP="008235C5">
      <w:pPr>
        <w:autoSpaceDE w:val="0"/>
        <w:autoSpaceDN w:val="0"/>
        <w:adjustRightInd w:val="0"/>
        <w:spacing w:line="276" w:lineRule="auto"/>
        <w:ind w:right="6"/>
        <w:jc w:val="both"/>
        <w:rPr>
          <w:rFonts w:ascii="Lato" w:hAnsi="Lato"/>
          <w:lang w:val="en-AU"/>
        </w:rPr>
      </w:pPr>
      <w:proofErr w:type="spellStart"/>
      <w:r w:rsidRPr="00E92990">
        <w:rPr>
          <w:rFonts w:ascii="Lato" w:hAnsi="Lato"/>
          <w:lang w:val="en-AU"/>
        </w:rPr>
        <w:t>Speich</w:t>
      </w:r>
      <w:proofErr w:type="spellEnd"/>
      <w:r w:rsidRPr="00E92990">
        <w:rPr>
          <w:rFonts w:ascii="Lato" w:hAnsi="Lato"/>
          <w:lang w:val="en-AU"/>
        </w:rPr>
        <w:t xml:space="preserve">, S., </w:t>
      </w:r>
      <w:proofErr w:type="spellStart"/>
      <w:r w:rsidRPr="00E92990">
        <w:rPr>
          <w:rFonts w:ascii="Lato" w:hAnsi="Lato"/>
          <w:lang w:val="en-AU"/>
        </w:rPr>
        <w:t>Blanke</w:t>
      </w:r>
      <w:proofErr w:type="spellEnd"/>
      <w:r w:rsidRPr="00E92990">
        <w:rPr>
          <w:rFonts w:ascii="Lato" w:hAnsi="Lato"/>
          <w:lang w:val="en-AU"/>
        </w:rPr>
        <w:t>, B. and Cai, W</w:t>
      </w:r>
      <w:r w:rsidR="005E47CD" w:rsidRPr="00E92990">
        <w:rPr>
          <w:rFonts w:ascii="Lato" w:hAnsi="Lato"/>
          <w:lang w:val="en-AU"/>
        </w:rPr>
        <w:t xml:space="preserve">. J. (2006): The Global Ocean </w:t>
      </w:r>
      <w:r w:rsidRPr="00E92990">
        <w:rPr>
          <w:rFonts w:ascii="Lato" w:hAnsi="Lato"/>
          <w:lang w:val="en-AU"/>
        </w:rPr>
        <w:t>C</w:t>
      </w:r>
      <w:r w:rsidR="005E47CD" w:rsidRPr="00E92990">
        <w:rPr>
          <w:rFonts w:ascii="Lato" w:hAnsi="Lato"/>
          <w:lang w:val="en-AU"/>
        </w:rPr>
        <w:t xml:space="preserve">onveyor </w:t>
      </w:r>
      <w:r w:rsidRPr="00E92990">
        <w:rPr>
          <w:rFonts w:ascii="Lato" w:hAnsi="Lato"/>
          <w:lang w:val="en-AU"/>
        </w:rPr>
        <w:t xml:space="preserve">Belt and the southern hemisphere </w:t>
      </w:r>
      <w:proofErr w:type="spellStart"/>
      <w:r w:rsidRPr="00E92990">
        <w:rPr>
          <w:rFonts w:ascii="Lato" w:hAnsi="Lato"/>
          <w:lang w:val="en-AU"/>
        </w:rPr>
        <w:t>supergyre</w:t>
      </w:r>
      <w:proofErr w:type="spellEnd"/>
      <w:r w:rsidRPr="00E92990">
        <w:rPr>
          <w:rFonts w:ascii="Lato" w:hAnsi="Lato"/>
          <w:lang w:val="en-AU"/>
        </w:rPr>
        <w:t xml:space="preserve">, in press.  </w:t>
      </w:r>
    </w:p>
    <w:p w14:paraId="66F21642" w14:textId="77777777" w:rsidR="00AB0958" w:rsidRPr="00E92990" w:rsidRDefault="00AB0958" w:rsidP="008235C5">
      <w:pPr>
        <w:autoSpaceDE w:val="0"/>
        <w:autoSpaceDN w:val="0"/>
        <w:adjustRightInd w:val="0"/>
        <w:spacing w:line="276" w:lineRule="auto"/>
        <w:ind w:right="6"/>
        <w:jc w:val="both"/>
        <w:rPr>
          <w:rFonts w:ascii="Lato" w:hAnsi="Lato"/>
          <w:lang w:val="en-AU"/>
        </w:rPr>
      </w:pPr>
    </w:p>
    <w:p w14:paraId="704CC28E" w14:textId="77777777" w:rsidR="00AB0958" w:rsidRPr="00E92990" w:rsidRDefault="00AB0958" w:rsidP="008235C5">
      <w:pPr>
        <w:autoSpaceDE w:val="0"/>
        <w:autoSpaceDN w:val="0"/>
        <w:adjustRightInd w:val="0"/>
        <w:spacing w:line="276" w:lineRule="auto"/>
        <w:ind w:right="6"/>
        <w:jc w:val="both"/>
        <w:rPr>
          <w:rFonts w:ascii="Lato" w:hAnsi="Lato"/>
          <w:lang w:val="en-AU"/>
        </w:rPr>
      </w:pPr>
      <w:r w:rsidRPr="00E92990">
        <w:rPr>
          <w:rFonts w:ascii="Lato" w:hAnsi="Lato"/>
          <w:lang w:val="en-AU"/>
        </w:rPr>
        <w:t>Sverdrup, H. U. (1947): Wind driven currents in a baroclinic ocean with application to the equatorial curren</w:t>
      </w:r>
      <w:r w:rsidR="005E47CD" w:rsidRPr="00E92990">
        <w:rPr>
          <w:rFonts w:ascii="Lato" w:hAnsi="Lato"/>
          <w:lang w:val="en-AU"/>
        </w:rPr>
        <w:t>ts of the eastern Pacific, Proceedings of the</w:t>
      </w:r>
      <w:r w:rsidRPr="00E92990">
        <w:rPr>
          <w:rFonts w:ascii="Lato" w:hAnsi="Lato"/>
          <w:lang w:val="en-AU"/>
        </w:rPr>
        <w:t xml:space="preserve"> Nat</w:t>
      </w:r>
      <w:r w:rsidR="005E47CD" w:rsidRPr="00E92990">
        <w:rPr>
          <w:rFonts w:ascii="Lato" w:hAnsi="Lato"/>
          <w:lang w:val="en-AU"/>
        </w:rPr>
        <w:t>ional</w:t>
      </w:r>
      <w:r w:rsidRPr="00E92990">
        <w:rPr>
          <w:rFonts w:ascii="Lato" w:hAnsi="Lato"/>
          <w:lang w:val="en-AU"/>
        </w:rPr>
        <w:t xml:space="preserve"> Acad</w:t>
      </w:r>
      <w:r w:rsidR="005E47CD" w:rsidRPr="00E92990">
        <w:rPr>
          <w:rFonts w:ascii="Lato" w:hAnsi="Lato"/>
          <w:lang w:val="en-AU"/>
        </w:rPr>
        <w:t>emy of Science</w:t>
      </w:r>
      <w:r w:rsidRPr="00E92990">
        <w:rPr>
          <w:rFonts w:ascii="Lato" w:hAnsi="Lato"/>
          <w:lang w:val="en-AU"/>
        </w:rPr>
        <w:t xml:space="preserve">, </w:t>
      </w:r>
      <w:r w:rsidRPr="00E92990">
        <w:rPr>
          <w:rFonts w:ascii="Lato" w:hAnsi="Lato"/>
          <w:b/>
          <w:bCs/>
          <w:lang w:val="en-AU"/>
        </w:rPr>
        <w:t>33</w:t>
      </w:r>
      <w:r w:rsidRPr="00E92990">
        <w:rPr>
          <w:rFonts w:ascii="Lato" w:hAnsi="Lato"/>
          <w:lang w:val="en-AU"/>
        </w:rPr>
        <w:t>, 318–326.</w:t>
      </w:r>
    </w:p>
    <w:p w14:paraId="4BD0C6F5" w14:textId="77777777" w:rsidR="00AB0958" w:rsidRPr="00E92990" w:rsidRDefault="00AB0958" w:rsidP="008235C5">
      <w:pPr>
        <w:autoSpaceDE w:val="0"/>
        <w:autoSpaceDN w:val="0"/>
        <w:adjustRightInd w:val="0"/>
        <w:spacing w:line="276" w:lineRule="auto"/>
        <w:ind w:right="6"/>
        <w:jc w:val="both"/>
        <w:rPr>
          <w:rFonts w:ascii="Lato" w:hAnsi="Lato"/>
          <w:lang w:val="en-AU"/>
        </w:rPr>
      </w:pPr>
    </w:p>
    <w:p w14:paraId="236D8B22" w14:textId="77777777" w:rsidR="00AB0958" w:rsidRPr="00E92990" w:rsidRDefault="00AB0958" w:rsidP="008235C5">
      <w:pPr>
        <w:autoSpaceDE w:val="0"/>
        <w:autoSpaceDN w:val="0"/>
        <w:adjustRightInd w:val="0"/>
        <w:spacing w:line="276" w:lineRule="auto"/>
        <w:ind w:right="6"/>
        <w:jc w:val="both"/>
        <w:rPr>
          <w:rFonts w:ascii="Lato" w:hAnsi="Lato"/>
          <w:lang w:val="en-AU"/>
        </w:rPr>
      </w:pPr>
      <w:r w:rsidRPr="00E92990">
        <w:rPr>
          <w:rFonts w:ascii="Lato" w:hAnsi="Lato"/>
          <w:lang w:val="en-AU"/>
        </w:rPr>
        <w:t xml:space="preserve">Thompson, </w:t>
      </w:r>
      <w:r w:rsidR="005E47CD" w:rsidRPr="00E92990">
        <w:rPr>
          <w:rFonts w:ascii="Lato" w:hAnsi="Lato"/>
          <w:lang w:val="en-AU"/>
        </w:rPr>
        <w:t>D.W. J., and S. Solomon (2002):</w:t>
      </w:r>
      <w:r w:rsidRPr="00E92990">
        <w:rPr>
          <w:rFonts w:ascii="Lato" w:hAnsi="Lato"/>
          <w:lang w:val="en-AU"/>
        </w:rPr>
        <w:t xml:space="preserve"> Interpretation of recent Southern Hemisphere climate change, Science, </w:t>
      </w:r>
      <w:r w:rsidRPr="00E92990">
        <w:rPr>
          <w:rFonts w:ascii="Lato" w:hAnsi="Lato"/>
          <w:b/>
          <w:bCs/>
          <w:lang w:val="en-AU"/>
        </w:rPr>
        <w:t>296</w:t>
      </w:r>
      <w:r w:rsidRPr="00E92990">
        <w:rPr>
          <w:rFonts w:ascii="Lato" w:hAnsi="Lato"/>
          <w:lang w:val="en-AU"/>
        </w:rPr>
        <w:t>, 895– 899.</w:t>
      </w:r>
    </w:p>
    <w:p w14:paraId="3C7F60EF" w14:textId="77777777" w:rsidR="00AB0958" w:rsidRPr="00E92990" w:rsidRDefault="00AB0958" w:rsidP="008235C5">
      <w:pPr>
        <w:autoSpaceDE w:val="0"/>
        <w:autoSpaceDN w:val="0"/>
        <w:adjustRightInd w:val="0"/>
        <w:spacing w:line="276" w:lineRule="auto"/>
        <w:ind w:right="6"/>
        <w:jc w:val="both"/>
        <w:rPr>
          <w:rFonts w:ascii="Lato" w:hAnsi="Lato"/>
          <w:lang w:val="en-AU"/>
        </w:rPr>
      </w:pPr>
    </w:p>
    <w:p w14:paraId="7DB67288" w14:textId="77777777" w:rsidR="00AB0958" w:rsidRPr="00E92990" w:rsidRDefault="00AB0958" w:rsidP="008235C5">
      <w:pPr>
        <w:spacing w:line="276" w:lineRule="auto"/>
        <w:ind w:right="6"/>
        <w:jc w:val="both"/>
        <w:rPr>
          <w:rStyle w:val="Emphasis"/>
          <w:rFonts w:ascii="Lato" w:hAnsi="Lato"/>
          <w:i w:val="0"/>
          <w:iCs w:val="0"/>
        </w:rPr>
      </w:pPr>
      <w:proofErr w:type="spellStart"/>
      <w:r w:rsidRPr="00E92990">
        <w:rPr>
          <w:rStyle w:val="Emphasis"/>
          <w:rFonts w:ascii="Lato" w:hAnsi="Lato"/>
          <w:i w:val="0"/>
          <w:iCs w:val="0"/>
        </w:rPr>
        <w:t>Uppala</w:t>
      </w:r>
      <w:proofErr w:type="spellEnd"/>
      <w:r w:rsidRPr="00E92990">
        <w:rPr>
          <w:rStyle w:val="Emphasis"/>
          <w:rFonts w:ascii="Lato" w:hAnsi="Lato"/>
          <w:i w:val="0"/>
          <w:iCs w:val="0"/>
        </w:rPr>
        <w:t xml:space="preserve">, S.M., </w:t>
      </w:r>
      <w:proofErr w:type="spellStart"/>
      <w:r w:rsidRPr="00E92990">
        <w:rPr>
          <w:rStyle w:val="Emphasis"/>
          <w:rFonts w:ascii="Lato" w:hAnsi="Lato"/>
          <w:i w:val="0"/>
          <w:iCs w:val="0"/>
        </w:rPr>
        <w:t>Kållberg</w:t>
      </w:r>
      <w:proofErr w:type="spellEnd"/>
      <w:r w:rsidRPr="00E92990">
        <w:rPr>
          <w:rStyle w:val="Emphasis"/>
          <w:rFonts w:ascii="Lato" w:hAnsi="Lato"/>
          <w:i w:val="0"/>
          <w:iCs w:val="0"/>
        </w:rPr>
        <w:t xml:space="preserve">, P.W., Simmons, A.J., Andrae, U., da Costa Bechtold, V., Fiorino, M., Gibson, J.K., </w:t>
      </w:r>
      <w:proofErr w:type="spellStart"/>
      <w:r w:rsidRPr="00E92990">
        <w:rPr>
          <w:rStyle w:val="Emphasis"/>
          <w:rFonts w:ascii="Lato" w:hAnsi="Lato"/>
          <w:i w:val="0"/>
          <w:iCs w:val="0"/>
        </w:rPr>
        <w:t>Haseler</w:t>
      </w:r>
      <w:proofErr w:type="spellEnd"/>
      <w:r w:rsidRPr="00E92990">
        <w:rPr>
          <w:rStyle w:val="Emphasis"/>
          <w:rFonts w:ascii="Lato" w:hAnsi="Lato"/>
          <w:i w:val="0"/>
          <w:iCs w:val="0"/>
        </w:rPr>
        <w:t xml:space="preserve">, J., Hernandez, A., Kelly, G.A., Li, X., </w:t>
      </w:r>
      <w:proofErr w:type="spellStart"/>
      <w:r w:rsidRPr="00E92990">
        <w:rPr>
          <w:rStyle w:val="Emphasis"/>
          <w:rFonts w:ascii="Lato" w:hAnsi="Lato"/>
          <w:i w:val="0"/>
          <w:iCs w:val="0"/>
        </w:rPr>
        <w:t>Onogi</w:t>
      </w:r>
      <w:proofErr w:type="spellEnd"/>
      <w:r w:rsidRPr="00E92990">
        <w:rPr>
          <w:rStyle w:val="Emphasis"/>
          <w:rFonts w:ascii="Lato" w:hAnsi="Lato"/>
          <w:i w:val="0"/>
          <w:iCs w:val="0"/>
        </w:rPr>
        <w:t xml:space="preserve">, K., Saarinen, S., </w:t>
      </w:r>
      <w:proofErr w:type="spellStart"/>
      <w:r w:rsidRPr="00E92990">
        <w:rPr>
          <w:rStyle w:val="Emphasis"/>
          <w:rFonts w:ascii="Lato" w:hAnsi="Lato"/>
          <w:i w:val="0"/>
          <w:iCs w:val="0"/>
        </w:rPr>
        <w:t>Sokka</w:t>
      </w:r>
      <w:proofErr w:type="spellEnd"/>
      <w:r w:rsidRPr="00E92990">
        <w:rPr>
          <w:rStyle w:val="Emphasis"/>
          <w:rFonts w:ascii="Lato" w:hAnsi="Lato"/>
          <w:i w:val="0"/>
          <w:iCs w:val="0"/>
        </w:rPr>
        <w:t xml:space="preserve">, N., Allan, R.P., Andersson, E., </w:t>
      </w:r>
      <w:proofErr w:type="spellStart"/>
      <w:r w:rsidRPr="00E92990">
        <w:rPr>
          <w:rStyle w:val="Emphasis"/>
          <w:rFonts w:ascii="Lato" w:hAnsi="Lato"/>
          <w:i w:val="0"/>
          <w:iCs w:val="0"/>
        </w:rPr>
        <w:t>Arpe</w:t>
      </w:r>
      <w:proofErr w:type="spellEnd"/>
      <w:r w:rsidRPr="00E92990">
        <w:rPr>
          <w:rStyle w:val="Emphasis"/>
          <w:rFonts w:ascii="Lato" w:hAnsi="Lato"/>
          <w:i w:val="0"/>
          <w:iCs w:val="0"/>
        </w:rPr>
        <w:t xml:space="preserve">, K., </w:t>
      </w:r>
      <w:proofErr w:type="spellStart"/>
      <w:r w:rsidRPr="00E92990">
        <w:rPr>
          <w:rStyle w:val="Emphasis"/>
          <w:rFonts w:ascii="Lato" w:hAnsi="Lato"/>
          <w:i w:val="0"/>
          <w:iCs w:val="0"/>
        </w:rPr>
        <w:t>Balmaseda</w:t>
      </w:r>
      <w:proofErr w:type="spellEnd"/>
      <w:r w:rsidRPr="00E92990">
        <w:rPr>
          <w:rStyle w:val="Emphasis"/>
          <w:rFonts w:ascii="Lato" w:hAnsi="Lato"/>
          <w:i w:val="0"/>
          <w:iCs w:val="0"/>
        </w:rPr>
        <w:t xml:space="preserve">, M.A., </w:t>
      </w:r>
      <w:proofErr w:type="spellStart"/>
      <w:r w:rsidRPr="00E92990">
        <w:rPr>
          <w:rStyle w:val="Emphasis"/>
          <w:rFonts w:ascii="Lato" w:hAnsi="Lato"/>
          <w:i w:val="0"/>
          <w:iCs w:val="0"/>
        </w:rPr>
        <w:t>Beljaars</w:t>
      </w:r>
      <w:proofErr w:type="spellEnd"/>
      <w:r w:rsidRPr="00E92990">
        <w:rPr>
          <w:rStyle w:val="Emphasis"/>
          <w:rFonts w:ascii="Lato" w:hAnsi="Lato"/>
          <w:i w:val="0"/>
          <w:iCs w:val="0"/>
        </w:rPr>
        <w:t xml:space="preserve">, A.C.M., van de Berg, L., </w:t>
      </w:r>
      <w:proofErr w:type="spellStart"/>
      <w:r w:rsidRPr="00E92990">
        <w:rPr>
          <w:rStyle w:val="Emphasis"/>
          <w:rFonts w:ascii="Lato" w:hAnsi="Lato"/>
          <w:i w:val="0"/>
          <w:iCs w:val="0"/>
        </w:rPr>
        <w:t>Bidlot</w:t>
      </w:r>
      <w:proofErr w:type="spellEnd"/>
      <w:r w:rsidRPr="00E92990">
        <w:rPr>
          <w:rStyle w:val="Emphasis"/>
          <w:rFonts w:ascii="Lato" w:hAnsi="Lato"/>
          <w:i w:val="0"/>
          <w:iCs w:val="0"/>
        </w:rPr>
        <w:t xml:space="preserve">, J., Bormann, N., </w:t>
      </w:r>
      <w:proofErr w:type="spellStart"/>
      <w:r w:rsidRPr="00E92990">
        <w:rPr>
          <w:rStyle w:val="Emphasis"/>
          <w:rFonts w:ascii="Lato" w:hAnsi="Lato"/>
          <w:i w:val="0"/>
          <w:iCs w:val="0"/>
        </w:rPr>
        <w:t>Caires</w:t>
      </w:r>
      <w:proofErr w:type="spellEnd"/>
      <w:r w:rsidRPr="00E92990">
        <w:rPr>
          <w:rStyle w:val="Emphasis"/>
          <w:rFonts w:ascii="Lato" w:hAnsi="Lato"/>
          <w:i w:val="0"/>
          <w:iCs w:val="0"/>
        </w:rPr>
        <w:t xml:space="preserve">, S., </w:t>
      </w:r>
      <w:proofErr w:type="spellStart"/>
      <w:r w:rsidRPr="00E92990">
        <w:rPr>
          <w:rStyle w:val="Emphasis"/>
          <w:rFonts w:ascii="Lato" w:hAnsi="Lato"/>
          <w:i w:val="0"/>
          <w:iCs w:val="0"/>
        </w:rPr>
        <w:t>Chevallier</w:t>
      </w:r>
      <w:proofErr w:type="spellEnd"/>
      <w:r w:rsidRPr="00E92990">
        <w:rPr>
          <w:rStyle w:val="Emphasis"/>
          <w:rFonts w:ascii="Lato" w:hAnsi="Lato"/>
          <w:i w:val="0"/>
          <w:iCs w:val="0"/>
        </w:rPr>
        <w:t xml:space="preserve">, F., </w:t>
      </w:r>
      <w:proofErr w:type="spellStart"/>
      <w:r w:rsidRPr="00E92990">
        <w:rPr>
          <w:rStyle w:val="Emphasis"/>
          <w:rFonts w:ascii="Lato" w:hAnsi="Lato"/>
          <w:i w:val="0"/>
          <w:iCs w:val="0"/>
        </w:rPr>
        <w:t>Dethof</w:t>
      </w:r>
      <w:proofErr w:type="spellEnd"/>
      <w:r w:rsidRPr="00E92990">
        <w:rPr>
          <w:rStyle w:val="Emphasis"/>
          <w:rFonts w:ascii="Lato" w:hAnsi="Lato"/>
          <w:i w:val="0"/>
          <w:iCs w:val="0"/>
        </w:rPr>
        <w:t xml:space="preserve">, A., </w:t>
      </w:r>
      <w:proofErr w:type="spellStart"/>
      <w:r w:rsidRPr="00E92990">
        <w:rPr>
          <w:rStyle w:val="Emphasis"/>
          <w:rFonts w:ascii="Lato" w:hAnsi="Lato"/>
          <w:i w:val="0"/>
          <w:iCs w:val="0"/>
        </w:rPr>
        <w:t>Dragosavac</w:t>
      </w:r>
      <w:proofErr w:type="spellEnd"/>
      <w:r w:rsidRPr="00E92990">
        <w:rPr>
          <w:rStyle w:val="Emphasis"/>
          <w:rFonts w:ascii="Lato" w:hAnsi="Lato"/>
          <w:i w:val="0"/>
          <w:iCs w:val="0"/>
        </w:rPr>
        <w:t xml:space="preserve">, M., Fisher, M., Fuentes, M., Hagemann, S., </w:t>
      </w:r>
      <w:proofErr w:type="spellStart"/>
      <w:r w:rsidRPr="00E92990">
        <w:rPr>
          <w:rStyle w:val="Emphasis"/>
          <w:rFonts w:ascii="Lato" w:hAnsi="Lato"/>
          <w:i w:val="0"/>
          <w:iCs w:val="0"/>
        </w:rPr>
        <w:t>Hólm</w:t>
      </w:r>
      <w:proofErr w:type="spellEnd"/>
      <w:r w:rsidRPr="00E92990">
        <w:rPr>
          <w:rStyle w:val="Emphasis"/>
          <w:rFonts w:ascii="Lato" w:hAnsi="Lato"/>
          <w:i w:val="0"/>
          <w:iCs w:val="0"/>
        </w:rPr>
        <w:t xml:space="preserve">, E., Hoskins, B.J., Isaksen, L., Janssen, P.A.E.M., </w:t>
      </w:r>
      <w:proofErr w:type="spellStart"/>
      <w:r w:rsidRPr="00E92990">
        <w:rPr>
          <w:rStyle w:val="Emphasis"/>
          <w:rFonts w:ascii="Lato" w:hAnsi="Lato"/>
          <w:i w:val="0"/>
          <w:iCs w:val="0"/>
        </w:rPr>
        <w:t>Jenne</w:t>
      </w:r>
      <w:proofErr w:type="spellEnd"/>
      <w:r w:rsidRPr="00E92990">
        <w:rPr>
          <w:rStyle w:val="Emphasis"/>
          <w:rFonts w:ascii="Lato" w:hAnsi="Lato"/>
          <w:i w:val="0"/>
          <w:iCs w:val="0"/>
        </w:rPr>
        <w:t xml:space="preserve">, R., McNally, A.P., </w:t>
      </w:r>
      <w:proofErr w:type="spellStart"/>
      <w:r w:rsidRPr="00E92990">
        <w:rPr>
          <w:rStyle w:val="Emphasis"/>
          <w:rFonts w:ascii="Lato" w:hAnsi="Lato"/>
          <w:i w:val="0"/>
          <w:iCs w:val="0"/>
        </w:rPr>
        <w:t>Mahfouf</w:t>
      </w:r>
      <w:proofErr w:type="spellEnd"/>
      <w:r w:rsidRPr="00E92990">
        <w:rPr>
          <w:rStyle w:val="Emphasis"/>
          <w:rFonts w:ascii="Lato" w:hAnsi="Lato"/>
          <w:i w:val="0"/>
          <w:iCs w:val="0"/>
        </w:rPr>
        <w:t xml:space="preserve">, J.-F., </w:t>
      </w:r>
      <w:proofErr w:type="spellStart"/>
      <w:r w:rsidRPr="00E92990">
        <w:rPr>
          <w:rStyle w:val="Emphasis"/>
          <w:rFonts w:ascii="Lato" w:hAnsi="Lato"/>
          <w:i w:val="0"/>
          <w:iCs w:val="0"/>
        </w:rPr>
        <w:t>Morcrette</w:t>
      </w:r>
      <w:proofErr w:type="spellEnd"/>
      <w:r w:rsidRPr="00E92990">
        <w:rPr>
          <w:rStyle w:val="Emphasis"/>
          <w:rFonts w:ascii="Lato" w:hAnsi="Lato"/>
          <w:i w:val="0"/>
          <w:iCs w:val="0"/>
        </w:rPr>
        <w:t xml:space="preserve">, J.-J., Rayner, N.A., Saunders, R.W., Simon, P., </w:t>
      </w:r>
      <w:proofErr w:type="spellStart"/>
      <w:r w:rsidRPr="00E92990">
        <w:rPr>
          <w:rStyle w:val="Emphasis"/>
          <w:rFonts w:ascii="Lato" w:hAnsi="Lato"/>
          <w:i w:val="0"/>
          <w:iCs w:val="0"/>
        </w:rPr>
        <w:t>Sterl</w:t>
      </w:r>
      <w:proofErr w:type="spellEnd"/>
      <w:r w:rsidRPr="00E92990">
        <w:rPr>
          <w:rStyle w:val="Emphasis"/>
          <w:rFonts w:ascii="Lato" w:hAnsi="Lato"/>
          <w:i w:val="0"/>
          <w:iCs w:val="0"/>
        </w:rPr>
        <w:t xml:space="preserve">, A., Trenberth, K.E., </w:t>
      </w:r>
      <w:proofErr w:type="spellStart"/>
      <w:r w:rsidRPr="00E92990">
        <w:rPr>
          <w:rStyle w:val="Emphasis"/>
          <w:rFonts w:ascii="Lato" w:hAnsi="Lato"/>
          <w:i w:val="0"/>
          <w:iCs w:val="0"/>
        </w:rPr>
        <w:t>Untch</w:t>
      </w:r>
      <w:proofErr w:type="spellEnd"/>
      <w:r w:rsidRPr="00E92990">
        <w:rPr>
          <w:rStyle w:val="Emphasis"/>
          <w:rFonts w:ascii="Lato" w:hAnsi="Lato"/>
          <w:i w:val="0"/>
          <w:iCs w:val="0"/>
        </w:rPr>
        <w:t xml:space="preserve">, A., Vasiljevic, D., </w:t>
      </w:r>
      <w:proofErr w:type="spellStart"/>
      <w:r w:rsidRPr="00E92990">
        <w:rPr>
          <w:rStyle w:val="Emphasis"/>
          <w:rFonts w:ascii="Lato" w:hAnsi="Lato"/>
          <w:i w:val="0"/>
          <w:iCs w:val="0"/>
        </w:rPr>
        <w:t>Viterbo</w:t>
      </w:r>
      <w:proofErr w:type="spellEnd"/>
      <w:r w:rsidRPr="00E92990">
        <w:rPr>
          <w:rStyle w:val="Emphasis"/>
          <w:rFonts w:ascii="Lato" w:hAnsi="Lato"/>
          <w:i w:val="0"/>
          <w:iCs w:val="0"/>
        </w:rPr>
        <w:t xml:space="preserve">, P., and </w:t>
      </w:r>
      <w:proofErr w:type="spellStart"/>
      <w:r w:rsidRPr="00E92990">
        <w:rPr>
          <w:rStyle w:val="Emphasis"/>
          <w:rFonts w:ascii="Lato" w:hAnsi="Lato"/>
          <w:i w:val="0"/>
          <w:iCs w:val="0"/>
        </w:rPr>
        <w:t>Woollen</w:t>
      </w:r>
      <w:proofErr w:type="spellEnd"/>
      <w:r w:rsidRPr="00E92990">
        <w:rPr>
          <w:rStyle w:val="Emphasis"/>
          <w:rFonts w:ascii="Lato" w:hAnsi="Lato"/>
          <w:i w:val="0"/>
          <w:iCs w:val="0"/>
        </w:rPr>
        <w:t>, J. 2005</w:t>
      </w:r>
      <w:r w:rsidR="005E47CD" w:rsidRPr="00E92990">
        <w:rPr>
          <w:rStyle w:val="Emphasis"/>
          <w:rFonts w:ascii="Lato" w:hAnsi="Lato"/>
          <w:i w:val="0"/>
          <w:iCs w:val="0"/>
        </w:rPr>
        <w:t>: The ERA-40 re-analysis. Quarterly Journal of the Royal Meteorological Society</w:t>
      </w:r>
      <w:r w:rsidRPr="00E92990">
        <w:rPr>
          <w:rStyle w:val="Emphasis"/>
          <w:rFonts w:ascii="Lato" w:hAnsi="Lato"/>
          <w:i w:val="0"/>
          <w:iCs w:val="0"/>
        </w:rPr>
        <w:t xml:space="preserve">, </w:t>
      </w:r>
      <w:r w:rsidRPr="00E92990">
        <w:rPr>
          <w:rStyle w:val="Emphasis"/>
          <w:rFonts w:ascii="Lato" w:hAnsi="Lato"/>
          <w:b/>
          <w:i w:val="0"/>
          <w:iCs w:val="0"/>
        </w:rPr>
        <w:t>131,</w:t>
      </w:r>
      <w:r w:rsidRPr="00E92990">
        <w:rPr>
          <w:rStyle w:val="Emphasis"/>
          <w:rFonts w:ascii="Lato" w:hAnsi="Lato"/>
          <w:i w:val="0"/>
          <w:iCs w:val="0"/>
        </w:rPr>
        <w:t xml:space="preserve"> 2961-3012.</w:t>
      </w:r>
    </w:p>
    <w:p w14:paraId="5B54D712" w14:textId="77777777" w:rsidR="00AB0958" w:rsidRPr="00E92990" w:rsidRDefault="00AB0958" w:rsidP="008235C5">
      <w:pPr>
        <w:autoSpaceDE w:val="0"/>
        <w:autoSpaceDN w:val="0"/>
        <w:adjustRightInd w:val="0"/>
        <w:spacing w:line="276" w:lineRule="auto"/>
        <w:ind w:right="6"/>
        <w:jc w:val="both"/>
        <w:rPr>
          <w:rFonts w:ascii="Lato" w:hAnsi="Lato"/>
          <w:lang w:val="en-AU"/>
        </w:rPr>
      </w:pPr>
    </w:p>
    <w:p w14:paraId="60CBBD8E" w14:textId="77777777" w:rsidR="00AB0958" w:rsidRPr="00E92990" w:rsidRDefault="00AB0958" w:rsidP="008235C5">
      <w:pPr>
        <w:spacing w:line="276" w:lineRule="auto"/>
        <w:ind w:right="6"/>
        <w:jc w:val="both"/>
        <w:rPr>
          <w:rFonts w:ascii="Lato" w:hAnsi="Lato"/>
          <w:lang w:val="en-AU"/>
        </w:rPr>
      </w:pPr>
      <w:proofErr w:type="spellStart"/>
      <w:r w:rsidRPr="00E92990">
        <w:rPr>
          <w:rFonts w:ascii="Lato" w:hAnsi="Lato"/>
          <w:lang w:val="en-AU"/>
        </w:rPr>
        <w:t>Xie</w:t>
      </w:r>
      <w:proofErr w:type="spellEnd"/>
      <w:r w:rsidRPr="00E92990">
        <w:rPr>
          <w:rFonts w:ascii="Lato" w:hAnsi="Lato"/>
          <w:lang w:val="en-AU"/>
        </w:rPr>
        <w:t>, P., and P. A. Arkin (1996): Analysis of global monthly precipitation using gauge observations, satellite estimates, and</w:t>
      </w:r>
      <w:r w:rsidR="005E47CD" w:rsidRPr="00E92990">
        <w:rPr>
          <w:rFonts w:ascii="Lato" w:hAnsi="Lato"/>
          <w:lang w:val="en-AU"/>
        </w:rPr>
        <w:t xml:space="preserve"> numerical model predictions. Journal of</w:t>
      </w:r>
      <w:r w:rsidRPr="00E92990">
        <w:rPr>
          <w:rFonts w:ascii="Lato" w:hAnsi="Lato"/>
          <w:lang w:val="en-AU"/>
        </w:rPr>
        <w:t xml:space="preserve"> Climate, </w:t>
      </w:r>
      <w:r w:rsidRPr="00E92990">
        <w:rPr>
          <w:rFonts w:ascii="Lato" w:hAnsi="Lato"/>
          <w:b/>
          <w:bCs/>
          <w:lang w:val="en-AU"/>
        </w:rPr>
        <w:t>9</w:t>
      </w:r>
      <w:r w:rsidRPr="00E92990">
        <w:rPr>
          <w:rFonts w:ascii="Lato" w:hAnsi="Lato"/>
          <w:lang w:val="en-AU"/>
        </w:rPr>
        <w:t>, 840-858.</w:t>
      </w:r>
    </w:p>
    <w:sectPr w:rsidR="00AB0958" w:rsidRPr="00E92990" w:rsidSect="00AB0958">
      <w:footerReference w:type="even" r:id="rId21"/>
      <w:footerReference w:type="default" r:id="rId22"/>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148E" w14:textId="77777777" w:rsidR="006608E6" w:rsidRDefault="006608E6">
      <w:r>
        <w:separator/>
      </w:r>
    </w:p>
  </w:endnote>
  <w:endnote w:type="continuationSeparator" w:id="0">
    <w:p w14:paraId="5D0ACBCC" w14:textId="77777777" w:rsidR="006608E6" w:rsidRDefault="0066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ato">
    <w:charset w:val="00"/>
    <w:family w:val="swiss"/>
    <w:pitch w:val="variable"/>
    <w:sig w:usb0="E10002FF" w:usb1="5000ECFF" w:usb2="00000021" w:usb3="00000000" w:csb0="0000019F" w:csb1="00000000"/>
  </w:font>
  <w:font w:name="CMR1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335A" w14:textId="77777777" w:rsidR="009A1D58" w:rsidRDefault="009A1D58" w:rsidP="00AB0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BCCC1" w14:textId="77777777" w:rsidR="009A1D58" w:rsidRDefault="009A1D58" w:rsidP="00AB09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FAEF" w14:textId="77777777" w:rsidR="009A1D58" w:rsidRDefault="009A1D58" w:rsidP="00AB0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43A2">
      <w:rPr>
        <w:rStyle w:val="PageNumber"/>
        <w:noProof/>
      </w:rPr>
      <w:t>1</w:t>
    </w:r>
    <w:r>
      <w:rPr>
        <w:rStyle w:val="PageNumber"/>
      </w:rPr>
      <w:fldChar w:fldCharType="end"/>
    </w:r>
  </w:p>
  <w:p w14:paraId="039069DC" w14:textId="77777777" w:rsidR="009A1D58" w:rsidRDefault="009A1D58" w:rsidP="00AB09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6250" w14:textId="77777777" w:rsidR="006608E6" w:rsidRDefault="006608E6">
      <w:r>
        <w:separator/>
      </w:r>
    </w:p>
  </w:footnote>
  <w:footnote w:type="continuationSeparator" w:id="0">
    <w:p w14:paraId="2F61BF17" w14:textId="77777777" w:rsidR="006608E6" w:rsidRDefault="00660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E09"/>
    <w:multiLevelType w:val="hybridMultilevel"/>
    <w:tmpl w:val="F8BE25BC"/>
    <w:lvl w:ilvl="0" w:tplc="D4E29594">
      <w:start w:val="2"/>
      <w:numFmt w:val="decimal"/>
      <w:lvlText w:val="%1."/>
      <w:lvlJc w:val="left"/>
      <w:pPr>
        <w:tabs>
          <w:tab w:val="num" w:pos="420"/>
        </w:tabs>
        <w:ind w:left="420" w:hanging="360"/>
      </w:pPr>
      <w:rPr>
        <w:rFonts w:hint="default"/>
        <w:b/>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1" w15:restartNumberingAfterBreak="0">
    <w:nsid w:val="203C5B04"/>
    <w:multiLevelType w:val="hybridMultilevel"/>
    <w:tmpl w:val="204AF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C75FF7"/>
    <w:multiLevelType w:val="hybridMultilevel"/>
    <w:tmpl w:val="50227C60"/>
    <w:lvl w:ilvl="0" w:tplc="82244722">
      <w:start w:val="2"/>
      <w:numFmt w:val="decimal"/>
      <w:lvlText w:val="%1."/>
      <w:lvlJc w:val="left"/>
      <w:pPr>
        <w:tabs>
          <w:tab w:val="num" w:pos="420"/>
        </w:tabs>
        <w:ind w:left="420" w:hanging="360"/>
      </w:pPr>
      <w:rPr>
        <w:rFonts w:hint="default"/>
        <w:b/>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3" w15:restartNumberingAfterBreak="0">
    <w:nsid w:val="332A10A2"/>
    <w:multiLevelType w:val="hybridMultilevel"/>
    <w:tmpl w:val="99A827DC"/>
    <w:lvl w:ilvl="0" w:tplc="D7E299E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6FD45574"/>
    <w:multiLevelType w:val="hybridMultilevel"/>
    <w:tmpl w:val="E52E9AF2"/>
    <w:lvl w:ilvl="0" w:tplc="BD2CFAB0">
      <w:start w:val="2"/>
      <w:numFmt w:val="decimal"/>
      <w:lvlText w:val="%1."/>
      <w:lvlJc w:val="left"/>
      <w:pPr>
        <w:tabs>
          <w:tab w:val="num" w:pos="420"/>
        </w:tabs>
        <w:ind w:left="420" w:hanging="360"/>
      </w:pPr>
      <w:rPr>
        <w:rFonts w:hint="default"/>
        <w:b/>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58"/>
    <w:rsid w:val="0000466E"/>
    <w:rsid w:val="000465B2"/>
    <w:rsid w:val="000D43A2"/>
    <w:rsid w:val="001029E0"/>
    <w:rsid w:val="002B4C51"/>
    <w:rsid w:val="00347E1B"/>
    <w:rsid w:val="0040772F"/>
    <w:rsid w:val="004262A6"/>
    <w:rsid w:val="00440FFA"/>
    <w:rsid w:val="004B6594"/>
    <w:rsid w:val="004E6869"/>
    <w:rsid w:val="00551B1D"/>
    <w:rsid w:val="00576AE1"/>
    <w:rsid w:val="005D1DD7"/>
    <w:rsid w:val="005E47CD"/>
    <w:rsid w:val="00627924"/>
    <w:rsid w:val="006608E6"/>
    <w:rsid w:val="006B212F"/>
    <w:rsid w:val="006E7450"/>
    <w:rsid w:val="00737267"/>
    <w:rsid w:val="007A513F"/>
    <w:rsid w:val="008235C5"/>
    <w:rsid w:val="008632E4"/>
    <w:rsid w:val="008C3C7C"/>
    <w:rsid w:val="008D6937"/>
    <w:rsid w:val="00934427"/>
    <w:rsid w:val="009A1D58"/>
    <w:rsid w:val="009B35D5"/>
    <w:rsid w:val="009C34A8"/>
    <w:rsid w:val="00A4390E"/>
    <w:rsid w:val="00AB0958"/>
    <w:rsid w:val="00B27EF9"/>
    <w:rsid w:val="00B40CCA"/>
    <w:rsid w:val="00B86440"/>
    <w:rsid w:val="00C14CFA"/>
    <w:rsid w:val="00CF3191"/>
    <w:rsid w:val="00DA6A34"/>
    <w:rsid w:val="00DD2C55"/>
    <w:rsid w:val="00E20E7A"/>
    <w:rsid w:val="00E92990"/>
    <w:rsid w:val="00F15B12"/>
    <w:rsid w:val="00F33BD9"/>
    <w:rsid w:val="00FE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F51DF"/>
  <w15:chartTrackingRefBased/>
  <w15:docId w15:val="{490DA111-FA7C-413A-AD1C-4195519F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958"/>
    <w:rPr>
      <w:rFonts w:eastAsia="SimSun"/>
      <w:sz w:val="24"/>
      <w:szCs w:val="24"/>
      <w:lang w:eastAsia="zh-CN"/>
    </w:rPr>
  </w:style>
  <w:style w:type="paragraph" w:styleId="Heading1">
    <w:name w:val="heading 1"/>
    <w:basedOn w:val="Normal"/>
    <w:next w:val="Normal"/>
    <w:link w:val="Heading1Char"/>
    <w:qFormat/>
    <w:rsid w:val="004B659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E6869"/>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tyleBoldHelvetica12pt">
    <w:name w:val="Style Bold + Helvetica 12 pt"/>
    <w:rsid w:val="0040772F"/>
    <w:rPr>
      <w:rFonts w:ascii="Times New Roman" w:hAnsi="Times New Roman"/>
      <w:b/>
      <w:bCs/>
      <w:sz w:val="24"/>
      <w:u w:val="none"/>
      <w:bdr w:val="none" w:sz="0" w:space="0" w:color="auto"/>
    </w:rPr>
  </w:style>
  <w:style w:type="paragraph" w:styleId="BodyText">
    <w:name w:val="Body Text"/>
    <w:basedOn w:val="Normal"/>
    <w:rsid w:val="00AB0958"/>
    <w:pPr>
      <w:spacing w:after="120"/>
    </w:pPr>
    <w:rPr>
      <w:rFonts w:eastAsia="Times New Roman"/>
      <w:lang w:val="en-AU" w:eastAsia="en-AU"/>
    </w:rPr>
  </w:style>
  <w:style w:type="paragraph" w:styleId="Footer">
    <w:name w:val="footer"/>
    <w:basedOn w:val="Normal"/>
    <w:rsid w:val="00AB0958"/>
    <w:pPr>
      <w:tabs>
        <w:tab w:val="center" w:pos="4320"/>
        <w:tab w:val="right" w:pos="8640"/>
      </w:tabs>
    </w:pPr>
  </w:style>
  <w:style w:type="character" w:styleId="PageNumber">
    <w:name w:val="page number"/>
    <w:basedOn w:val="DefaultParagraphFont"/>
    <w:rsid w:val="00AB0958"/>
  </w:style>
  <w:style w:type="character" w:styleId="Hyperlink">
    <w:name w:val="Hyperlink"/>
    <w:rsid w:val="00AB0958"/>
    <w:rPr>
      <w:color w:val="0000FF"/>
      <w:u w:val="single"/>
    </w:rPr>
  </w:style>
  <w:style w:type="character" w:styleId="Emphasis">
    <w:name w:val="Emphasis"/>
    <w:qFormat/>
    <w:rsid w:val="00AB0958"/>
    <w:rPr>
      <w:i/>
      <w:iCs/>
    </w:rPr>
  </w:style>
  <w:style w:type="paragraph" w:styleId="PlainText">
    <w:name w:val="Plain Text"/>
    <w:basedOn w:val="Normal"/>
    <w:rsid w:val="00AB0958"/>
    <w:rPr>
      <w:rFonts w:ascii="Courier New" w:eastAsia="Times New Roman" w:hAnsi="Courier New" w:cs="Courier New"/>
      <w:sz w:val="20"/>
      <w:szCs w:val="20"/>
      <w:lang w:val="en-AU" w:eastAsia="en-AU"/>
    </w:rPr>
  </w:style>
  <w:style w:type="character" w:customStyle="1" w:styleId="Heading1Char">
    <w:name w:val="Heading 1 Char"/>
    <w:link w:val="Heading1"/>
    <w:rsid w:val="004B6594"/>
    <w:rPr>
      <w:rFonts w:ascii="Arial" w:eastAsia="SimSun" w:hAnsi="Arial" w:cs="Arial"/>
      <w:b/>
      <w:bCs/>
      <w:kern w:val="32"/>
      <w:sz w:val="32"/>
      <w:szCs w:val="32"/>
      <w:lang w:val="en-US" w:eastAsia="zh-CN" w:bidi="ar-SA"/>
    </w:rPr>
  </w:style>
  <w:style w:type="paragraph" w:styleId="TOC1">
    <w:name w:val="toc 1"/>
    <w:basedOn w:val="Normal"/>
    <w:next w:val="Normal"/>
    <w:autoRedefine/>
    <w:semiHidden/>
    <w:rsid w:val="004E6869"/>
  </w:style>
  <w:style w:type="paragraph" w:styleId="TOC2">
    <w:name w:val="toc 2"/>
    <w:basedOn w:val="Normal"/>
    <w:next w:val="Normal"/>
    <w:autoRedefine/>
    <w:semiHidden/>
    <w:rsid w:val="00440FFA"/>
    <w:pPr>
      <w:ind w:left="240"/>
    </w:pPr>
  </w:style>
  <w:style w:type="paragraph" w:customStyle="1" w:styleId="Default">
    <w:name w:val="Default"/>
    <w:rsid w:val="000D43A2"/>
    <w:pPr>
      <w:autoSpaceDE w:val="0"/>
      <w:autoSpaceDN w:val="0"/>
      <w:adjustRightInd w:val="0"/>
    </w:pPr>
    <w:rPr>
      <w:rFonts w:ascii="Arial" w:hAnsi="Arial"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Technical Report</vt:lpstr>
    </vt:vector>
  </TitlesOfParts>
  <Company>USQ</Company>
  <LinksUpToDate>false</LinksUpToDate>
  <CharactersWithSpaces>17721</CharactersWithSpaces>
  <SharedDoc>false</SharedDoc>
  <HLinks>
    <vt:vector size="60" baseType="variant">
      <vt:variant>
        <vt:i4>2031665</vt:i4>
      </vt:variant>
      <vt:variant>
        <vt:i4>56</vt:i4>
      </vt:variant>
      <vt:variant>
        <vt:i4>0</vt:i4>
      </vt:variant>
      <vt:variant>
        <vt:i4>5</vt:i4>
      </vt:variant>
      <vt:variant>
        <vt:lpwstr/>
      </vt:variant>
      <vt:variant>
        <vt:lpwstr>_Toc157957232</vt:lpwstr>
      </vt:variant>
      <vt:variant>
        <vt:i4>2031665</vt:i4>
      </vt:variant>
      <vt:variant>
        <vt:i4>50</vt:i4>
      </vt:variant>
      <vt:variant>
        <vt:i4>0</vt:i4>
      </vt:variant>
      <vt:variant>
        <vt:i4>5</vt:i4>
      </vt:variant>
      <vt:variant>
        <vt:lpwstr/>
      </vt:variant>
      <vt:variant>
        <vt:lpwstr>_Toc157957231</vt:lpwstr>
      </vt:variant>
      <vt:variant>
        <vt:i4>2031665</vt:i4>
      </vt:variant>
      <vt:variant>
        <vt:i4>44</vt:i4>
      </vt:variant>
      <vt:variant>
        <vt:i4>0</vt:i4>
      </vt:variant>
      <vt:variant>
        <vt:i4>5</vt:i4>
      </vt:variant>
      <vt:variant>
        <vt:lpwstr/>
      </vt:variant>
      <vt:variant>
        <vt:lpwstr>_Toc157957230</vt:lpwstr>
      </vt:variant>
      <vt:variant>
        <vt:i4>1966129</vt:i4>
      </vt:variant>
      <vt:variant>
        <vt:i4>38</vt:i4>
      </vt:variant>
      <vt:variant>
        <vt:i4>0</vt:i4>
      </vt:variant>
      <vt:variant>
        <vt:i4>5</vt:i4>
      </vt:variant>
      <vt:variant>
        <vt:lpwstr/>
      </vt:variant>
      <vt:variant>
        <vt:lpwstr>_Toc157957229</vt:lpwstr>
      </vt:variant>
      <vt:variant>
        <vt:i4>1966129</vt:i4>
      </vt:variant>
      <vt:variant>
        <vt:i4>32</vt:i4>
      </vt:variant>
      <vt:variant>
        <vt:i4>0</vt:i4>
      </vt:variant>
      <vt:variant>
        <vt:i4>5</vt:i4>
      </vt:variant>
      <vt:variant>
        <vt:lpwstr/>
      </vt:variant>
      <vt:variant>
        <vt:lpwstr>_Toc157957228</vt:lpwstr>
      </vt:variant>
      <vt:variant>
        <vt:i4>1966129</vt:i4>
      </vt:variant>
      <vt:variant>
        <vt:i4>26</vt:i4>
      </vt:variant>
      <vt:variant>
        <vt:i4>0</vt:i4>
      </vt:variant>
      <vt:variant>
        <vt:i4>5</vt:i4>
      </vt:variant>
      <vt:variant>
        <vt:lpwstr/>
      </vt:variant>
      <vt:variant>
        <vt:lpwstr>_Toc157957227</vt:lpwstr>
      </vt:variant>
      <vt:variant>
        <vt:i4>1966129</vt:i4>
      </vt:variant>
      <vt:variant>
        <vt:i4>20</vt:i4>
      </vt:variant>
      <vt:variant>
        <vt:i4>0</vt:i4>
      </vt:variant>
      <vt:variant>
        <vt:i4>5</vt:i4>
      </vt:variant>
      <vt:variant>
        <vt:lpwstr/>
      </vt:variant>
      <vt:variant>
        <vt:lpwstr>_Toc157957226</vt:lpwstr>
      </vt:variant>
      <vt:variant>
        <vt:i4>1966129</vt:i4>
      </vt:variant>
      <vt:variant>
        <vt:i4>14</vt:i4>
      </vt:variant>
      <vt:variant>
        <vt:i4>0</vt:i4>
      </vt:variant>
      <vt:variant>
        <vt:i4>5</vt:i4>
      </vt:variant>
      <vt:variant>
        <vt:lpwstr/>
      </vt:variant>
      <vt:variant>
        <vt:lpwstr>_Toc157957225</vt:lpwstr>
      </vt:variant>
      <vt:variant>
        <vt:i4>1966129</vt:i4>
      </vt:variant>
      <vt:variant>
        <vt:i4>8</vt:i4>
      </vt:variant>
      <vt:variant>
        <vt:i4>0</vt:i4>
      </vt:variant>
      <vt:variant>
        <vt:i4>5</vt:i4>
      </vt:variant>
      <vt:variant>
        <vt:lpwstr/>
      </vt:variant>
      <vt:variant>
        <vt:lpwstr>_Toc157957224</vt:lpwstr>
      </vt:variant>
      <vt:variant>
        <vt:i4>1966129</vt:i4>
      </vt:variant>
      <vt:variant>
        <vt:i4>2</vt:i4>
      </vt:variant>
      <vt:variant>
        <vt:i4>0</vt:i4>
      </vt:variant>
      <vt:variant>
        <vt:i4>5</vt:i4>
      </vt:variant>
      <vt:variant>
        <vt:lpwstr/>
      </vt:variant>
      <vt:variant>
        <vt:lpwstr>_Toc157957223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dc:title>
  <dc:subject/>
  <dc:creator>ribbe</dc:creator>
  <cp:keywords/>
  <dc:description/>
  <cp:lastModifiedBy>Dell</cp:lastModifiedBy>
  <cp:revision>2</cp:revision>
  <cp:lastPrinted>2007-01-31T18:18:00Z</cp:lastPrinted>
  <dcterms:created xsi:type="dcterms:W3CDTF">2022-03-18T15:43:00Z</dcterms:created>
  <dcterms:modified xsi:type="dcterms:W3CDTF">2022-03-18T15:43:00Z</dcterms:modified>
</cp:coreProperties>
</file>