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3C72C5" w14:textId="77777777" w:rsidR="00E20D71" w:rsidRPr="00E96462" w:rsidRDefault="00E96462" w:rsidP="00E96462">
      <w:pPr>
        <w:spacing w:line="276" w:lineRule="auto"/>
        <w:jc w:val="center"/>
        <w:rPr>
          <w:rFonts w:ascii="Century Gothic" w:eastAsia="Cambria" w:hAnsi="Century Gothic"/>
          <w:b/>
          <w:sz w:val="36"/>
          <w:szCs w:val="36"/>
          <w:u w:val="single"/>
        </w:rPr>
      </w:pPr>
      <w:bookmarkStart w:id="0" w:name="page1"/>
      <w:bookmarkEnd w:id="0"/>
      <w:r w:rsidRPr="00E96462">
        <w:rPr>
          <w:rFonts w:ascii="Century Gothic" w:eastAsia="Cambria" w:hAnsi="Century Gothic"/>
          <w:b/>
          <w:sz w:val="36"/>
          <w:szCs w:val="36"/>
          <w:u w:val="single"/>
        </w:rPr>
        <w:t>TERM SHEET FOR FINANCING OF COMPANY, LLC,</w:t>
      </w:r>
    </w:p>
    <w:p w14:paraId="590BDBFD" w14:textId="77777777" w:rsidR="00E20D71" w:rsidRPr="00AD14A0" w:rsidRDefault="00E20D71" w:rsidP="00E96462">
      <w:pPr>
        <w:spacing w:line="276" w:lineRule="auto"/>
        <w:rPr>
          <w:rFonts w:ascii="Century Gothic" w:eastAsia="Times New Roman" w:hAnsi="Century Gothic"/>
          <w:sz w:val="36"/>
          <w:szCs w:val="28"/>
        </w:rPr>
      </w:pPr>
      <w:bookmarkStart w:id="1" w:name="_GoBack"/>
      <w:bookmarkEnd w:id="1"/>
    </w:p>
    <w:p w14:paraId="37034C75"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Amount to be Raised:</w:t>
      </w:r>
    </w:p>
    <w:p w14:paraId="1498EC4A" w14:textId="77777777" w:rsidR="00E20D71" w:rsidRPr="00E96462" w:rsidRDefault="00FB5EB4" w:rsidP="00E96462">
      <w:pPr>
        <w:spacing w:line="276" w:lineRule="auto"/>
        <w:rPr>
          <w:rFonts w:ascii="Century Gothic" w:eastAsia="Cambria" w:hAnsi="Century Gothic"/>
          <w:sz w:val="24"/>
          <w:szCs w:val="24"/>
        </w:rPr>
      </w:pPr>
      <w:r w:rsidRPr="00E96462">
        <w:rPr>
          <w:rFonts w:ascii="Century Gothic" w:eastAsia="Cambria" w:hAnsi="Century Gothic"/>
          <w:sz w:val="24"/>
          <w:szCs w:val="24"/>
        </w:rPr>
        <w:t>Up to $500,000 (the “Total Offering Amount”).</w:t>
      </w:r>
    </w:p>
    <w:p w14:paraId="49AD86CF" w14:textId="77777777" w:rsidR="00E20D71" w:rsidRPr="00E96462" w:rsidRDefault="00E20D71" w:rsidP="00E96462">
      <w:pPr>
        <w:spacing w:line="276" w:lineRule="auto"/>
        <w:rPr>
          <w:rFonts w:ascii="Century Gothic" w:eastAsia="Times New Roman" w:hAnsi="Century Gothic"/>
          <w:sz w:val="24"/>
        </w:rPr>
      </w:pPr>
    </w:p>
    <w:p w14:paraId="21198852"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Type of Security</w:t>
      </w:r>
    </w:p>
    <w:p w14:paraId="6B8F7273" w14:textId="77777777" w:rsidR="00E20D71" w:rsidRPr="00E96462" w:rsidRDefault="00FB5EB4" w:rsidP="00E96462">
      <w:pPr>
        <w:spacing w:line="276" w:lineRule="auto"/>
        <w:ind w:right="100"/>
        <w:rPr>
          <w:rFonts w:ascii="Century Gothic" w:eastAsia="Cambria" w:hAnsi="Century Gothic"/>
          <w:sz w:val="24"/>
          <w:szCs w:val="24"/>
        </w:rPr>
      </w:pPr>
      <w:r w:rsidRPr="00E96462">
        <w:rPr>
          <w:rFonts w:ascii="Century Gothic" w:eastAsia="Cambria" w:hAnsi="Century Gothic"/>
          <w:sz w:val="24"/>
          <w:szCs w:val="24"/>
        </w:rPr>
        <w:t>Common Units as described in greater detail in the Operating Agreement of the Company, a copy of which has been provided to each subscriber.</w:t>
      </w:r>
    </w:p>
    <w:p w14:paraId="79269C9C" w14:textId="77777777" w:rsidR="00E20D71" w:rsidRPr="00E96462" w:rsidRDefault="00E20D71" w:rsidP="00E96462">
      <w:pPr>
        <w:spacing w:line="276" w:lineRule="auto"/>
        <w:rPr>
          <w:rFonts w:ascii="Century Gothic" w:eastAsia="Times New Roman" w:hAnsi="Century Gothic"/>
          <w:sz w:val="24"/>
        </w:rPr>
      </w:pPr>
    </w:p>
    <w:p w14:paraId="5953102B" w14:textId="77777777" w:rsidR="00E20D71" w:rsidRPr="00E96462" w:rsidRDefault="00FB5EB4" w:rsidP="00E96462">
      <w:pPr>
        <w:spacing w:line="276" w:lineRule="auto"/>
        <w:rPr>
          <w:rFonts w:ascii="Century Gothic" w:eastAsia="Cambria" w:hAnsi="Century Gothic"/>
          <w:b/>
          <w:sz w:val="22"/>
        </w:rPr>
      </w:pPr>
      <w:r w:rsidRPr="00E96462">
        <w:rPr>
          <w:rFonts w:ascii="Century Gothic" w:eastAsia="Cambria" w:hAnsi="Century Gothic"/>
          <w:b/>
          <w:sz w:val="28"/>
          <w:szCs w:val="28"/>
        </w:rPr>
        <w:t>Price and Minimum Subscription</w:t>
      </w:r>
      <w:r w:rsidRPr="00E96462">
        <w:rPr>
          <w:rFonts w:ascii="Century Gothic" w:eastAsia="Cambria" w:hAnsi="Century Gothic"/>
          <w:b/>
          <w:sz w:val="22"/>
        </w:rPr>
        <w:t>:</w:t>
      </w:r>
    </w:p>
    <w:p w14:paraId="62A0396E" w14:textId="77777777" w:rsidR="00E20D71" w:rsidRPr="00E96462" w:rsidRDefault="00FB5EB4" w:rsidP="00E96462">
      <w:pPr>
        <w:spacing w:line="276" w:lineRule="auto"/>
        <w:ind w:right="1040"/>
        <w:rPr>
          <w:rFonts w:ascii="Century Gothic" w:eastAsia="Cambria" w:hAnsi="Century Gothic"/>
          <w:sz w:val="24"/>
          <w:szCs w:val="24"/>
        </w:rPr>
      </w:pPr>
      <w:r w:rsidRPr="00E96462">
        <w:rPr>
          <w:rFonts w:ascii="Century Gothic" w:eastAsia="Cambria" w:hAnsi="Century Gothic"/>
          <w:sz w:val="24"/>
          <w:szCs w:val="24"/>
        </w:rPr>
        <w:t>$2,000 per Common Unit, with a minimum subscription of 12.5 Units ($25,000 minimum subscription).</w:t>
      </w:r>
    </w:p>
    <w:p w14:paraId="37C81BCF" w14:textId="77777777" w:rsidR="00E20D71" w:rsidRPr="00E96462" w:rsidRDefault="00E20D71" w:rsidP="00E96462">
      <w:pPr>
        <w:spacing w:line="276" w:lineRule="auto"/>
        <w:rPr>
          <w:rFonts w:ascii="Century Gothic" w:eastAsia="Times New Roman" w:hAnsi="Century Gothic"/>
          <w:sz w:val="24"/>
        </w:rPr>
      </w:pPr>
    </w:p>
    <w:p w14:paraId="12DFAECA"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Capitalization:</w:t>
      </w:r>
    </w:p>
    <w:p w14:paraId="2A414603" w14:textId="77777777" w:rsidR="00E20D71" w:rsidRPr="00E96462" w:rsidRDefault="00FB5EB4" w:rsidP="00E96462">
      <w:pPr>
        <w:spacing w:line="276" w:lineRule="auto"/>
        <w:ind w:right="240"/>
        <w:rPr>
          <w:rFonts w:ascii="Century Gothic" w:eastAsia="Cambria" w:hAnsi="Century Gothic"/>
          <w:sz w:val="24"/>
          <w:szCs w:val="24"/>
        </w:rPr>
      </w:pPr>
      <w:r w:rsidRPr="00E96462">
        <w:rPr>
          <w:rFonts w:ascii="Century Gothic" w:eastAsia="Cambria" w:hAnsi="Century Gothic"/>
          <w:sz w:val="24"/>
          <w:szCs w:val="24"/>
        </w:rPr>
        <w:t>The Company’s capital structure before this offering, and the capital structure assuming the Total Offering Amount is issued, is set forth on Exhibit A.</w:t>
      </w:r>
    </w:p>
    <w:p w14:paraId="2527B7A2" w14:textId="77777777" w:rsidR="00E20D71" w:rsidRPr="00E96462" w:rsidRDefault="00E20D71" w:rsidP="00E96462">
      <w:pPr>
        <w:spacing w:line="276" w:lineRule="auto"/>
        <w:rPr>
          <w:rFonts w:ascii="Century Gothic" w:eastAsia="Times New Roman" w:hAnsi="Century Gothic"/>
          <w:sz w:val="24"/>
        </w:rPr>
      </w:pPr>
    </w:p>
    <w:p w14:paraId="7FBC93D2"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Use of Proceeds</w:t>
      </w:r>
    </w:p>
    <w:p w14:paraId="007FD48E" w14:textId="77777777" w:rsidR="00E20D71" w:rsidRPr="00E96462" w:rsidRDefault="00FB5EB4" w:rsidP="00E96462">
      <w:pPr>
        <w:spacing w:line="276" w:lineRule="auto"/>
        <w:ind w:right="100"/>
        <w:rPr>
          <w:rFonts w:ascii="Century Gothic" w:eastAsia="Cambria" w:hAnsi="Century Gothic"/>
          <w:sz w:val="24"/>
          <w:szCs w:val="24"/>
        </w:rPr>
      </w:pPr>
      <w:r w:rsidRPr="00E96462">
        <w:rPr>
          <w:rFonts w:ascii="Century Gothic" w:eastAsia="Cambria" w:hAnsi="Century Gothic"/>
          <w:sz w:val="24"/>
          <w:szCs w:val="24"/>
        </w:rPr>
        <w:t>The proceeds from the offering will be used for (i) inventory, (ii) general working capital purposes, (iii) sales, general and administrative expenses, and (iv) achieving its sales goals</w:t>
      </w:r>
    </w:p>
    <w:p w14:paraId="430A0967" w14:textId="77777777" w:rsidR="00E20D71" w:rsidRPr="00E96462" w:rsidRDefault="00E20D71" w:rsidP="00E96462">
      <w:pPr>
        <w:spacing w:line="276" w:lineRule="auto"/>
        <w:rPr>
          <w:rFonts w:ascii="Century Gothic" w:eastAsia="Times New Roman" w:hAnsi="Century Gothic"/>
          <w:sz w:val="24"/>
        </w:rPr>
      </w:pPr>
    </w:p>
    <w:p w14:paraId="731788A3"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Voting Rights:</w:t>
      </w:r>
    </w:p>
    <w:p w14:paraId="68E1C0CF" w14:textId="77777777" w:rsidR="00E20D71" w:rsidRPr="00E96462" w:rsidRDefault="00FB5EB4" w:rsidP="00E96462">
      <w:pPr>
        <w:spacing w:line="276" w:lineRule="auto"/>
        <w:ind w:right="20"/>
        <w:rPr>
          <w:rFonts w:ascii="Century Gothic" w:eastAsia="Cambria" w:hAnsi="Century Gothic"/>
          <w:sz w:val="24"/>
          <w:szCs w:val="24"/>
        </w:rPr>
      </w:pPr>
      <w:r w:rsidRPr="00E96462">
        <w:rPr>
          <w:rFonts w:ascii="Century Gothic" w:eastAsia="Cambria" w:hAnsi="Century Gothic"/>
          <w:sz w:val="24"/>
          <w:szCs w:val="24"/>
        </w:rPr>
        <w:t>The holders Common Units will be entitled to that number of votes equal to the number of Common Units held and voting together with all other Common Units of the company. The Company’s Operating Agreement will provide that the number of authorized Common Units may be increased or decreased with the approval of the holders of two-thirds of the Common Units.</w:t>
      </w:r>
    </w:p>
    <w:p w14:paraId="37AEBF1C" w14:textId="77777777" w:rsidR="00E20D71" w:rsidRPr="00E96462" w:rsidRDefault="00E20D71" w:rsidP="00E96462">
      <w:pPr>
        <w:spacing w:line="276" w:lineRule="auto"/>
        <w:rPr>
          <w:rFonts w:ascii="Century Gothic" w:eastAsia="Times New Roman" w:hAnsi="Century Gothic"/>
          <w:sz w:val="24"/>
        </w:rPr>
      </w:pPr>
    </w:p>
    <w:p w14:paraId="45E65CF4"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Anti-dilution Provisions:</w:t>
      </w:r>
    </w:p>
    <w:p w14:paraId="3188D6EE" w14:textId="77777777" w:rsidR="00E20D71" w:rsidRPr="00E96462" w:rsidRDefault="00FB5EB4" w:rsidP="00E96462">
      <w:pPr>
        <w:spacing w:line="276" w:lineRule="auto"/>
        <w:rPr>
          <w:rFonts w:ascii="Century Gothic" w:eastAsia="Cambria" w:hAnsi="Century Gothic"/>
          <w:sz w:val="24"/>
          <w:szCs w:val="24"/>
        </w:rPr>
      </w:pPr>
      <w:r w:rsidRPr="00E96462">
        <w:rPr>
          <w:rFonts w:ascii="Century Gothic" w:eastAsia="Cambria" w:hAnsi="Century Gothic"/>
          <w:sz w:val="24"/>
          <w:szCs w:val="24"/>
        </w:rPr>
        <w:t>See Section 3.10 of the Operating Agreement.</w:t>
      </w:r>
    </w:p>
    <w:p w14:paraId="69AA3D94" w14:textId="77777777" w:rsidR="00E96462" w:rsidRDefault="00E96462" w:rsidP="00E96462">
      <w:pPr>
        <w:spacing w:line="276" w:lineRule="auto"/>
        <w:rPr>
          <w:rFonts w:ascii="Century Gothic" w:eastAsia="Cambria" w:hAnsi="Century Gothic"/>
          <w:b/>
          <w:sz w:val="28"/>
          <w:szCs w:val="28"/>
        </w:rPr>
      </w:pPr>
      <w:bookmarkStart w:id="2" w:name="page2"/>
      <w:bookmarkEnd w:id="2"/>
    </w:p>
    <w:p w14:paraId="43093DCB"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Liquidation Preferences:</w:t>
      </w:r>
    </w:p>
    <w:p w14:paraId="54946538" w14:textId="77777777" w:rsidR="00E20D71" w:rsidRPr="00E96462" w:rsidRDefault="00FB5EB4" w:rsidP="00E96462">
      <w:pPr>
        <w:spacing w:line="276" w:lineRule="auto"/>
        <w:rPr>
          <w:rFonts w:ascii="Century Gothic" w:eastAsia="Cambria" w:hAnsi="Century Gothic"/>
          <w:sz w:val="24"/>
          <w:szCs w:val="24"/>
        </w:rPr>
      </w:pPr>
      <w:r w:rsidRPr="00E96462">
        <w:rPr>
          <w:rFonts w:ascii="Century Gothic" w:eastAsia="Cambria" w:hAnsi="Century Gothic"/>
          <w:sz w:val="24"/>
          <w:szCs w:val="24"/>
        </w:rPr>
        <w:t>See Section 10.3 of the Operating Agreement.</w:t>
      </w:r>
    </w:p>
    <w:p w14:paraId="5BFBF254" w14:textId="77777777" w:rsidR="00E20D71" w:rsidRPr="00E96462" w:rsidRDefault="00E20D71" w:rsidP="00E96462">
      <w:pPr>
        <w:spacing w:line="276" w:lineRule="auto"/>
        <w:rPr>
          <w:rFonts w:ascii="Century Gothic" w:eastAsia="Times New Roman" w:hAnsi="Century Gothic"/>
        </w:rPr>
      </w:pPr>
    </w:p>
    <w:p w14:paraId="6B8C6A50"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lastRenderedPageBreak/>
        <w:t>Subscription Agreement:</w:t>
      </w:r>
    </w:p>
    <w:p w14:paraId="04D76B30" w14:textId="77777777" w:rsidR="00E20D71" w:rsidRPr="00E96462" w:rsidRDefault="00FB5EB4" w:rsidP="00E96462">
      <w:pPr>
        <w:spacing w:line="276" w:lineRule="auto"/>
        <w:ind w:right="60"/>
        <w:rPr>
          <w:rFonts w:ascii="Century Gothic" w:eastAsia="Cambria" w:hAnsi="Century Gothic"/>
          <w:sz w:val="22"/>
        </w:rPr>
      </w:pPr>
      <w:r w:rsidRPr="00E96462">
        <w:rPr>
          <w:rFonts w:ascii="Century Gothic" w:eastAsia="Cambria" w:hAnsi="Century Gothic"/>
          <w:sz w:val="24"/>
          <w:szCs w:val="24"/>
        </w:rPr>
        <w:t>The sale of Common Units as described above will be made pursuant to a subscription agreement mutually acceptable to the Company and each Investor, which agreement will contain, among other things, appropriate representations and warranties of the</w:t>
      </w:r>
      <w:r w:rsidRPr="00E96462">
        <w:rPr>
          <w:rFonts w:ascii="Century Gothic" w:eastAsia="Cambria" w:hAnsi="Century Gothic"/>
          <w:sz w:val="22"/>
        </w:rPr>
        <w:t xml:space="preserve"> </w:t>
      </w:r>
      <w:r w:rsidRPr="00E96462">
        <w:rPr>
          <w:rFonts w:ascii="Century Gothic" w:eastAsia="Cambria" w:hAnsi="Century Gothic"/>
          <w:sz w:val="24"/>
          <w:szCs w:val="24"/>
        </w:rPr>
        <w:t xml:space="preserve">Company and each Investor and appropriate conditions to closing which will include, among other things, qualification of the securities to be sold under applicable </w:t>
      </w:r>
      <w:proofErr w:type="gramStart"/>
      <w:r w:rsidRPr="00E96462">
        <w:rPr>
          <w:rFonts w:ascii="Century Gothic" w:eastAsia="Cambria" w:hAnsi="Century Gothic"/>
          <w:sz w:val="24"/>
          <w:szCs w:val="24"/>
        </w:rPr>
        <w:t>Blue Sky</w:t>
      </w:r>
      <w:proofErr w:type="gramEnd"/>
      <w:r w:rsidRPr="00E96462">
        <w:rPr>
          <w:rFonts w:ascii="Century Gothic" w:eastAsia="Cambria" w:hAnsi="Century Gothic"/>
          <w:sz w:val="24"/>
          <w:szCs w:val="24"/>
        </w:rPr>
        <w:t xml:space="preserve"> laws.</w:t>
      </w:r>
    </w:p>
    <w:p w14:paraId="5737C81C" w14:textId="77777777" w:rsidR="00E20D71" w:rsidRPr="00E96462" w:rsidRDefault="00E20D71" w:rsidP="00E96462">
      <w:pPr>
        <w:spacing w:line="276" w:lineRule="auto"/>
        <w:rPr>
          <w:rFonts w:ascii="Century Gothic" w:eastAsia="Times New Roman" w:hAnsi="Century Gothic"/>
        </w:rPr>
      </w:pPr>
    </w:p>
    <w:p w14:paraId="1204B271"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Acceptance of Operating Agreement:</w:t>
      </w:r>
    </w:p>
    <w:p w14:paraId="593E4B7A" w14:textId="77777777" w:rsidR="00E20D71" w:rsidRPr="00E96462" w:rsidRDefault="00FB5EB4" w:rsidP="00E96462">
      <w:pPr>
        <w:spacing w:line="276" w:lineRule="auto"/>
        <w:ind w:right="400"/>
        <w:rPr>
          <w:rFonts w:ascii="Century Gothic" w:eastAsia="Cambria" w:hAnsi="Century Gothic"/>
          <w:sz w:val="24"/>
          <w:szCs w:val="24"/>
        </w:rPr>
      </w:pPr>
      <w:r w:rsidRPr="00E96462">
        <w:rPr>
          <w:rFonts w:ascii="Century Gothic" w:eastAsia="Cambria" w:hAnsi="Century Gothic"/>
          <w:sz w:val="24"/>
          <w:szCs w:val="24"/>
        </w:rPr>
        <w:t>Concurrent with the issuance of the Common Units each Investor shall agree to be bound by the terms of the Operating Agreement.</w:t>
      </w:r>
    </w:p>
    <w:p w14:paraId="45E26A86" w14:textId="77777777" w:rsidR="00E20D71" w:rsidRPr="00E96462" w:rsidRDefault="00E20D71" w:rsidP="00E96462">
      <w:pPr>
        <w:spacing w:line="276" w:lineRule="auto"/>
        <w:rPr>
          <w:rFonts w:ascii="Century Gothic" w:eastAsia="Times New Roman" w:hAnsi="Century Gothic"/>
        </w:rPr>
      </w:pPr>
    </w:p>
    <w:p w14:paraId="1A1D8367"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Drag-along Right</w:t>
      </w:r>
    </w:p>
    <w:p w14:paraId="7946CF65" w14:textId="77777777" w:rsidR="00E20D71" w:rsidRPr="00E96462" w:rsidRDefault="00FB5EB4" w:rsidP="00E96462">
      <w:pPr>
        <w:spacing w:line="276" w:lineRule="auto"/>
        <w:rPr>
          <w:rFonts w:ascii="Century Gothic" w:eastAsia="Cambria" w:hAnsi="Century Gothic"/>
          <w:sz w:val="24"/>
          <w:szCs w:val="24"/>
        </w:rPr>
      </w:pPr>
      <w:r w:rsidRPr="00E96462">
        <w:rPr>
          <w:rFonts w:ascii="Century Gothic" w:eastAsia="Cambria" w:hAnsi="Century Gothic"/>
          <w:sz w:val="24"/>
          <w:szCs w:val="24"/>
        </w:rPr>
        <w:t>See Section 7.2 of the Operating Agreement.</w:t>
      </w:r>
    </w:p>
    <w:p w14:paraId="2C8F52C0" w14:textId="77777777" w:rsidR="00E20D71" w:rsidRPr="00E96462" w:rsidRDefault="00E20D71" w:rsidP="00E96462">
      <w:pPr>
        <w:spacing w:line="276" w:lineRule="auto"/>
        <w:rPr>
          <w:rFonts w:ascii="Century Gothic" w:eastAsia="Times New Roman" w:hAnsi="Century Gothic"/>
        </w:rPr>
      </w:pPr>
    </w:p>
    <w:p w14:paraId="1166495F" w14:textId="77777777" w:rsidR="00E20D71" w:rsidRPr="00E96462" w:rsidRDefault="00FB5EB4" w:rsidP="00E96462">
      <w:pPr>
        <w:spacing w:line="276" w:lineRule="auto"/>
        <w:rPr>
          <w:rFonts w:ascii="Century Gothic" w:eastAsia="Cambria" w:hAnsi="Century Gothic"/>
          <w:b/>
          <w:sz w:val="28"/>
          <w:szCs w:val="28"/>
        </w:rPr>
      </w:pPr>
      <w:r w:rsidRPr="00E96462">
        <w:rPr>
          <w:rFonts w:ascii="Century Gothic" w:eastAsia="Cambria" w:hAnsi="Century Gothic"/>
          <w:b/>
          <w:sz w:val="28"/>
          <w:szCs w:val="28"/>
        </w:rPr>
        <w:t>Transfer Restrictions</w:t>
      </w:r>
    </w:p>
    <w:p w14:paraId="1C198F24" w14:textId="77777777" w:rsidR="00E20D71" w:rsidRPr="00E96462" w:rsidRDefault="00FB5EB4" w:rsidP="00E96462">
      <w:pPr>
        <w:spacing w:line="276" w:lineRule="auto"/>
        <w:rPr>
          <w:rFonts w:ascii="Century Gothic" w:eastAsia="Cambria" w:hAnsi="Century Gothic"/>
          <w:sz w:val="24"/>
          <w:szCs w:val="24"/>
        </w:rPr>
      </w:pPr>
      <w:r w:rsidRPr="00E96462">
        <w:rPr>
          <w:rFonts w:ascii="Century Gothic" w:eastAsia="Cambria" w:hAnsi="Century Gothic"/>
          <w:sz w:val="24"/>
          <w:szCs w:val="24"/>
        </w:rPr>
        <w:t>See Article 7 of the Operating Agreement</w:t>
      </w:r>
    </w:p>
    <w:p w14:paraId="1B951273" w14:textId="77777777" w:rsidR="00E20D71" w:rsidRPr="00E96462" w:rsidRDefault="00E20D71" w:rsidP="00E96462">
      <w:pPr>
        <w:spacing w:line="276" w:lineRule="auto"/>
        <w:rPr>
          <w:rFonts w:ascii="Century Gothic" w:eastAsia="Times New Roman" w:hAnsi="Century Gothic"/>
        </w:rPr>
      </w:pPr>
    </w:p>
    <w:p w14:paraId="40F18C5C" w14:textId="77777777" w:rsidR="00E20D71" w:rsidRPr="00FB5EB4" w:rsidRDefault="00FB5EB4" w:rsidP="00E96462">
      <w:pPr>
        <w:spacing w:line="276" w:lineRule="auto"/>
        <w:rPr>
          <w:rFonts w:ascii="Century Gothic" w:eastAsia="Cambria" w:hAnsi="Century Gothic"/>
          <w:b/>
          <w:sz w:val="28"/>
          <w:szCs w:val="28"/>
        </w:rPr>
      </w:pPr>
      <w:r w:rsidRPr="00FB5EB4">
        <w:rPr>
          <w:rFonts w:ascii="Century Gothic" w:eastAsia="Cambria" w:hAnsi="Century Gothic"/>
          <w:b/>
          <w:sz w:val="28"/>
          <w:szCs w:val="28"/>
        </w:rPr>
        <w:t>Counsel and Expenses:</w:t>
      </w:r>
    </w:p>
    <w:p w14:paraId="0DA2834F" w14:textId="77777777" w:rsidR="00E20D71" w:rsidRPr="00E96462" w:rsidRDefault="00FB5EB4" w:rsidP="00E96462">
      <w:pPr>
        <w:spacing w:line="276" w:lineRule="auto"/>
        <w:rPr>
          <w:rFonts w:ascii="Century Gothic" w:eastAsia="Cambria" w:hAnsi="Century Gothic"/>
          <w:sz w:val="24"/>
          <w:szCs w:val="24"/>
        </w:rPr>
      </w:pPr>
      <w:r w:rsidRPr="00E96462">
        <w:rPr>
          <w:rFonts w:ascii="Century Gothic" w:eastAsia="Cambria" w:hAnsi="Century Gothic"/>
          <w:sz w:val="24"/>
          <w:szCs w:val="24"/>
        </w:rPr>
        <w:t>Company counsel to draft closing documents. Each party to be responsible for their own expenses.</w:t>
      </w:r>
    </w:p>
    <w:p w14:paraId="2E943808" w14:textId="77777777" w:rsidR="00E20D71" w:rsidRPr="00E96462" w:rsidRDefault="00FB5EB4" w:rsidP="00E96462">
      <w:pPr>
        <w:spacing w:line="276" w:lineRule="auto"/>
        <w:ind w:right="20"/>
        <w:jc w:val="center"/>
        <w:rPr>
          <w:rFonts w:ascii="Century Gothic" w:eastAsia="Cambria" w:hAnsi="Century Gothic"/>
          <w:b/>
          <w:sz w:val="22"/>
        </w:rPr>
      </w:pPr>
      <w:bookmarkStart w:id="3" w:name="page3"/>
      <w:bookmarkEnd w:id="3"/>
      <w:r w:rsidRPr="00E96462">
        <w:rPr>
          <w:rFonts w:ascii="Century Gothic" w:eastAsia="Cambria" w:hAnsi="Century Gothic"/>
          <w:b/>
          <w:sz w:val="22"/>
        </w:rPr>
        <w:t xml:space="preserve">EXHIBIT </w:t>
      </w:r>
      <w:r w:rsidR="00E96462">
        <w:rPr>
          <w:rFonts w:ascii="Century Gothic" w:eastAsia="Cambria" w:hAnsi="Century Gothic"/>
          <w:b/>
          <w:sz w:val="22"/>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3241"/>
        <w:gridCol w:w="1884"/>
        <w:gridCol w:w="2189"/>
        <w:gridCol w:w="1169"/>
        <w:gridCol w:w="1227"/>
      </w:tblGrid>
      <w:tr w:rsidR="00907D13" w:rsidRPr="00AD14A0" w14:paraId="4817FADC" w14:textId="77777777" w:rsidTr="00AD14A0">
        <w:trPr>
          <w:trHeight w:val="282"/>
        </w:trPr>
        <w:tc>
          <w:tcPr>
            <w:tcW w:w="5000" w:type="pct"/>
            <w:gridSpan w:val="5"/>
            <w:vMerge w:val="restart"/>
            <w:shd w:val="clear" w:color="auto" w:fill="auto"/>
            <w:vAlign w:val="center"/>
          </w:tcPr>
          <w:p w14:paraId="07364594" w14:textId="77777777" w:rsidR="00907D13" w:rsidRPr="00AD14A0" w:rsidRDefault="00907D13" w:rsidP="00907D13">
            <w:pPr>
              <w:spacing w:line="276" w:lineRule="auto"/>
              <w:jc w:val="center"/>
              <w:rPr>
                <w:rFonts w:ascii="Century Gothic" w:eastAsia="Times New Roman" w:hAnsi="Century Gothic"/>
              </w:rPr>
            </w:pPr>
            <w:r w:rsidRPr="00AD14A0">
              <w:rPr>
                <w:rFonts w:ascii="Century Gothic" w:hAnsi="Century Gothic"/>
                <w:b/>
              </w:rPr>
              <w:t>Pre-Financing</w:t>
            </w:r>
          </w:p>
        </w:tc>
      </w:tr>
      <w:tr w:rsidR="00907D13" w:rsidRPr="00AD14A0" w14:paraId="1A5D16FB" w14:textId="77777777" w:rsidTr="00AD14A0">
        <w:trPr>
          <w:trHeight w:val="282"/>
        </w:trPr>
        <w:tc>
          <w:tcPr>
            <w:tcW w:w="5000" w:type="pct"/>
            <w:gridSpan w:val="5"/>
            <w:vMerge/>
            <w:shd w:val="clear" w:color="auto" w:fill="auto"/>
            <w:vAlign w:val="bottom"/>
          </w:tcPr>
          <w:p w14:paraId="5AFF9752" w14:textId="77777777" w:rsidR="00907D13" w:rsidRPr="00AD14A0" w:rsidRDefault="00907D13" w:rsidP="00E96462">
            <w:pPr>
              <w:spacing w:line="276" w:lineRule="auto"/>
              <w:rPr>
                <w:rFonts w:ascii="Century Gothic" w:eastAsia="Times New Roman" w:hAnsi="Century Gothic"/>
              </w:rPr>
            </w:pPr>
          </w:p>
        </w:tc>
      </w:tr>
      <w:tr w:rsidR="00907D13" w:rsidRPr="00AD14A0" w14:paraId="5997132C" w14:textId="77777777" w:rsidTr="00AD14A0">
        <w:trPr>
          <w:trHeight w:val="220"/>
        </w:trPr>
        <w:tc>
          <w:tcPr>
            <w:tcW w:w="1669" w:type="pct"/>
            <w:shd w:val="clear" w:color="auto" w:fill="auto"/>
            <w:vAlign w:val="center"/>
          </w:tcPr>
          <w:p w14:paraId="00476E22" w14:textId="77777777" w:rsidR="00907D13" w:rsidRPr="00AD14A0" w:rsidRDefault="00907D13" w:rsidP="00FB5EB4">
            <w:pPr>
              <w:spacing w:line="276" w:lineRule="auto"/>
              <w:ind w:left="20"/>
              <w:rPr>
                <w:rFonts w:ascii="Century Gothic" w:hAnsi="Century Gothic"/>
                <w:b/>
              </w:rPr>
            </w:pPr>
            <w:r w:rsidRPr="00AD14A0">
              <w:rPr>
                <w:rFonts w:ascii="Century Gothic" w:hAnsi="Century Gothic"/>
                <w:b/>
              </w:rPr>
              <w:t>Member</w:t>
            </w:r>
          </w:p>
        </w:tc>
        <w:tc>
          <w:tcPr>
            <w:tcW w:w="970" w:type="pct"/>
            <w:shd w:val="clear" w:color="auto" w:fill="auto"/>
            <w:vAlign w:val="center"/>
          </w:tcPr>
          <w:p w14:paraId="4F58C4C0" w14:textId="77777777" w:rsidR="00907D13" w:rsidRPr="00AD14A0" w:rsidRDefault="00907D13" w:rsidP="00FB5EB4">
            <w:pPr>
              <w:spacing w:line="276" w:lineRule="auto"/>
              <w:rPr>
                <w:rFonts w:ascii="Century Gothic" w:hAnsi="Century Gothic"/>
                <w:b/>
                <w:w w:val="99"/>
              </w:rPr>
            </w:pPr>
            <w:r w:rsidRPr="00AD14A0">
              <w:rPr>
                <w:rFonts w:ascii="Century Gothic" w:hAnsi="Century Gothic"/>
                <w:b/>
                <w:w w:val="99"/>
              </w:rPr>
              <w:t>Number of Units</w:t>
            </w:r>
          </w:p>
        </w:tc>
        <w:tc>
          <w:tcPr>
            <w:tcW w:w="1127" w:type="pct"/>
            <w:shd w:val="clear" w:color="auto" w:fill="auto"/>
            <w:vAlign w:val="center"/>
          </w:tcPr>
          <w:p w14:paraId="1B80CEA6" w14:textId="77777777" w:rsidR="00907D13" w:rsidRPr="00AD14A0" w:rsidRDefault="00907D13" w:rsidP="00FB5EB4">
            <w:pPr>
              <w:spacing w:line="276" w:lineRule="auto"/>
              <w:ind w:left="20"/>
              <w:rPr>
                <w:rFonts w:ascii="Century Gothic" w:hAnsi="Century Gothic"/>
                <w:b/>
              </w:rPr>
            </w:pPr>
            <w:r w:rsidRPr="00AD14A0">
              <w:rPr>
                <w:rFonts w:ascii="Century Gothic" w:hAnsi="Century Gothic"/>
                <w:b/>
              </w:rPr>
              <w:t>Type of Units</w:t>
            </w:r>
          </w:p>
        </w:tc>
        <w:tc>
          <w:tcPr>
            <w:tcW w:w="602" w:type="pct"/>
            <w:shd w:val="clear" w:color="auto" w:fill="auto"/>
            <w:vAlign w:val="center"/>
          </w:tcPr>
          <w:p w14:paraId="37847073" w14:textId="77777777" w:rsidR="00907D13" w:rsidRPr="00AD14A0" w:rsidRDefault="00907D13" w:rsidP="00FB5EB4">
            <w:pPr>
              <w:spacing w:line="276" w:lineRule="auto"/>
              <w:ind w:right="70"/>
              <w:rPr>
                <w:rFonts w:ascii="Century Gothic" w:hAnsi="Century Gothic"/>
                <w:b/>
              </w:rPr>
            </w:pPr>
            <w:r w:rsidRPr="00AD14A0">
              <w:rPr>
                <w:rFonts w:ascii="Century Gothic" w:hAnsi="Century Gothic"/>
                <w:b/>
              </w:rPr>
              <w:t>% of Total</w:t>
            </w:r>
          </w:p>
        </w:tc>
        <w:tc>
          <w:tcPr>
            <w:tcW w:w="632" w:type="pct"/>
            <w:shd w:val="clear" w:color="auto" w:fill="auto"/>
            <w:vAlign w:val="center"/>
          </w:tcPr>
          <w:p w14:paraId="6EDAC3D1" w14:textId="77777777" w:rsidR="00907D13" w:rsidRPr="00AD14A0" w:rsidRDefault="00907D13" w:rsidP="00FB5EB4">
            <w:pPr>
              <w:spacing w:line="276" w:lineRule="auto"/>
              <w:ind w:right="90"/>
              <w:rPr>
                <w:rFonts w:ascii="Century Gothic" w:hAnsi="Century Gothic"/>
                <w:b/>
              </w:rPr>
            </w:pPr>
            <w:r w:rsidRPr="00AD14A0">
              <w:rPr>
                <w:rFonts w:ascii="Century Gothic" w:hAnsi="Century Gothic"/>
                <w:b/>
              </w:rPr>
              <w:t>% of Class</w:t>
            </w:r>
          </w:p>
        </w:tc>
      </w:tr>
      <w:tr w:rsidR="00907D13" w:rsidRPr="00AD14A0" w14:paraId="72C4E37D" w14:textId="77777777" w:rsidTr="00AD14A0">
        <w:trPr>
          <w:trHeight w:val="222"/>
        </w:trPr>
        <w:tc>
          <w:tcPr>
            <w:tcW w:w="1669" w:type="pct"/>
            <w:shd w:val="clear" w:color="auto" w:fill="auto"/>
            <w:vAlign w:val="center"/>
          </w:tcPr>
          <w:p w14:paraId="3FC051F4"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Member #1</w:t>
            </w:r>
          </w:p>
        </w:tc>
        <w:tc>
          <w:tcPr>
            <w:tcW w:w="970" w:type="pct"/>
            <w:shd w:val="clear" w:color="auto" w:fill="auto"/>
            <w:vAlign w:val="center"/>
          </w:tcPr>
          <w:p w14:paraId="5014D143" w14:textId="77777777" w:rsidR="00907D13" w:rsidRPr="00AD14A0" w:rsidRDefault="00907D13" w:rsidP="00FB5EB4">
            <w:pPr>
              <w:spacing w:line="276" w:lineRule="auto"/>
              <w:rPr>
                <w:rFonts w:ascii="Century Gothic" w:hAnsi="Century Gothic"/>
                <w:w w:val="97"/>
              </w:rPr>
            </w:pPr>
            <w:r w:rsidRPr="00AD14A0">
              <w:rPr>
                <w:rFonts w:ascii="Century Gothic" w:hAnsi="Century Gothic"/>
                <w:w w:val="97"/>
              </w:rPr>
              <w:t>373.1</w:t>
            </w:r>
          </w:p>
        </w:tc>
        <w:tc>
          <w:tcPr>
            <w:tcW w:w="1127" w:type="pct"/>
            <w:shd w:val="clear" w:color="auto" w:fill="auto"/>
            <w:vAlign w:val="center"/>
          </w:tcPr>
          <w:p w14:paraId="49ACC617"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Units</w:t>
            </w:r>
          </w:p>
        </w:tc>
        <w:tc>
          <w:tcPr>
            <w:tcW w:w="602" w:type="pct"/>
            <w:shd w:val="clear" w:color="auto" w:fill="auto"/>
            <w:vAlign w:val="center"/>
          </w:tcPr>
          <w:p w14:paraId="04383687" w14:textId="77777777" w:rsidR="00907D13" w:rsidRPr="00AD14A0" w:rsidRDefault="00907D13" w:rsidP="00FB5EB4">
            <w:pPr>
              <w:spacing w:line="276" w:lineRule="auto"/>
              <w:rPr>
                <w:rFonts w:ascii="Century Gothic" w:hAnsi="Century Gothic"/>
              </w:rPr>
            </w:pPr>
            <w:r w:rsidRPr="00AD14A0">
              <w:rPr>
                <w:rFonts w:ascii="Century Gothic" w:hAnsi="Century Gothic"/>
              </w:rPr>
              <w:t>37.31%</w:t>
            </w:r>
          </w:p>
        </w:tc>
        <w:tc>
          <w:tcPr>
            <w:tcW w:w="632" w:type="pct"/>
            <w:shd w:val="clear" w:color="auto" w:fill="auto"/>
            <w:vAlign w:val="center"/>
          </w:tcPr>
          <w:p w14:paraId="7B90882B" w14:textId="77777777" w:rsidR="00907D13" w:rsidRPr="00AD14A0" w:rsidRDefault="00907D13" w:rsidP="00FB5EB4">
            <w:pPr>
              <w:spacing w:line="276" w:lineRule="auto"/>
              <w:rPr>
                <w:rFonts w:ascii="Century Gothic" w:hAnsi="Century Gothic"/>
              </w:rPr>
            </w:pPr>
            <w:r w:rsidRPr="00AD14A0">
              <w:rPr>
                <w:rFonts w:ascii="Century Gothic" w:hAnsi="Century Gothic"/>
              </w:rPr>
              <w:t>38.46%</w:t>
            </w:r>
          </w:p>
        </w:tc>
      </w:tr>
      <w:tr w:rsidR="00907D13" w:rsidRPr="00AD14A0" w14:paraId="3AC5BDA9" w14:textId="77777777" w:rsidTr="00AD14A0">
        <w:trPr>
          <w:trHeight w:val="222"/>
        </w:trPr>
        <w:tc>
          <w:tcPr>
            <w:tcW w:w="1669" w:type="pct"/>
            <w:shd w:val="clear" w:color="auto" w:fill="auto"/>
            <w:vAlign w:val="center"/>
          </w:tcPr>
          <w:p w14:paraId="47F998FF"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Member #2</w:t>
            </w:r>
          </w:p>
        </w:tc>
        <w:tc>
          <w:tcPr>
            <w:tcW w:w="970" w:type="pct"/>
            <w:shd w:val="clear" w:color="auto" w:fill="auto"/>
            <w:vAlign w:val="center"/>
          </w:tcPr>
          <w:p w14:paraId="4D6F5523" w14:textId="77777777" w:rsidR="00907D13" w:rsidRPr="00AD14A0" w:rsidRDefault="00907D13" w:rsidP="00FB5EB4">
            <w:pPr>
              <w:spacing w:line="276" w:lineRule="auto"/>
              <w:rPr>
                <w:rFonts w:ascii="Century Gothic" w:hAnsi="Century Gothic"/>
                <w:w w:val="97"/>
              </w:rPr>
            </w:pPr>
            <w:r w:rsidRPr="00AD14A0">
              <w:rPr>
                <w:rFonts w:ascii="Century Gothic" w:hAnsi="Century Gothic"/>
                <w:w w:val="97"/>
              </w:rPr>
              <w:t>373.1</w:t>
            </w:r>
          </w:p>
        </w:tc>
        <w:tc>
          <w:tcPr>
            <w:tcW w:w="1127" w:type="pct"/>
            <w:shd w:val="clear" w:color="auto" w:fill="auto"/>
            <w:vAlign w:val="center"/>
          </w:tcPr>
          <w:p w14:paraId="43220C23"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Units</w:t>
            </w:r>
          </w:p>
        </w:tc>
        <w:tc>
          <w:tcPr>
            <w:tcW w:w="602" w:type="pct"/>
            <w:shd w:val="clear" w:color="auto" w:fill="auto"/>
            <w:vAlign w:val="center"/>
          </w:tcPr>
          <w:p w14:paraId="0C386E30" w14:textId="77777777" w:rsidR="00907D13" w:rsidRPr="00AD14A0" w:rsidRDefault="00907D13" w:rsidP="00FB5EB4">
            <w:pPr>
              <w:spacing w:line="276" w:lineRule="auto"/>
              <w:rPr>
                <w:rFonts w:ascii="Century Gothic" w:hAnsi="Century Gothic"/>
              </w:rPr>
            </w:pPr>
            <w:r w:rsidRPr="00AD14A0">
              <w:rPr>
                <w:rFonts w:ascii="Century Gothic" w:hAnsi="Century Gothic"/>
              </w:rPr>
              <w:t>37.31%</w:t>
            </w:r>
          </w:p>
        </w:tc>
        <w:tc>
          <w:tcPr>
            <w:tcW w:w="632" w:type="pct"/>
            <w:shd w:val="clear" w:color="auto" w:fill="auto"/>
            <w:vAlign w:val="center"/>
          </w:tcPr>
          <w:p w14:paraId="6BE7E840" w14:textId="77777777" w:rsidR="00907D13" w:rsidRPr="00AD14A0" w:rsidRDefault="00907D13" w:rsidP="00FB5EB4">
            <w:pPr>
              <w:spacing w:line="276" w:lineRule="auto"/>
              <w:rPr>
                <w:rFonts w:ascii="Century Gothic" w:hAnsi="Century Gothic"/>
              </w:rPr>
            </w:pPr>
            <w:r w:rsidRPr="00AD14A0">
              <w:rPr>
                <w:rFonts w:ascii="Century Gothic" w:hAnsi="Century Gothic"/>
              </w:rPr>
              <w:t>38.46%</w:t>
            </w:r>
          </w:p>
        </w:tc>
      </w:tr>
      <w:tr w:rsidR="00907D13" w:rsidRPr="00AD14A0" w14:paraId="3C46E473" w14:textId="77777777" w:rsidTr="00AD14A0">
        <w:trPr>
          <w:trHeight w:val="222"/>
        </w:trPr>
        <w:tc>
          <w:tcPr>
            <w:tcW w:w="1669" w:type="pct"/>
            <w:shd w:val="clear" w:color="auto" w:fill="auto"/>
            <w:vAlign w:val="center"/>
          </w:tcPr>
          <w:p w14:paraId="4D82A99A"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Member #3</w:t>
            </w:r>
          </w:p>
        </w:tc>
        <w:tc>
          <w:tcPr>
            <w:tcW w:w="970" w:type="pct"/>
            <w:shd w:val="clear" w:color="auto" w:fill="auto"/>
            <w:vAlign w:val="center"/>
          </w:tcPr>
          <w:p w14:paraId="28B1558F" w14:textId="77777777" w:rsidR="00907D13" w:rsidRPr="00AD14A0" w:rsidRDefault="00907D13" w:rsidP="00FB5EB4">
            <w:pPr>
              <w:spacing w:line="276" w:lineRule="auto"/>
              <w:rPr>
                <w:rFonts w:ascii="Century Gothic" w:hAnsi="Century Gothic"/>
                <w:w w:val="97"/>
              </w:rPr>
            </w:pPr>
            <w:r w:rsidRPr="00AD14A0">
              <w:rPr>
                <w:rFonts w:ascii="Century Gothic" w:hAnsi="Century Gothic"/>
                <w:w w:val="97"/>
              </w:rPr>
              <w:t>223.8</w:t>
            </w:r>
          </w:p>
        </w:tc>
        <w:tc>
          <w:tcPr>
            <w:tcW w:w="1127" w:type="pct"/>
            <w:shd w:val="clear" w:color="auto" w:fill="auto"/>
            <w:vAlign w:val="center"/>
          </w:tcPr>
          <w:p w14:paraId="362C15E8"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Units</w:t>
            </w:r>
          </w:p>
        </w:tc>
        <w:tc>
          <w:tcPr>
            <w:tcW w:w="602" w:type="pct"/>
            <w:shd w:val="clear" w:color="auto" w:fill="auto"/>
            <w:vAlign w:val="center"/>
          </w:tcPr>
          <w:p w14:paraId="54513FA5" w14:textId="77777777" w:rsidR="00907D13" w:rsidRPr="00AD14A0" w:rsidRDefault="00907D13" w:rsidP="00FB5EB4">
            <w:pPr>
              <w:spacing w:line="276" w:lineRule="auto"/>
              <w:rPr>
                <w:rFonts w:ascii="Century Gothic" w:hAnsi="Century Gothic"/>
              </w:rPr>
            </w:pPr>
            <w:r w:rsidRPr="00AD14A0">
              <w:rPr>
                <w:rFonts w:ascii="Century Gothic" w:hAnsi="Century Gothic"/>
              </w:rPr>
              <w:t>22.38%</w:t>
            </w:r>
          </w:p>
        </w:tc>
        <w:tc>
          <w:tcPr>
            <w:tcW w:w="632" w:type="pct"/>
            <w:shd w:val="clear" w:color="auto" w:fill="auto"/>
            <w:vAlign w:val="center"/>
          </w:tcPr>
          <w:p w14:paraId="4C037907" w14:textId="77777777" w:rsidR="00907D13" w:rsidRPr="00AD14A0" w:rsidRDefault="00907D13" w:rsidP="00FB5EB4">
            <w:pPr>
              <w:spacing w:line="276" w:lineRule="auto"/>
              <w:rPr>
                <w:rFonts w:ascii="Century Gothic" w:hAnsi="Century Gothic"/>
              </w:rPr>
            </w:pPr>
            <w:r w:rsidRPr="00AD14A0">
              <w:rPr>
                <w:rFonts w:ascii="Century Gothic" w:hAnsi="Century Gothic"/>
              </w:rPr>
              <w:t>23.07%</w:t>
            </w:r>
          </w:p>
        </w:tc>
      </w:tr>
      <w:tr w:rsidR="00907D13" w:rsidRPr="00AD14A0" w14:paraId="0973D8EE" w14:textId="77777777" w:rsidTr="00AD14A0">
        <w:trPr>
          <w:trHeight w:val="223"/>
        </w:trPr>
        <w:tc>
          <w:tcPr>
            <w:tcW w:w="1669" w:type="pct"/>
            <w:shd w:val="clear" w:color="auto" w:fill="auto"/>
            <w:vAlign w:val="center"/>
          </w:tcPr>
          <w:p w14:paraId="06DC264B"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Member #4</w:t>
            </w:r>
          </w:p>
        </w:tc>
        <w:tc>
          <w:tcPr>
            <w:tcW w:w="970" w:type="pct"/>
            <w:shd w:val="clear" w:color="auto" w:fill="auto"/>
            <w:vAlign w:val="center"/>
          </w:tcPr>
          <w:p w14:paraId="46B5CA56" w14:textId="77777777" w:rsidR="00907D13" w:rsidRPr="00AD14A0" w:rsidRDefault="00907D13" w:rsidP="00FB5EB4">
            <w:pPr>
              <w:spacing w:line="276" w:lineRule="auto"/>
              <w:rPr>
                <w:rFonts w:ascii="Century Gothic" w:hAnsi="Century Gothic"/>
                <w:w w:val="98"/>
              </w:rPr>
            </w:pPr>
            <w:r w:rsidRPr="00AD14A0">
              <w:rPr>
                <w:rFonts w:ascii="Century Gothic" w:hAnsi="Century Gothic"/>
                <w:w w:val="98"/>
              </w:rPr>
              <w:t>30</w:t>
            </w:r>
          </w:p>
        </w:tc>
        <w:tc>
          <w:tcPr>
            <w:tcW w:w="1127" w:type="pct"/>
            <w:shd w:val="clear" w:color="auto" w:fill="auto"/>
            <w:vAlign w:val="center"/>
          </w:tcPr>
          <w:p w14:paraId="47201CD5"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Non-Voting Units</w:t>
            </w:r>
          </w:p>
        </w:tc>
        <w:tc>
          <w:tcPr>
            <w:tcW w:w="602" w:type="pct"/>
            <w:shd w:val="clear" w:color="auto" w:fill="auto"/>
            <w:vAlign w:val="center"/>
          </w:tcPr>
          <w:p w14:paraId="35FEFE2E" w14:textId="77777777" w:rsidR="00907D13" w:rsidRPr="00AD14A0" w:rsidRDefault="00907D13" w:rsidP="00FB5EB4">
            <w:pPr>
              <w:spacing w:line="276" w:lineRule="auto"/>
              <w:rPr>
                <w:rFonts w:ascii="Century Gothic" w:hAnsi="Century Gothic"/>
              </w:rPr>
            </w:pPr>
            <w:r w:rsidRPr="00AD14A0">
              <w:rPr>
                <w:rFonts w:ascii="Century Gothic" w:hAnsi="Century Gothic"/>
              </w:rPr>
              <w:t>3.00%</w:t>
            </w:r>
          </w:p>
        </w:tc>
        <w:tc>
          <w:tcPr>
            <w:tcW w:w="632" w:type="pct"/>
            <w:shd w:val="clear" w:color="auto" w:fill="auto"/>
            <w:vAlign w:val="center"/>
          </w:tcPr>
          <w:p w14:paraId="126A0CA5" w14:textId="77777777" w:rsidR="00907D13" w:rsidRPr="00AD14A0" w:rsidRDefault="00907D13" w:rsidP="00FB5EB4">
            <w:pPr>
              <w:spacing w:line="276" w:lineRule="auto"/>
              <w:rPr>
                <w:rFonts w:ascii="Century Gothic" w:hAnsi="Century Gothic"/>
              </w:rPr>
            </w:pPr>
            <w:r w:rsidRPr="00AD14A0">
              <w:rPr>
                <w:rFonts w:ascii="Century Gothic" w:hAnsi="Century Gothic"/>
              </w:rPr>
              <w:t>100.00%</w:t>
            </w:r>
          </w:p>
        </w:tc>
      </w:tr>
      <w:tr w:rsidR="00907D13" w:rsidRPr="00AD14A0" w14:paraId="46365041" w14:textId="77777777" w:rsidTr="00AD14A0">
        <w:trPr>
          <w:trHeight w:val="499"/>
        </w:trPr>
        <w:tc>
          <w:tcPr>
            <w:tcW w:w="5000" w:type="pct"/>
            <w:gridSpan w:val="5"/>
            <w:shd w:val="clear" w:color="auto" w:fill="auto"/>
            <w:vAlign w:val="center"/>
          </w:tcPr>
          <w:p w14:paraId="3C55E4C6" w14:textId="77777777" w:rsidR="00907D13" w:rsidRPr="00AD14A0" w:rsidRDefault="00907D13" w:rsidP="00907D13">
            <w:pPr>
              <w:spacing w:line="276" w:lineRule="auto"/>
              <w:jc w:val="center"/>
              <w:rPr>
                <w:rFonts w:ascii="Century Gothic" w:eastAsia="Times New Roman" w:hAnsi="Century Gothic"/>
              </w:rPr>
            </w:pPr>
            <w:r w:rsidRPr="00AD14A0">
              <w:rPr>
                <w:rFonts w:ascii="Century Gothic" w:hAnsi="Century Gothic"/>
                <w:b/>
              </w:rPr>
              <w:t>Post-Financing</w:t>
            </w:r>
          </w:p>
        </w:tc>
      </w:tr>
      <w:tr w:rsidR="00907D13" w:rsidRPr="00AD14A0" w14:paraId="401F88DE" w14:textId="77777777" w:rsidTr="00AD14A0">
        <w:trPr>
          <w:trHeight w:val="218"/>
        </w:trPr>
        <w:tc>
          <w:tcPr>
            <w:tcW w:w="1669" w:type="pct"/>
            <w:shd w:val="clear" w:color="auto" w:fill="auto"/>
            <w:vAlign w:val="center"/>
          </w:tcPr>
          <w:p w14:paraId="2CB19CAA" w14:textId="77777777" w:rsidR="00907D13" w:rsidRPr="00AD14A0" w:rsidRDefault="00907D13" w:rsidP="00FB5EB4">
            <w:pPr>
              <w:spacing w:line="276" w:lineRule="auto"/>
              <w:ind w:left="20"/>
              <w:rPr>
                <w:rFonts w:ascii="Century Gothic" w:hAnsi="Century Gothic"/>
                <w:b/>
              </w:rPr>
            </w:pPr>
            <w:r w:rsidRPr="00AD14A0">
              <w:rPr>
                <w:rFonts w:ascii="Century Gothic" w:hAnsi="Century Gothic"/>
                <w:b/>
              </w:rPr>
              <w:t>Member</w:t>
            </w:r>
          </w:p>
        </w:tc>
        <w:tc>
          <w:tcPr>
            <w:tcW w:w="970" w:type="pct"/>
            <w:shd w:val="clear" w:color="auto" w:fill="auto"/>
            <w:vAlign w:val="center"/>
          </w:tcPr>
          <w:p w14:paraId="34D3F170" w14:textId="77777777" w:rsidR="00907D13" w:rsidRPr="00AD14A0" w:rsidRDefault="00907D13" w:rsidP="00FB5EB4">
            <w:pPr>
              <w:spacing w:line="276" w:lineRule="auto"/>
              <w:rPr>
                <w:rFonts w:ascii="Century Gothic" w:hAnsi="Century Gothic"/>
                <w:b/>
                <w:w w:val="99"/>
              </w:rPr>
            </w:pPr>
            <w:r w:rsidRPr="00AD14A0">
              <w:rPr>
                <w:rFonts w:ascii="Century Gothic" w:hAnsi="Century Gothic"/>
                <w:b/>
                <w:w w:val="99"/>
              </w:rPr>
              <w:t>Number of Units</w:t>
            </w:r>
          </w:p>
        </w:tc>
        <w:tc>
          <w:tcPr>
            <w:tcW w:w="1127" w:type="pct"/>
            <w:shd w:val="clear" w:color="auto" w:fill="auto"/>
            <w:vAlign w:val="center"/>
          </w:tcPr>
          <w:p w14:paraId="41E21AB2" w14:textId="77777777" w:rsidR="00907D13" w:rsidRPr="00AD14A0" w:rsidRDefault="00907D13" w:rsidP="00FB5EB4">
            <w:pPr>
              <w:spacing w:line="276" w:lineRule="auto"/>
              <w:ind w:left="20"/>
              <w:rPr>
                <w:rFonts w:ascii="Century Gothic" w:hAnsi="Century Gothic"/>
                <w:b/>
              </w:rPr>
            </w:pPr>
            <w:r w:rsidRPr="00AD14A0">
              <w:rPr>
                <w:rFonts w:ascii="Century Gothic" w:hAnsi="Century Gothic"/>
                <w:b/>
              </w:rPr>
              <w:t>Type of Units</w:t>
            </w:r>
          </w:p>
        </w:tc>
        <w:tc>
          <w:tcPr>
            <w:tcW w:w="602" w:type="pct"/>
            <w:shd w:val="clear" w:color="auto" w:fill="auto"/>
            <w:vAlign w:val="center"/>
          </w:tcPr>
          <w:p w14:paraId="1A2703AC" w14:textId="77777777" w:rsidR="00907D13" w:rsidRPr="00AD14A0" w:rsidRDefault="00907D13" w:rsidP="00FB5EB4">
            <w:pPr>
              <w:spacing w:line="276" w:lineRule="auto"/>
              <w:ind w:right="70"/>
              <w:rPr>
                <w:rFonts w:ascii="Century Gothic" w:hAnsi="Century Gothic"/>
                <w:b/>
              </w:rPr>
            </w:pPr>
            <w:r w:rsidRPr="00AD14A0">
              <w:rPr>
                <w:rFonts w:ascii="Century Gothic" w:hAnsi="Century Gothic"/>
                <w:b/>
              </w:rPr>
              <w:t>% of Total</w:t>
            </w:r>
          </w:p>
        </w:tc>
        <w:tc>
          <w:tcPr>
            <w:tcW w:w="632" w:type="pct"/>
            <w:shd w:val="clear" w:color="auto" w:fill="auto"/>
            <w:vAlign w:val="center"/>
          </w:tcPr>
          <w:p w14:paraId="65C48B43" w14:textId="77777777" w:rsidR="00907D13" w:rsidRPr="00AD14A0" w:rsidRDefault="00907D13" w:rsidP="00FB5EB4">
            <w:pPr>
              <w:spacing w:line="276" w:lineRule="auto"/>
              <w:ind w:right="90"/>
              <w:rPr>
                <w:rFonts w:ascii="Century Gothic" w:hAnsi="Century Gothic"/>
                <w:b/>
              </w:rPr>
            </w:pPr>
            <w:r w:rsidRPr="00AD14A0">
              <w:rPr>
                <w:rFonts w:ascii="Century Gothic" w:hAnsi="Century Gothic"/>
                <w:b/>
              </w:rPr>
              <w:t>% of Class</w:t>
            </w:r>
          </w:p>
        </w:tc>
      </w:tr>
      <w:tr w:rsidR="00907D13" w:rsidRPr="00AD14A0" w14:paraId="74695409" w14:textId="77777777" w:rsidTr="00AD14A0">
        <w:trPr>
          <w:trHeight w:val="223"/>
        </w:trPr>
        <w:tc>
          <w:tcPr>
            <w:tcW w:w="1669" w:type="pct"/>
            <w:shd w:val="clear" w:color="auto" w:fill="auto"/>
            <w:vAlign w:val="center"/>
          </w:tcPr>
          <w:p w14:paraId="2E80E077"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Member #1</w:t>
            </w:r>
          </w:p>
        </w:tc>
        <w:tc>
          <w:tcPr>
            <w:tcW w:w="970" w:type="pct"/>
            <w:shd w:val="clear" w:color="auto" w:fill="auto"/>
            <w:vAlign w:val="center"/>
          </w:tcPr>
          <w:p w14:paraId="21300A20" w14:textId="77777777" w:rsidR="00907D13" w:rsidRPr="00AD14A0" w:rsidRDefault="00907D13" w:rsidP="00FB5EB4">
            <w:pPr>
              <w:spacing w:line="276" w:lineRule="auto"/>
              <w:rPr>
                <w:rFonts w:ascii="Century Gothic" w:hAnsi="Century Gothic"/>
                <w:w w:val="97"/>
              </w:rPr>
            </w:pPr>
            <w:r w:rsidRPr="00AD14A0">
              <w:rPr>
                <w:rFonts w:ascii="Century Gothic" w:hAnsi="Century Gothic"/>
                <w:w w:val="97"/>
              </w:rPr>
              <w:t>373.1</w:t>
            </w:r>
          </w:p>
        </w:tc>
        <w:tc>
          <w:tcPr>
            <w:tcW w:w="1127" w:type="pct"/>
            <w:shd w:val="clear" w:color="auto" w:fill="auto"/>
            <w:vAlign w:val="center"/>
          </w:tcPr>
          <w:p w14:paraId="4B013FBF"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Units</w:t>
            </w:r>
          </w:p>
        </w:tc>
        <w:tc>
          <w:tcPr>
            <w:tcW w:w="602" w:type="pct"/>
            <w:shd w:val="clear" w:color="auto" w:fill="auto"/>
            <w:vAlign w:val="center"/>
          </w:tcPr>
          <w:p w14:paraId="09F75F3A" w14:textId="77777777" w:rsidR="00907D13" w:rsidRPr="00AD14A0" w:rsidRDefault="00907D13" w:rsidP="00FB5EB4">
            <w:pPr>
              <w:spacing w:line="276" w:lineRule="auto"/>
              <w:rPr>
                <w:rFonts w:ascii="Century Gothic" w:hAnsi="Century Gothic"/>
              </w:rPr>
            </w:pPr>
            <w:r w:rsidRPr="00AD14A0">
              <w:rPr>
                <w:rFonts w:ascii="Century Gothic" w:hAnsi="Century Gothic"/>
              </w:rPr>
              <w:t>29.85%</w:t>
            </w:r>
          </w:p>
        </w:tc>
        <w:tc>
          <w:tcPr>
            <w:tcW w:w="632" w:type="pct"/>
            <w:shd w:val="clear" w:color="auto" w:fill="auto"/>
            <w:vAlign w:val="center"/>
          </w:tcPr>
          <w:p w14:paraId="720CE991" w14:textId="77777777" w:rsidR="00907D13" w:rsidRPr="00AD14A0" w:rsidRDefault="00907D13" w:rsidP="00FB5EB4">
            <w:pPr>
              <w:spacing w:line="276" w:lineRule="auto"/>
              <w:rPr>
                <w:rFonts w:ascii="Century Gothic" w:hAnsi="Century Gothic"/>
              </w:rPr>
            </w:pPr>
            <w:r w:rsidRPr="00AD14A0">
              <w:rPr>
                <w:rFonts w:ascii="Century Gothic" w:hAnsi="Century Gothic"/>
              </w:rPr>
              <w:t>30.58%</w:t>
            </w:r>
          </w:p>
        </w:tc>
      </w:tr>
      <w:tr w:rsidR="00907D13" w:rsidRPr="00AD14A0" w14:paraId="7E9216B1" w14:textId="77777777" w:rsidTr="00AD14A0">
        <w:trPr>
          <w:trHeight w:val="222"/>
        </w:trPr>
        <w:tc>
          <w:tcPr>
            <w:tcW w:w="1669" w:type="pct"/>
            <w:shd w:val="clear" w:color="auto" w:fill="auto"/>
            <w:vAlign w:val="center"/>
          </w:tcPr>
          <w:p w14:paraId="547F82D0"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Member #2</w:t>
            </w:r>
          </w:p>
        </w:tc>
        <w:tc>
          <w:tcPr>
            <w:tcW w:w="970" w:type="pct"/>
            <w:shd w:val="clear" w:color="auto" w:fill="auto"/>
            <w:vAlign w:val="center"/>
          </w:tcPr>
          <w:p w14:paraId="3ACA55BB" w14:textId="77777777" w:rsidR="00907D13" w:rsidRPr="00AD14A0" w:rsidRDefault="00907D13" w:rsidP="00FB5EB4">
            <w:pPr>
              <w:spacing w:line="276" w:lineRule="auto"/>
              <w:rPr>
                <w:rFonts w:ascii="Century Gothic" w:hAnsi="Century Gothic"/>
                <w:w w:val="97"/>
              </w:rPr>
            </w:pPr>
            <w:r w:rsidRPr="00AD14A0">
              <w:rPr>
                <w:rFonts w:ascii="Century Gothic" w:hAnsi="Century Gothic"/>
                <w:w w:val="97"/>
              </w:rPr>
              <w:t>373.1</w:t>
            </w:r>
          </w:p>
        </w:tc>
        <w:tc>
          <w:tcPr>
            <w:tcW w:w="1127" w:type="pct"/>
            <w:shd w:val="clear" w:color="auto" w:fill="auto"/>
            <w:vAlign w:val="center"/>
          </w:tcPr>
          <w:p w14:paraId="7F47BD8C"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Units</w:t>
            </w:r>
          </w:p>
        </w:tc>
        <w:tc>
          <w:tcPr>
            <w:tcW w:w="602" w:type="pct"/>
            <w:shd w:val="clear" w:color="auto" w:fill="auto"/>
            <w:vAlign w:val="center"/>
          </w:tcPr>
          <w:p w14:paraId="7E3FA329" w14:textId="77777777" w:rsidR="00907D13" w:rsidRPr="00AD14A0" w:rsidRDefault="00907D13" w:rsidP="00FB5EB4">
            <w:pPr>
              <w:spacing w:line="276" w:lineRule="auto"/>
              <w:rPr>
                <w:rFonts w:ascii="Century Gothic" w:hAnsi="Century Gothic"/>
              </w:rPr>
            </w:pPr>
            <w:r w:rsidRPr="00AD14A0">
              <w:rPr>
                <w:rFonts w:ascii="Century Gothic" w:hAnsi="Century Gothic"/>
              </w:rPr>
              <w:t>29.85%</w:t>
            </w:r>
          </w:p>
        </w:tc>
        <w:tc>
          <w:tcPr>
            <w:tcW w:w="632" w:type="pct"/>
            <w:shd w:val="clear" w:color="auto" w:fill="auto"/>
            <w:vAlign w:val="center"/>
          </w:tcPr>
          <w:p w14:paraId="6A634D1C" w14:textId="77777777" w:rsidR="00907D13" w:rsidRPr="00AD14A0" w:rsidRDefault="00907D13" w:rsidP="00FB5EB4">
            <w:pPr>
              <w:spacing w:line="276" w:lineRule="auto"/>
              <w:rPr>
                <w:rFonts w:ascii="Century Gothic" w:hAnsi="Century Gothic"/>
              </w:rPr>
            </w:pPr>
            <w:r w:rsidRPr="00AD14A0">
              <w:rPr>
                <w:rFonts w:ascii="Century Gothic" w:hAnsi="Century Gothic"/>
              </w:rPr>
              <w:t>30.58%</w:t>
            </w:r>
          </w:p>
        </w:tc>
      </w:tr>
      <w:tr w:rsidR="00907D13" w:rsidRPr="00AD14A0" w14:paraId="54CD8172" w14:textId="77777777" w:rsidTr="00AD14A0">
        <w:trPr>
          <w:trHeight w:val="224"/>
        </w:trPr>
        <w:tc>
          <w:tcPr>
            <w:tcW w:w="1669" w:type="pct"/>
            <w:shd w:val="clear" w:color="auto" w:fill="auto"/>
            <w:vAlign w:val="center"/>
          </w:tcPr>
          <w:p w14:paraId="11CF13BA"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Member #3</w:t>
            </w:r>
          </w:p>
        </w:tc>
        <w:tc>
          <w:tcPr>
            <w:tcW w:w="970" w:type="pct"/>
            <w:shd w:val="clear" w:color="auto" w:fill="auto"/>
            <w:vAlign w:val="center"/>
          </w:tcPr>
          <w:p w14:paraId="50347AA5" w14:textId="77777777" w:rsidR="00907D13" w:rsidRPr="00AD14A0" w:rsidRDefault="00907D13" w:rsidP="00FB5EB4">
            <w:pPr>
              <w:spacing w:line="276" w:lineRule="auto"/>
              <w:rPr>
                <w:rFonts w:ascii="Century Gothic" w:hAnsi="Century Gothic"/>
                <w:w w:val="97"/>
              </w:rPr>
            </w:pPr>
            <w:r w:rsidRPr="00AD14A0">
              <w:rPr>
                <w:rFonts w:ascii="Century Gothic" w:hAnsi="Century Gothic"/>
                <w:w w:val="97"/>
              </w:rPr>
              <w:t>223.8</w:t>
            </w:r>
          </w:p>
        </w:tc>
        <w:tc>
          <w:tcPr>
            <w:tcW w:w="1127" w:type="pct"/>
            <w:shd w:val="clear" w:color="auto" w:fill="auto"/>
            <w:vAlign w:val="center"/>
          </w:tcPr>
          <w:p w14:paraId="0851EF00"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Units</w:t>
            </w:r>
          </w:p>
        </w:tc>
        <w:tc>
          <w:tcPr>
            <w:tcW w:w="602" w:type="pct"/>
            <w:shd w:val="clear" w:color="auto" w:fill="auto"/>
            <w:vAlign w:val="center"/>
          </w:tcPr>
          <w:p w14:paraId="4A4A8B6C" w14:textId="77777777" w:rsidR="00907D13" w:rsidRPr="00AD14A0" w:rsidRDefault="00907D13" w:rsidP="00FB5EB4">
            <w:pPr>
              <w:spacing w:line="276" w:lineRule="auto"/>
              <w:rPr>
                <w:rFonts w:ascii="Century Gothic" w:hAnsi="Century Gothic"/>
              </w:rPr>
            </w:pPr>
            <w:r w:rsidRPr="00AD14A0">
              <w:rPr>
                <w:rFonts w:ascii="Century Gothic" w:hAnsi="Century Gothic"/>
              </w:rPr>
              <w:t>17.90%</w:t>
            </w:r>
          </w:p>
        </w:tc>
        <w:tc>
          <w:tcPr>
            <w:tcW w:w="632" w:type="pct"/>
            <w:shd w:val="clear" w:color="auto" w:fill="auto"/>
            <w:vAlign w:val="center"/>
          </w:tcPr>
          <w:p w14:paraId="28D37F75" w14:textId="77777777" w:rsidR="00907D13" w:rsidRPr="00AD14A0" w:rsidRDefault="00907D13" w:rsidP="00FB5EB4">
            <w:pPr>
              <w:spacing w:line="276" w:lineRule="auto"/>
              <w:rPr>
                <w:rFonts w:ascii="Century Gothic" w:hAnsi="Century Gothic"/>
              </w:rPr>
            </w:pPr>
            <w:r w:rsidRPr="00AD14A0">
              <w:rPr>
                <w:rFonts w:ascii="Century Gothic" w:hAnsi="Century Gothic"/>
              </w:rPr>
              <w:t>18.34%</w:t>
            </w:r>
          </w:p>
        </w:tc>
      </w:tr>
      <w:tr w:rsidR="00907D13" w:rsidRPr="00AD14A0" w14:paraId="4FF5DBFF" w14:textId="77777777" w:rsidTr="00AD14A0">
        <w:trPr>
          <w:trHeight w:val="221"/>
        </w:trPr>
        <w:tc>
          <w:tcPr>
            <w:tcW w:w="1669" w:type="pct"/>
            <w:shd w:val="clear" w:color="auto" w:fill="auto"/>
            <w:vAlign w:val="center"/>
          </w:tcPr>
          <w:p w14:paraId="49B04D32"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lastRenderedPageBreak/>
              <w:t>Member #4</w:t>
            </w:r>
          </w:p>
        </w:tc>
        <w:tc>
          <w:tcPr>
            <w:tcW w:w="970" w:type="pct"/>
            <w:shd w:val="clear" w:color="auto" w:fill="auto"/>
            <w:vAlign w:val="center"/>
          </w:tcPr>
          <w:p w14:paraId="0B8E5906" w14:textId="77777777" w:rsidR="00907D13" w:rsidRPr="00AD14A0" w:rsidRDefault="00907D13" w:rsidP="00FB5EB4">
            <w:pPr>
              <w:spacing w:line="276" w:lineRule="auto"/>
              <w:rPr>
                <w:rFonts w:ascii="Century Gothic" w:hAnsi="Century Gothic"/>
                <w:w w:val="98"/>
              </w:rPr>
            </w:pPr>
            <w:r w:rsidRPr="00AD14A0">
              <w:rPr>
                <w:rFonts w:ascii="Century Gothic" w:hAnsi="Century Gothic"/>
                <w:w w:val="98"/>
              </w:rPr>
              <w:t>30</w:t>
            </w:r>
          </w:p>
        </w:tc>
        <w:tc>
          <w:tcPr>
            <w:tcW w:w="1127" w:type="pct"/>
            <w:shd w:val="clear" w:color="auto" w:fill="auto"/>
            <w:vAlign w:val="center"/>
          </w:tcPr>
          <w:p w14:paraId="6EF9F732"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Non-Voting Units</w:t>
            </w:r>
          </w:p>
        </w:tc>
        <w:tc>
          <w:tcPr>
            <w:tcW w:w="602" w:type="pct"/>
            <w:shd w:val="clear" w:color="auto" w:fill="auto"/>
            <w:vAlign w:val="center"/>
          </w:tcPr>
          <w:p w14:paraId="068D25F7" w14:textId="77777777" w:rsidR="00907D13" w:rsidRPr="00AD14A0" w:rsidRDefault="00907D13" w:rsidP="00FB5EB4">
            <w:pPr>
              <w:spacing w:line="276" w:lineRule="auto"/>
              <w:rPr>
                <w:rFonts w:ascii="Century Gothic" w:hAnsi="Century Gothic"/>
              </w:rPr>
            </w:pPr>
            <w:r w:rsidRPr="00AD14A0">
              <w:rPr>
                <w:rFonts w:ascii="Century Gothic" w:hAnsi="Century Gothic"/>
              </w:rPr>
              <w:t>2.40%</w:t>
            </w:r>
          </w:p>
        </w:tc>
        <w:tc>
          <w:tcPr>
            <w:tcW w:w="632" w:type="pct"/>
            <w:shd w:val="clear" w:color="auto" w:fill="auto"/>
            <w:vAlign w:val="center"/>
          </w:tcPr>
          <w:p w14:paraId="6FF61E50" w14:textId="77777777" w:rsidR="00907D13" w:rsidRPr="00AD14A0" w:rsidRDefault="00907D13" w:rsidP="00FB5EB4">
            <w:pPr>
              <w:spacing w:line="276" w:lineRule="auto"/>
              <w:rPr>
                <w:rFonts w:ascii="Century Gothic" w:hAnsi="Century Gothic"/>
              </w:rPr>
            </w:pPr>
            <w:r w:rsidRPr="00AD14A0">
              <w:rPr>
                <w:rFonts w:ascii="Century Gothic" w:hAnsi="Century Gothic"/>
              </w:rPr>
              <w:t>100.00%</w:t>
            </w:r>
          </w:p>
        </w:tc>
      </w:tr>
      <w:tr w:rsidR="00907D13" w:rsidRPr="00AD14A0" w14:paraId="00C8196D" w14:textId="77777777" w:rsidTr="00AD14A0">
        <w:trPr>
          <w:trHeight w:val="231"/>
        </w:trPr>
        <w:tc>
          <w:tcPr>
            <w:tcW w:w="1669" w:type="pct"/>
            <w:shd w:val="clear" w:color="auto" w:fill="auto"/>
            <w:vAlign w:val="bottom"/>
          </w:tcPr>
          <w:p w14:paraId="5576C8C0" w14:textId="77777777" w:rsidR="00907D13" w:rsidRPr="00AD14A0" w:rsidRDefault="00907D13" w:rsidP="00E96462">
            <w:pPr>
              <w:spacing w:line="276" w:lineRule="auto"/>
              <w:ind w:left="20"/>
              <w:rPr>
                <w:rFonts w:ascii="Century Gothic" w:hAnsi="Century Gothic"/>
              </w:rPr>
            </w:pPr>
            <w:r w:rsidRPr="00AD14A0">
              <w:rPr>
                <w:rFonts w:ascii="Century Gothic" w:hAnsi="Century Gothic"/>
              </w:rPr>
              <w:t>Additional Investors (In Total)</w:t>
            </w:r>
          </w:p>
        </w:tc>
        <w:tc>
          <w:tcPr>
            <w:tcW w:w="970" w:type="pct"/>
            <w:shd w:val="clear" w:color="auto" w:fill="auto"/>
            <w:vAlign w:val="center"/>
          </w:tcPr>
          <w:p w14:paraId="490059B9" w14:textId="77777777" w:rsidR="00907D13" w:rsidRPr="00AD14A0" w:rsidRDefault="00907D13" w:rsidP="00FB5EB4">
            <w:pPr>
              <w:spacing w:line="276" w:lineRule="auto"/>
              <w:rPr>
                <w:rFonts w:ascii="Century Gothic" w:hAnsi="Century Gothic"/>
                <w:w w:val="94"/>
              </w:rPr>
            </w:pPr>
            <w:r w:rsidRPr="00AD14A0">
              <w:rPr>
                <w:rFonts w:ascii="Century Gothic" w:hAnsi="Century Gothic"/>
                <w:w w:val="94"/>
              </w:rPr>
              <w:t>250</w:t>
            </w:r>
          </w:p>
        </w:tc>
        <w:tc>
          <w:tcPr>
            <w:tcW w:w="1127" w:type="pct"/>
            <w:shd w:val="clear" w:color="auto" w:fill="auto"/>
            <w:vAlign w:val="center"/>
          </w:tcPr>
          <w:p w14:paraId="2D7EDE3B" w14:textId="77777777" w:rsidR="00907D13" w:rsidRPr="00AD14A0" w:rsidRDefault="00907D13" w:rsidP="00FB5EB4">
            <w:pPr>
              <w:spacing w:line="276" w:lineRule="auto"/>
              <w:ind w:left="20"/>
              <w:rPr>
                <w:rFonts w:ascii="Century Gothic" w:hAnsi="Century Gothic"/>
              </w:rPr>
            </w:pPr>
            <w:r w:rsidRPr="00AD14A0">
              <w:rPr>
                <w:rFonts w:ascii="Century Gothic" w:hAnsi="Century Gothic"/>
              </w:rPr>
              <w:t>Common Units</w:t>
            </w:r>
          </w:p>
        </w:tc>
        <w:tc>
          <w:tcPr>
            <w:tcW w:w="602" w:type="pct"/>
            <w:shd w:val="clear" w:color="auto" w:fill="auto"/>
            <w:vAlign w:val="center"/>
          </w:tcPr>
          <w:p w14:paraId="772056F8" w14:textId="77777777" w:rsidR="00907D13" w:rsidRPr="00AD14A0" w:rsidRDefault="00907D13" w:rsidP="00FB5EB4">
            <w:pPr>
              <w:spacing w:line="276" w:lineRule="auto"/>
              <w:rPr>
                <w:rFonts w:ascii="Century Gothic" w:hAnsi="Century Gothic"/>
              </w:rPr>
            </w:pPr>
            <w:r w:rsidRPr="00AD14A0">
              <w:rPr>
                <w:rFonts w:ascii="Century Gothic" w:hAnsi="Century Gothic"/>
              </w:rPr>
              <w:t>20.00%</w:t>
            </w:r>
          </w:p>
        </w:tc>
        <w:tc>
          <w:tcPr>
            <w:tcW w:w="632" w:type="pct"/>
            <w:shd w:val="clear" w:color="auto" w:fill="auto"/>
            <w:vAlign w:val="center"/>
          </w:tcPr>
          <w:p w14:paraId="2EB56A9F" w14:textId="77777777" w:rsidR="00907D13" w:rsidRPr="00AD14A0" w:rsidRDefault="00907D13" w:rsidP="00FB5EB4">
            <w:pPr>
              <w:spacing w:line="276" w:lineRule="auto"/>
              <w:rPr>
                <w:rFonts w:ascii="Century Gothic" w:hAnsi="Century Gothic"/>
              </w:rPr>
            </w:pPr>
            <w:r w:rsidRPr="00AD14A0">
              <w:rPr>
                <w:rFonts w:ascii="Century Gothic" w:hAnsi="Century Gothic"/>
              </w:rPr>
              <w:t>20.49%</w:t>
            </w:r>
          </w:p>
        </w:tc>
      </w:tr>
    </w:tbl>
    <w:p w14:paraId="17841EE7" w14:textId="77777777" w:rsidR="00E20D71" w:rsidRPr="00E96462" w:rsidRDefault="00E20D71" w:rsidP="00FB5EB4">
      <w:pPr>
        <w:spacing w:line="276" w:lineRule="auto"/>
        <w:rPr>
          <w:rFonts w:ascii="Century Gothic" w:eastAsia="Times New Roman" w:hAnsi="Century Gothic"/>
        </w:rPr>
      </w:pPr>
    </w:p>
    <w:sectPr w:rsidR="00E20D71" w:rsidRPr="00E96462" w:rsidSect="00AD14A0">
      <w:footerReference w:type="default" r:id="rId6"/>
      <w:pgSz w:w="12240" w:h="15840"/>
      <w:pgMar w:top="1440" w:right="1080" w:bottom="1440" w:left="1080" w:header="0" w:footer="72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1A69" w14:textId="77777777" w:rsidR="00AD14A0" w:rsidRDefault="00AD14A0" w:rsidP="00AD14A0">
      <w:r>
        <w:separator/>
      </w:r>
    </w:p>
  </w:endnote>
  <w:endnote w:type="continuationSeparator" w:id="0">
    <w:p w14:paraId="50B8B695" w14:textId="77777777" w:rsidR="00AD14A0" w:rsidRDefault="00AD14A0" w:rsidP="00AD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1475348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B4D4707" w14:textId="5D6FC8D6" w:rsidR="00AD14A0" w:rsidRPr="00AD14A0" w:rsidRDefault="00AD14A0" w:rsidP="00AD14A0">
            <w:pPr>
              <w:pStyle w:val="Footer"/>
              <w:jc w:val="right"/>
              <w:rPr>
                <w:rFonts w:ascii="Century Gothic" w:hAnsi="Century Gothic"/>
                <w:sz w:val="16"/>
                <w:szCs w:val="16"/>
              </w:rPr>
            </w:pPr>
            <w:r w:rsidRPr="00AD14A0">
              <w:rPr>
                <w:rFonts w:ascii="Century Gothic" w:hAnsi="Century Gothic"/>
                <w:sz w:val="16"/>
                <w:szCs w:val="16"/>
              </w:rPr>
              <w:t xml:space="preserve">Page </w:t>
            </w:r>
            <w:r w:rsidRPr="00AD14A0">
              <w:rPr>
                <w:rFonts w:ascii="Century Gothic" w:hAnsi="Century Gothic"/>
                <w:b/>
                <w:bCs/>
                <w:sz w:val="16"/>
                <w:szCs w:val="16"/>
              </w:rPr>
              <w:fldChar w:fldCharType="begin"/>
            </w:r>
            <w:r w:rsidRPr="00AD14A0">
              <w:rPr>
                <w:rFonts w:ascii="Century Gothic" w:hAnsi="Century Gothic"/>
                <w:b/>
                <w:bCs/>
                <w:sz w:val="16"/>
                <w:szCs w:val="16"/>
              </w:rPr>
              <w:instrText xml:space="preserve"> PAGE </w:instrText>
            </w:r>
            <w:r w:rsidRPr="00AD14A0">
              <w:rPr>
                <w:rFonts w:ascii="Century Gothic" w:hAnsi="Century Gothic"/>
                <w:b/>
                <w:bCs/>
                <w:sz w:val="16"/>
                <w:szCs w:val="16"/>
              </w:rPr>
              <w:fldChar w:fldCharType="separate"/>
            </w:r>
            <w:r w:rsidRPr="00AD14A0">
              <w:rPr>
                <w:rFonts w:ascii="Century Gothic" w:hAnsi="Century Gothic"/>
                <w:b/>
                <w:bCs/>
                <w:noProof/>
                <w:sz w:val="16"/>
                <w:szCs w:val="16"/>
              </w:rPr>
              <w:t>2</w:t>
            </w:r>
            <w:r w:rsidRPr="00AD14A0">
              <w:rPr>
                <w:rFonts w:ascii="Century Gothic" w:hAnsi="Century Gothic"/>
                <w:b/>
                <w:bCs/>
                <w:sz w:val="16"/>
                <w:szCs w:val="16"/>
              </w:rPr>
              <w:fldChar w:fldCharType="end"/>
            </w:r>
            <w:r w:rsidRPr="00AD14A0">
              <w:rPr>
                <w:rFonts w:ascii="Century Gothic" w:hAnsi="Century Gothic"/>
                <w:sz w:val="16"/>
                <w:szCs w:val="16"/>
              </w:rPr>
              <w:t xml:space="preserve"> of </w:t>
            </w:r>
            <w:r w:rsidRPr="00AD14A0">
              <w:rPr>
                <w:rFonts w:ascii="Century Gothic" w:hAnsi="Century Gothic"/>
                <w:b/>
                <w:bCs/>
                <w:sz w:val="16"/>
                <w:szCs w:val="16"/>
              </w:rPr>
              <w:fldChar w:fldCharType="begin"/>
            </w:r>
            <w:r w:rsidRPr="00AD14A0">
              <w:rPr>
                <w:rFonts w:ascii="Century Gothic" w:hAnsi="Century Gothic"/>
                <w:b/>
                <w:bCs/>
                <w:sz w:val="16"/>
                <w:szCs w:val="16"/>
              </w:rPr>
              <w:instrText xml:space="preserve"> NUMPAGES  </w:instrText>
            </w:r>
            <w:r w:rsidRPr="00AD14A0">
              <w:rPr>
                <w:rFonts w:ascii="Century Gothic" w:hAnsi="Century Gothic"/>
                <w:b/>
                <w:bCs/>
                <w:sz w:val="16"/>
                <w:szCs w:val="16"/>
              </w:rPr>
              <w:fldChar w:fldCharType="separate"/>
            </w:r>
            <w:r w:rsidRPr="00AD14A0">
              <w:rPr>
                <w:rFonts w:ascii="Century Gothic" w:hAnsi="Century Gothic"/>
                <w:b/>
                <w:bCs/>
                <w:noProof/>
                <w:sz w:val="16"/>
                <w:szCs w:val="16"/>
              </w:rPr>
              <w:t>2</w:t>
            </w:r>
            <w:r w:rsidRPr="00AD14A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27F4" w14:textId="77777777" w:rsidR="00AD14A0" w:rsidRDefault="00AD14A0" w:rsidP="00AD14A0">
      <w:r>
        <w:separator/>
      </w:r>
    </w:p>
  </w:footnote>
  <w:footnote w:type="continuationSeparator" w:id="0">
    <w:p w14:paraId="2030E295" w14:textId="77777777" w:rsidR="00AD14A0" w:rsidRDefault="00AD14A0" w:rsidP="00AD1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62"/>
    <w:rsid w:val="00353870"/>
    <w:rsid w:val="00907D13"/>
    <w:rsid w:val="00AD14A0"/>
    <w:rsid w:val="00E20D71"/>
    <w:rsid w:val="00E96462"/>
    <w:rsid w:val="00FB5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DB6D"/>
  <w15:chartTrackingRefBased/>
  <w15:docId w15:val="{670F11A1-E2BC-49B1-BC50-8341423C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A0"/>
    <w:pPr>
      <w:tabs>
        <w:tab w:val="center" w:pos="4680"/>
        <w:tab w:val="right" w:pos="9360"/>
      </w:tabs>
    </w:pPr>
  </w:style>
  <w:style w:type="character" w:customStyle="1" w:styleId="HeaderChar">
    <w:name w:val="Header Char"/>
    <w:basedOn w:val="DefaultParagraphFont"/>
    <w:link w:val="Header"/>
    <w:uiPriority w:val="99"/>
    <w:rsid w:val="00AD14A0"/>
  </w:style>
  <w:style w:type="paragraph" w:styleId="Footer">
    <w:name w:val="footer"/>
    <w:basedOn w:val="Normal"/>
    <w:link w:val="FooterChar"/>
    <w:uiPriority w:val="99"/>
    <w:unhideWhenUsed/>
    <w:rsid w:val="00AD14A0"/>
    <w:pPr>
      <w:tabs>
        <w:tab w:val="center" w:pos="4680"/>
        <w:tab w:val="right" w:pos="9360"/>
      </w:tabs>
    </w:pPr>
  </w:style>
  <w:style w:type="character" w:customStyle="1" w:styleId="FooterChar">
    <w:name w:val="Footer Char"/>
    <w:basedOn w:val="DefaultParagraphFont"/>
    <w:link w:val="Footer"/>
    <w:uiPriority w:val="99"/>
    <w:rsid w:val="00AD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425</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4</cp:revision>
  <dcterms:created xsi:type="dcterms:W3CDTF">2022-08-08T17:47:00Z</dcterms:created>
  <dcterms:modified xsi:type="dcterms:W3CDTF">2022-08-23T20:49:00Z</dcterms:modified>
</cp:coreProperties>
</file>