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A66218" w14:textId="1D7F0ED6" w:rsidR="00512389" w:rsidRDefault="00CD1729" w:rsidP="000F3642">
      <w:pPr>
        <w:spacing w:line="0" w:lineRule="atLeast"/>
        <w:ind w:right="180"/>
        <w:jc w:val="center"/>
        <w:rPr>
          <w:rFonts w:ascii="Century Gothic" w:eastAsia="Times New Roman" w:hAnsi="Century Gothic"/>
          <w:b/>
          <w:sz w:val="36"/>
          <w:szCs w:val="36"/>
          <w:u w:val="single"/>
        </w:rPr>
      </w:pPr>
      <w:bookmarkStart w:id="0" w:name="page1"/>
      <w:bookmarkEnd w:id="0"/>
      <w:r w:rsidRPr="00CD1729">
        <w:rPr>
          <w:rFonts w:ascii="Century Gothic" w:eastAsia="Times New Roman" w:hAnsi="Century Gothic"/>
          <w:b/>
          <w:sz w:val="36"/>
          <w:szCs w:val="36"/>
          <w:u w:val="single"/>
        </w:rPr>
        <w:t>TERM SHEET</w:t>
      </w:r>
    </w:p>
    <w:p w14:paraId="2E68E928" w14:textId="77777777" w:rsidR="000F3642" w:rsidRPr="000F3642" w:rsidRDefault="000F3642" w:rsidP="000F3642">
      <w:pPr>
        <w:spacing w:line="0" w:lineRule="atLeast"/>
        <w:ind w:right="180"/>
        <w:jc w:val="center"/>
        <w:rPr>
          <w:rFonts w:ascii="Century Gothic" w:eastAsia="Times New Roman" w:hAnsi="Century Gothic"/>
          <w:b/>
          <w:sz w:val="36"/>
          <w:szCs w:val="36"/>
          <w:u w:val="single"/>
        </w:rPr>
      </w:pPr>
    </w:p>
    <w:p w14:paraId="5C0E3CF6" w14:textId="77777777" w:rsidR="00512389" w:rsidRDefault="00512389">
      <w:pPr>
        <w:spacing w:line="75" w:lineRule="exact"/>
        <w:rPr>
          <w:rFonts w:ascii="Century Gothic" w:eastAsia="Times New Roman" w:hAnsi="Century Gothic"/>
          <w:sz w:val="24"/>
        </w:rPr>
      </w:pPr>
    </w:p>
    <w:p w14:paraId="29458827" w14:textId="77777777" w:rsidR="00CD1729" w:rsidRPr="00CD1729" w:rsidRDefault="00CD1729">
      <w:pPr>
        <w:spacing w:line="75" w:lineRule="exact"/>
        <w:rPr>
          <w:rFonts w:ascii="Century Gothic" w:eastAsia="Times New Roman" w:hAnsi="Century Gothic"/>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43" w:type="dxa"/>
          <w:bottom w:w="72" w:type="dxa"/>
          <w:right w:w="43" w:type="dxa"/>
        </w:tblCellMar>
        <w:tblLook w:val="0000" w:firstRow="0" w:lastRow="0" w:firstColumn="0" w:lastColumn="0" w:noHBand="0" w:noVBand="0"/>
      </w:tblPr>
      <w:tblGrid>
        <w:gridCol w:w="3052"/>
        <w:gridCol w:w="3715"/>
        <w:gridCol w:w="3083"/>
      </w:tblGrid>
      <w:tr w:rsidR="00CD1729" w:rsidRPr="006A6E6A" w14:paraId="6AF8FF45" w14:textId="77777777" w:rsidTr="00BE31A8">
        <w:trPr>
          <w:trHeight w:val="593"/>
        </w:trPr>
        <w:tc>
          <w:tcPr>
            <w:tcW w:w="5000" w:type="pct"/>
            <w:gridSpan w:val="3"/>
            <w:shd w:val="clear" w:color="auto" w:fill="auto"/>
            <w:vAlign w:val="center"/>
          </w:tcPr>
          <w:p w14:paraId="6B851163" w14:textId="77777777" w:rsidR="00CD1729" w:rsidRPr="006A6E6A" w:rsidRDefault="00CD1729" w:rsidP="000F3642">
            <w:pPr>
              <w:spacing w:line="0" w:lineRule="atLeast"/>
              <w:jc w:val="center"/>
              <w:rPr>
                <w:rFonts w:ascii="Century Gothic" w:eastAsia="Times New Roman" w:hAnsi="Century Gothic"/>
              </w:rPr>
            </w:pPr>
            <w:r w:rsidRPr="006A6E6A">
              <w:rPr>
                <w:rFonts w:ascii="Century Gothic" w:eastAsia="Times New Roman" w:hAnsi="Century Gothic"/>
                <w:b/>
              </w:rPr>
              <w:t>OFFERING TERMS</w:t>
            </w:r>
          </w:p>
        </w:tc>
      </w:tr>
      <w:tr w:rsidR="00CD1729" w:rsidRPr="006A6E6A" w14:paraId="5ABDE2BB" w14:textId="77777777" w:rsidTr="00BE31A8">
        <w:trPr>
          <w:trHeight w:val="2411"/>
        </w:trPr>
        <w:tc>
          <w:tcPr>
            <w:tcW w:w="1549" w:type="pct"/>
            <w:shd w:val="clear" w:color="auto" w:fill="auto"/>
            <w:vAlign w:val="center"/>
          </w:tcPr>
          <w:p w14:paraId="6D65E117" w14:textId="77777777" w:rsidR="00CD1729" w:rsidRPr="000F3642" w:rsidRDefault="00CD1729"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t>Closing Date:</w:t>
            </w:r>
          </w:p>
        </w:tc>
        <w:tc>
          <w:tcPr>
            <w:tcW w:w="3451" w:type="pct"/>
            <w:gridSpan w:val="2"/>
            <w:shd w:val="clear" w:color="auto" w:fill="auto"/>
            <w:vAlign w:val="center"/>
          </w:tcPr>
          <w:p w14:paraId="78792643" w14:textId="30BFB9FD" w:rsidR="00CD1729" w:rsidRPr="006A6E6A" w:rsidRDefault="00BE31A8" w:rsidP="00BE31A8">
            <w:pPr>
              <w:spacing w:line="0" w:lineRule="atLeast"/>
              <w:ind w:left="46"/>
              <w:rPr>
                <w:rFonts w:ascii="Century Gothic" w:eastAsia="Times New Roman" w:hAnsi="Century Gothic"/>
              </w:rPr>
            </w:pPr>
            <w:r w:rsidRPr="006A6E6A">
              <w:rPr>
                <w:rFonts w:ascii="Century Gothic" w:eastAsia="Times New Roman" w:hAnsi="Century Gothic"/>
              </w:rPr>
              <w:t>The initial closing (the “</w:t>
            </w:r>
            <w:r w:rsidRPr="006A6E6A">
              <w:rPr>
                <w:rFonts w:ascii="Century Gothic" w:eastAsia="Times New Roman" w:hAnsi="Century Gothic"/>
                <w:b/>
              </w:rPr>
              <w:t>Initial Closing</w:t>
            </w:r>
            <w:r w:rsidRPr="006A6E6A">
              <w:rPr>
                <w:rFonts w:ascii="Century Gothic" w:eastAsia="Times New Roman" w:hAnsi="Century Gothic"/>
              </w:rPr>
              <w:t>”) shall occur as soon as</w:t>
            </w:r>
            <w:r w:rsidR="006A6E6A">
              <w:rPr>
                <w:rFonts w:ascii="Century Gothic" w:eastAsia="Times New Roman" w:hAnsi="Century Gothic"/>
              </w:rPr>
              <w:t xml:space="preserve"> </w:t>
            </w:r>
            <w:r w:rsidRPr="006A6E6A">
              <w:rPr>
                <w:rFonts w:ascii="Century Gothic" w:eastAsia="Times New Roman" w:hAnsi="Century Gothic"/>
              </w:rPr>
              <w:t>reasonably practicable following the Company’s execution of this</w:t>
            </w:r>
            <w:r w:rsidR="006A6E6A">
              <w:rPr>
                <w:rFonts w:ascii="Century Gothic" w:eastAsia="Times New Roman" w:hAnsi="Century Gothic"/>
              </w:rPr>
              <w:t xml:space="preserve"> </w:t>
            </w:r>
            <w:r w:rsidR="00CD1729" w:rsidRPr="006A6E6A">
              <w:rPr>
                <w:rFonts w:ascii="Century Gothic" w:eastAsia="Times New Roman" w:hAnsi="Century Gothic"/>
              </w:rPr>
              <w:t>Term Sheet, satisfaction of the Conditions to Closing, and upon the</w:t>
            </w:r>
            <w:r w:rsidR="006A6E6A">
              <w:rPr>
                <w:rFonts w:ascii="Century Gothic" w:eastAsia="Times New Roman" w:hAnsi="Century Gothic"/>
              </w:rPr>
              <w:t xml:space="preserve"> </w:t>
            </w:r>
            <w:r w:rsidR="00CD1729" w:rsidRPr="006A6E6A">
              <w:rPr>
                <w:rFonts w:ascii="Century Gothic" w:eastAsia="Times New Roman" w:hAnsi="Century Gothic"/>
              </w:rPr>
              <w:t>Company receiving investments equaling or exceeding the Minimum</w:t>
            </w:r>
            <w:r w:rsidR="006A6E6A">
              <w:rPr>
                <w:rFonts w:ascii="Century Gothic" w:eastAsia="Times New Roman" w:hAnsi="Century Gothic"/>
              </w:rPr>
              <w:t xml:space="preserve"> </w:t>
            </w:r>
            <w:r w:rsidR="00CD1729" w:rsidRPr="006A6E6A">
              <w:rPr>
                <w:rFonts w:ascii="Century Gothic" w:eastAsia="Times New Roman" w:hAnsi="Century Gothic"/>
              </w:rPr>
              <w:t xml:space="preserve">Offering described </w:t>
            </w:r>
            <w:bookmarkStart w:id="1" w:name="_GoBack"/>
            <w:bookmarkEnd w:id="1"/>
            <w:r w:rsidR="00CD1729" w:rsidRPr="006A6E6A">
              <w:rPr>
                <w:rFonts w:ascii="Century Gothic" w:eastAsia="Times New Roman" w:hAnsi="Century Gothic"/>
              </w:rPr>
              <w:t>below.</w:t>
            </w:r>
          </w:p>
        </w:tc>
      </w:tr>
      <w:tr w:rsidR="00CD1729" w:rsidRPr="006A6E6A" w14:paraId="070A6F35" w14:textId="77777777" w:rsidTr="00BE31A8">
        <w:trPr>
          <w:trHeight w:val="1268"/>
        </w:trPr>
        <w:tc>
          <w:tcPr>
            <w:tcW w:w="1549" w:type="pct"/>
            <w:shd w:val="clear" w:color="auto" w:fill="auto"/>
            <w:vAlign w:val="center"/>
          </w:tcPr>
          <w:p w14:paraId="41B00CA8" w14:textId="77777777" w:rsidR="00CD1729" w:rsidRPr="000F3642" w:rsidRDefault="00CD1729"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t>Securities Offered by the</w:t>
            </w:r>
          </w:p>
          <w:p w14:paraId="19E25204" w14:textId="77777777" w:rsidR="00CD1729" w:rsidRPr="000F3642" w:rsidRDefault="00CD1729"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t>Company:</w:t>
            </w:r>
          </w:p>
        </w:tc>
        <w:tc>
          <w:tcPr>
            <w:tcW w:w="1886" w:type="pct"/>
            <w:shd w:val="clear" w:color="auto" w:fill="auto"/>
            <w:vAlign w:val="center"/>
          </w:tcPr>
          <w:p w14:paraId="1A7113C9" w14:textId="77777777" w:rsidR="00CD1729" w:rsidRPr="006A6E6A" w:rsidRDefault="00CD1729" w:rsidP="00BE31A8">
            <w:pPr>
              <w:spacing w:line="0" w:lineRule="atLeast"/>
              <w:ind w:left="46"/>
              <w:rPr>
                <w:rFonts w:ascii="Century Gothic" w:eastAsia="Times New Roman" w:hAnsi="Century Gothic"/>
              </w:rPr>
            </w:pPr>
            <w:r w:rsidRPr="006A6E6A">
              <w:rPr>
                <w:rFonts w:ascii="Century Gothic" w:eastAsia="Times New Roman" w:hAnsi="Century Gothic"/>
              </w:rPr>
              <w:t>Minimum Offering:</w:t>
            </w:r>
          </w:p>
          <w:p w14:paraId="7F10BF90" w14:textId="77777777" w:rsidR="00CD1729" w:rsidRPr="006A6E6A" w:rsidRDefault="00CD1729" w:rsidP="00BE31A8">
            <w:pPr>
              <w:spacing w:line="0" w:lineRule="atLeast"/>
              <w:ind w:left="46"/>
              <w:rPr>
                <w:rFonts w:ascii="Century Gothic" w:eastAsia="Times New Roman" w:hAnsi="Century Gothic"/>
              </w:rPr>
            </w:pPr>
            <w:r w:rsidRPr="006A6E6A">
              <w:rPr>
                <w:rFonts w:ascii="Century Gothic" w:eastAsia="Times New Roman" w:hAnsi="Century Gothic"/>
              </w:rPr>
              <w:t>Target Offering:</w:t>
            </w:r>
          </w:p>
          <w:p w14:paraId="4091E455" w14:textId="77777777" w:rsidR="00CD1729" w:rsidRPr="006A6E6A" w:rsidRDefault="00CD1729" w:rsidP="00BE31A8">
            <w:pPr>
              <w:spacing w:line="0" w:lineRule="atLeast"/>
              <w:ind w:left="46"/>
              <w:rPr>
                <w:rFonts w:ascii="Century Gothic" w:eastAsia="Times New Roman" w:hAnsi="Century Gothic"/>
              </w:rPr>
            </w:pPr>
            <w:r w:rsidRPr="006A6E6A">
              <w:rPr>
                <w:rFonts w:ascii="Century Gothic" w:eastAsia="Times New Roman" w:hAnsi="Century Gothic"/>
              </w:rPr>
              <w:t>Maximum Offering:</w:t>
            </w:r>
          </w:p>
        </w:tc>
        <w:tc>
          <w:tcPr>
            <w:tcW w:w="1565" w:type="pct"/>
            <w:shd w:val="clear" w:color="auto" w:fill="auto"/>
            <w:vAlign w:val="center"/>
          </w:tcPr>
          <w:p w14:paraId="37F175CF" w14:textId="77777777" w:rsidR="00CD1729" w:rsidRPr="006A6E6A" w:rsidRDefault="00CD1729" w:rsidP="00BE31A8">
            <w:pPr>
              <w:spacing w:line="0" w:lineRule="atLeast"/>
              <w:ind w:left="46" w:right="1592"/>
              <w:rPr>
                <w:rFonts w:ascii="Century Gothic" w:eastAsia="Times New Roman" w:hAnsi="Century Gothic"/>
              </w:rPr>
            </w:pPr>
            <w:r w:rsidRPr="006A6E6A">
              <w:rPr>
                <w:rFonts w:ascii="Century Gothic" w:eastAsia="Times New Roman" w:hAnsi="Century Gothic"/>
              </w:rPr>
              <w:t>$100,000.00</w:t>
            </w:r>
          </w:p>
          <w:p w14:paraId="45415360" w14:textId="77777777" w:rsidR="00CD1729" w:rsidRPr="006A6E6A" w:rsidRDefault="00CD1729" w:rsidP="00BE31A8">
            <w:pPr>
              <w:spacing w:line="0" w:lineRule="atLeast"/>
              <w:ind w:left="46" w:right="1592"/>
              <w:rPr>
                <w:rFonts w:ascii="Century Gothic" w:eastAsia="Times New Roman" w:hAnsi="Century Gothic"/>
              </w:rPr>
            </w:pPr>
            <w:r w:rsidRPr="006A6E6A">
              <w:rPr>
                <w:rFonts w:ascii="Century Gothic" w:eastAsia="Times New Roman" w:hAnsi="Century Gothic"/>
              </w:rPr>
              <w:t>$500,000.00</w:t>
            </w:r>
          </w:p>
          <w:p w14:paraId="76286728" w14:textId="77777777" w:rsidR="00CD1729" w:rsidRPr="006A6E6A" w:rsidRDefault="00CD1729" w:rsidP="00BE31A8">
            <w:pPr>
              <w:spacing w:line="0" w:lineRule="atLeast"/>
              <w:ind w:left="46" w:right="1592"/>
              <w:rPr>
                <w:rFonts w:ascii="Century Gothic" w:eastAsia="Times New Roman" w:hAnsi="Century Gothic"/>
              </w:rPr>
            </w:pPr>
            <w:r w:rsidRPr="006A6E6A">
              <w:rPr>
                <w:rFonts w:ascii="Century Gothic" w:eastAsia="Times New Roman" w:hAnsi="Century Gothic"/>
                <w:w w:val="99"/>
              </w:rPr>
              <w:t>$1,000,000.00</w:t>
            </w:r>
          </w:p>
        </w:tc>
      </w:tr>
      <w:tr w:rsidR="00CD1729" w:rsidRPr="006A6E6A" w14:paraId="02B30B14" w14:textId="77777777" w:rsidTr="00BE31A8">
        <w:trPr>
          <w:trHeight w:val="826"/>
        </w:trPr>
        <w:tc>
          <w:tcPr>
            <w:tcW w:w="1549" w:type="pct"/>
            <w:shd w:val="clear" w:color="auto" w:fill="auto"/>
            <w:vAlign w:val="center"/>
          </w:tcPr>
          <w:p w14:paraId="3658F987" w14:textId="77777777" w:rsidR="00CD1729" w:rsidRPr="000F3642" w:rsidRDefault="00CD1729"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t>Price Per Share:</w:t>
            </w:r>
          </w:p>
        </w:tc>
        <w:tc>
          <w:tcPr>
            <w:tcW w:w="3451" w:type="pct"/>
            <w:gridSpan w:val="2"/>
            <w:shd w:val="clear" w:color="auto" w:fill="auto"/>
            <w:vAlign w:val="center"/>
          </w:tcPr>
          <w:p w14:paraId="0E698F81" w14:textId="77777777" w:rsidR="00CD1729" w:rsidRPr="006A6E6A" w:rsidRDefault="00CD1729" w:rsidP="00BE31A8">
            <w:pPr>
              <w:spacing w:line="0" w:lineRule="atLeast"/>
              <w:ind w:left="46"/>
              <w:rPr>
                <w:rFonts w:ascii="Century Gothic" w:eastAsia="Times New Roman" w:hAnsi="Century Gothic"/>
              </w:rPr>
            </w:pPr>
            <w:r w:rsidRPr="006A6E6A">
              <w:rPr>
                <w:rFonts w:ascii="Century Gothic" w:eastAsia="Times New Roman" w:hAnsi="Century Gothic"/>
              </w:rPr>
              <w:t>$1.75 per share (based on the capitalization of the Company set forth</w:t>
            </w:r>
            <w:r w:rsidR="006A6E6A">
              <w:rPr>
                <w:rFonts w:ascii="Century Gothic" w:eastAsia="Times New Roman" w:hAnsi="Century Gothic"/>
              </w:rPr>
              <w:t xml:space="preserve"> </w:t>
            </w:r>
            <w:r w:rsidRPr="006A6E6A">
              <w:rPr>
                <w:rFonts w:ascii="Century Gothic" w:eastAsia="Times New Roman" w:hAnsi="Century Gothic"/>
              </w:rPr>
              <w:t>below) (the “</w:t>
            </w:r>
            <w:r w:rsidRPr="006A6E6A">
              <w:rPr>
                <w:rFonts w:ascii="Century Gothic" w:eastAsia="Times New Roman" w:hAnsi="Century Gothic"/>
                <w:b/>
              </w:rPr>
              <w:t>Original Purchase Price</w:t>
            </w:r>
            <w:r w:rsidRPr="006A6E6A">
              <w:rPr>
                <w:rFonts w:ascii="Century Gothic" w:eastAsia="Times New Roman" w:hAnsi="Century Gothic"/>
              </w:rPr>
              <w:t>”).</w:t>
            </w:r>
          </w:p>
        </w:tc>
      </w:tr>
      <w:tr w:rsidR="00CD1729" w:rsidRPr="006A6E6A" w14:paraId="2956FDE3" w14:textId="77777777" w:rsidTr="00BE31A8">
        <w:trPr>
          <w:trHeight w:val="2139"/>
        </w:trPr>
        <w:tc>
          <w:tcPr>
            <w:tcW w:w="1549" w:type="pct"/>
            <w:shd w:val="clear" w:color="auto" w:fill="auto"/>
            <w:vAlign w:val="center"/>
          </w:tcPr>
          <w:p w14:paraId="29BCAF1F" w14:textId="77777777" w:rsidR="00CD1729" w:rsidRPr="000F3642" w:rsidRDefault="00CD1729"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t>Pre-Money Valuation:</w:t>
            </w:r>
          </w:p>
        </w:tc>
        <w:tc>
          <w:tcPr>
            <w:tcW w:w="3451" w:type="pct"/>
            <w:gridSpan w:val="2"/>
            <w:shd w:val="clear" w:color="auto" w:fill="auto"/>
            <w:vAlign w:val="center"/>
          </w:tcPr>
          <w:p w14:paraId="4696FC39" w14:textId="414F1DFA" w:rsidR="00CD1729" w:rsidRPr="006A6E6A" w:rsidRDefault="00CD1729" w:rsidP="00BE31A8">
            <w:pPr>
              <w:spacing w:line="0" w:lineRule="atLeast"/>
              <w:ind w:left="46"/>
              <w:rPr>
                <w:rFonts w:ascii="Century Gothic" w:eastAsia="Times New Roman" w:hAnsi="Century Gothic"/>
              </w:rPr>
            </w:pPr>
            <w:r w:rsidRPr="006A6E6A">
              <w:rPr>
                <w:rFonts w:ascii="Century Gothic" w:eastAsia="Times New Roman" w:hAnsi="Century Gothic"/>
              </w:rPr>
              <w:t>Based upon the Original Purchase Price, the pre-money</w:t>
            </w:r>
            <w:r w:rsidR="006A6E6A">
              <w:rPr>
                <w:rFonts w:ascii="Century Gothic" w:eastAsia="Times New Roman" w:hAnsi="Century Gothic"/>
              </w:rPr>
              <w:t xml:space="preserve"> </w:t>
            </w:r>
            <w:r w:rsidRPr="006A6E6A">
              <w:rPr>
                <w:rFonts w:ascii="Century Gothic" w:eastAsia="Times New Roman" w:hAnsi="Century Gothic"/>
              </w:rPr>
              <w:t>valuation of</w:t>
            </w:r>
            <w:r w:rsidR="006A6E6A">
              <w:rPr>
                <w:rFonts w:ascii="Century Gothic" w:eastAsia="Times New Roman" w:hAnsi="Century Gothic"/>
              </w:rPr>
              <w:t xml:space="preserve"> </w:t>
            </w:r>
            <w:r w:rsidR="00BE31A8" w:rsidRPr="006A6E6A">
              <w:rPr>
                <w:rFonts w:ascii="Century Gothic" w:eastAsia="Times New Roman" w:hAnsi="Century Gothic"/>
              </w:rPr>
              <w:t>the Company is $9,015,125 and</w:t>
            </w:r>
            <w:r w:rsidR="006A6E6A">
              <w:rPr>
                <w:rFonts w:ascii="Century Gothic" w:eastAsia="Times New Roman" w:hAnsi="Century Gothic"/>
              </w:rPr>
              <w:t xml:space="preserve"> </w:t>
            </w:r>
            <w:r w:rsidR="00BE31A8" w:rsidRPr="006A6E6A">
              <w:rPr>
                <w:rFonts w:ascii="Century Gothic" w:eastAsia="Times New Roman" w:hAnsi="Century Gothic"/>
              </w:rPr>
              <w:t>the post</w:t>
            </w:r>
            <w:r w:rsidRPr="006A6E6A">
              <w:rPr>
                <w:rFonts w:ascii="Century Gothic" w:eastAsia="Times New Roman" w:hAnsi="Century Gothic"/>
              </w:rPr>
              <w:t>-</w:t>
            </w:r>
            <w:r w:rsidR="00BE31A8" w:rsidRPr="006A6E6A">
              <w:rPr>
                <w:rFonts w:ascii="Century Gothic" w:eastAsia="Times New Roman" w:hAnsi="Century Gothic"/>
              </w:rPr>
              <w:t>money valuation is</w:t>
            </w:r>
            <w:r w:rsidR="006A6E6A">
              <w:rPr>
                <w:rFonts w:ascii="Century Gothic" w:eastAsia="Times New Roman" w:hAnsi="Century Gothic"/>
              </w:rPr>
              <w:t xml:space="preserve"> </w:t>
            </w:r>
            <w:r w:rsidRPr="006A6E6A">
              <w:rPr>
                <w:rFonts w:ascii="Century Gothic" w:eastAsia="Times New Roman" w:hAnsi="Century Gothic"/>
              </w:rPr>
              <w:t>$10,015,125 based upon achieving the Maximum Offering.</w:t>
            </w:r>
            <w:r w:rsidR="006A6E6A">
              <w:rPr>
                <w:rFonts w:ascii="Century Gothic" w:eastAsia="Times New Roman" w:hAnsi="Century Gothic"/>
              </w:rPr>
              <w:t xml:space="preserve"> </w:t>
            </w:r>
            <w:r w:rsidRPr="006A6E6A">
              <w:rPr>
                <w:rFonts w:ascii="Century Gothic" w:eastAsia="Times New Roman" w:hAnsi="Century Gothic"/>
              </w:rPr>
              <w:t>These amounts do not include an incentive share pool representing</w:t>
            </w:r>
            <w:r w:rsidR="006A6E6A">
              <w:rPr>
                <w:rFonts w:ascii="Century Gothic" w:eastAsia="Times New Roman" w:hAnsi="Century Gothic"/>
              </w:rPr>
              <w:t xml:space="preserve"> </w:t>
            </w:r>
            <w:r w:rsidRPr="006A6E6A">
              <w:rPr>
                <w:rFonts w:ascii="Century Gothic" w:eastAsia="Times New Roman" w:hAnsi="Century Gothic"/>
              </w:rPr>
              <w:t>13.71% of the Company’s stock on a fully-diluted basis.</w:t>
            </w:r>
          </w:p>
        </w:tc>
      </w:tr>
      <w:tr w:rsidR="00CD1729" w:rsidRPr="006A6E6A" w14:paraId="2F41126E" w14:textId="77777777" w:rsidTr="00BE31A8">
        <w:trPr>
          <w:trHeight w:val="1037"/>
        </w:trPr>
        <w:tc>
          <w:tcPr>
            <w:tcW w:w="1549" w:type="pct"/>
            <w:shd w:val="clear" w:color="auto" w:fill="auto"/>
            <w:vAlign w:val="center"/>
          </w:tcPr>
          <w:p w14:paraId="0956A584" w14:textId="77777777" w:rsidR="00CD1729" w:rsidRPr="000F3642" w:rsidRDefault="00CD1729"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t>Capitalization:</w:t>
            </w:r>
          </w:p>
        </w:tc>
        <w:tc>
          <w:tcPr>
            <w:tcW w:w="3451" w:type="pct"/>
            <w:gridSpan w:val="2"/>
            <w:shd w:val="clear" w:color="auto" w:fill="auto"/>
            <w:vAlign w:val="center"/>
          </w:tcPr>
          <w:p w14:paraId="5C186755" w14:textId="77777777" w:rsidR="00CD1729" w:rsidRPr="006A6E6A" w:rsidRDefault="00CD1729" w:rsidP="00BE31A8">
            <w:pPr>
              <w:spacing w:line="0" w:lineRule="atLeast"/>
              <w:ind w:left="46"/>
              <w:rPr>
                <w:rFonts w:ascii="Century Gothic" w:eastAsia="Times New Roman" w:hAnsi="Century Gothic"/>
              </w:rPr>
            </w:pPr>
            <w:r w:rsidRPr="006A6E6A">
              <w:rPr>
                <w:rFonts w:ascii="Century Gothic" w:eastAsia="Times New Roman" w:hAnsi="Century Gothic"/>
              </w:rPr>
              <w:t>The Company’s pre &amp; post Round 2 investment capital structures are</w:t>
            </w:r>
            <w:r w:rsidR="006A6E6A">
              <w:rPr>
                <w:rFonts w:ascii="Century Gothic" w:eastAsia="Times New Roman" w:hAnsi="Century Gothic"/>
              </w:rPr>
              <w:t xml:space="preserve"> </w:t>
            </w:r>
            <w:r w:rsidRPr="006A6E6A">
              <w:rPr>
                <w:rFonts w:ascii="Century Gothic" w:eastAsia="Times New Roman" w:hAnsi="Century Gothic"/>
              </w:rPr>
              <w:t>shown in attached Exhibit A. Subsequent financings are not shown.</w:t>
            </w:r>
          </w:p>
        </w:tc>
      </w:tr>
      <w:tr w:rsidR="00CD1729" w:rsidRPr="006A6E6A" w14:paraId="75EBE168" w14:textId="77777777" w:rsidTr="00BE31A8">
        <w:trPr>
          <w:trHeight w:val="1037"/>
        </w:trPr>
        <w:tc>
          <w:tcPr>
            <w:tcW w:w="1549" w:type="pct"/>
            <w:shd w:val="clear" w:color="auto" w:fill="auto"/>
            <w:vAlign w:val="center"/>
          </w:tcPr>
          <w:p w14:paraId="6E6CC4AC" w14:textId="77777777" w:rsidR="00CD1729" w:rsidRPr="000F3642" w:rsidRDefault="00CD1729"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t>Dividends:</w:t>
            </w:r>
          </w:p>
        </w:tc>
        <w:tc>
          <w:tcPr>
            <w:tcW w:w="3451" w:type="pct"/>
            <w:gridSpan w:val="2"/>
            <w:shd w:val="clear" w:color="auto" w:fill="auto"/>
            <w:vAlign w:val="center"/>
          </w:tcPr>
          <w:p w14:paraId="5DC1FBF5" w14:textId="77777777" w:rsidR="00CD1729" w:rsidRPr="006A6E6A" w:rsidRDefault="00CD1729" w:rsidP="00BE31A8">
            <w:pPr>
              <w:spacing w:line="0" w:lineRule="atLeast"/>
              <w:ind w:left="46"/>
              <w:rPr>
                <w:rFonts w:ascii="Century Gothic" w:eastAsia="Times New Roman" w:hAnsi="Century Gothic"/>
              </w:rPr>
            </w:pPr>
            <w:r w:rsidRPr="006A6E6A">
              <w:rPr>
                <w:rFonts w:ascii="Century Gothic" w:eastAsia="Times New Roman" w:hAnsi="Century Gothic"/>
              </w:rPr>
              <w:t>The Company has never paid a dividend on its Common Stock.  The</w:t>
            </w:r>
            <w:r w:rsidR="006A6E6A">
              <w:rPr>
                <w:rFonts w:ascii="Century Gothic" w:eastAsia="Times New Roman" w:hAnsi="Century Gothic"/>
              </w:rPr>
              <w:t xml:space="preserve"> </w:t>
            </w:r>
            <w:r w:rsidRPr="006A6E6A">
              <w:rPr>
                <w:rFonts w:ascii="Century Gothic" w:eastAsia="Times New Roman" w:hAnsi="Century Gothic"/>
              </w:rPr>
              <w:t>Company’s Board of Directors (the “</w:t>
            </w:r>
            <w:r w:rsidRPr="006A6E6A">
              <w:rPr>
                <w:rFonts w:ascii="Century Gothic" w:eastAsia="Times New Roman" w:hAnsi="Century Gothic"/>
                <w:b/>
              </w:rPr>
              <w:t>Board</w:t>
            </w:r>
            <w:r w:rsidRPr="006A6E6A">
              <w:rPr>
                <w:rFonts w:ascii="Century Gothic" w:eastAsia="Times New Roman" w:hAnsi="Century Gothic"/>
              </w:rPr>
              <w:t>”) presently intends to</w:t>
            </w:r>
            <w:r w:rsidR="006A6E6A">
              <w:rPr>
                <w:rFonts w:ascii="Century Gothic" w:eastAsia="Times New Roman" w:hAnsi="Century Gothic"/>
              </w:rPr>
              <w:t xml:space="preserve"> </w:t>
            </w:r>
            <w:r w:rsidRPr="006A6E6A">
              <w:rPr>
                <w:rFonts w:ascii="Century Gothic" w:eastAsia="Times New Roman" w:hAnsi="Century Gothic"/>
              </w:rPr>
              <w:t>retain all earnings of the Company in order to facilitate future growth.</w:t>
            </w:r>
          </w:p>
        </w:tc>
      </w:tr>
      <w:tr w:rsidR="00CD1729" w:rsidRPr="006A6E6A" w14:paraId="5642D579" w14:textId="77777777" w:rsidTr="00BE31A8">
        <w:trPr>
          <w:trHeight w:val="2397"/>
        </w:trPr>
        <w:tc>
          <w:tcPr>
            <w:tcW w:w="1549" w:type="pct"/>
            <w:shd w:val="clear" w:color="auto" w:fill="auto"/>
            <w:vAlign w:val="center"/>
          </w:tcPr>
          <w:p w14:paraId="75335933" w14:textId="77777777" w:rsidR="00CD1729" w:rsidRPr="000F3642" w:rsidRDefault="00CD1729"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lastRenderedPageBreak/>
              <w:t>Warrant Coverage:</w:t>
            </w:r>
          </w:p>
        </w:tc>
        <w:tc>
          <w:tcPr>
            <w:tcW w:w="3451" w:type="pct"/>
            <w:gridSpan w:val="2"/>
            <w:shd w:val="clear" w:color="auto" w:fill="auto"/>
            <w:vAlign w:val="center"/>
          </w:tcPr>
          <w:p w14:paraId="4DF1F4A2" w14:textId="77777777" w:rsidR="00CD1729" w:rsidRPr="006A6E6A" w:rsidRDefault="00CD1729" w:rsidP="00BE31A8">
            <w:pPr>
              <w:spacing w:line="0" w:lineRule="atLeast"/>
              <w:ind w:left="46"/>
              <w:rPr>
                <w:rFonts w:ascii="Century Gothic" w:eastAsia="Times New Roman" w:hAnsi="Century Gothic"/>
              </w:rPr>
            </w:pPr>
            <w:r w:rsidRPr="006A6E6A">
              <w:rPr>
                <w:rFonts w:ascii="Century Gothic" w:eastAsia="Times New Roman" w:hAnsi="Century Gothic"/>
              </w:rPr>
              <w:t>Simultaneously with Initial Closing and at any subsequent Closings,</w:t>
            </w:r>
            <w:r w:rsidR="006A6E6A">
              <w:rPr>
                <w:rFonts w:ascii="Century Gothic" w:eastAsia="Times New Roman" w:hAnsi="Century Gothic"/>
              </w:rPr>
              <w:t xml:space="preserve"> </w:t>
            </w:r>
            <w:r w:rsidRPr="006A6E6A">
              <w:rPr>
                <w:rFonts w:ascii="Century Gothic" w:eastAsia="Times New Roman" w:hAnsi="Century Gothic"/>
              </w:rPr>
              <w:t>the Company will issue warrants to purchase that number of shares of</w:t>
            </w:r>
            <w:r w:rsidR="006A6E6A">
              <w:rPr>
                <w:rFonts w:ascii="Century Gothic" w:eastAsia="Times New Roman" w:hAnsi="Century Gothic"/>
              </w:rPr>
              <w:t xml:space="preserve"> </w:t>
            </w:r>
            <w:r w:rsidRPr="006A6E6A">
              <w:rPr>
                <w:rFonts w:ascii="Century Gothic" w:eastAsia="Times New Roman" w:hAnsi="Century Gothic"/>
              </w:rPr>
              <w:t>Common Stock equal to 100.0% of the number of shares purchased in</w:t>
            </w:r>
            <w:r w:rsidR="006A6E6A">
              <w:rPr>
                <w:rFonts w:ascii="Century Gothic" w:eastAsia="Times New Roman" w:hAnsi="Century Gothic"/>
              </w:rPr>
              <w:t xml:space="preserve"> </w:t>
            </w:r>
            <w:r w:rsidRPr="006A6E6A">
              <w:rPr>
                <w:rFonts w:ascii="Century Gothic" w:eastAsia="Times New Roman" w:hAnsi="Century Gothic"/>
              </w:rPr>
              <w:t>the Closing. Such warrants shall have an exercise price of $1.25 per</w:t>
            </w:r>
            <w:r w:rsidR="006A6E6A">
              <w:rPr>
                <w:rFonts w:ascii="Century Gothic" w:eastAsia="Times New Roman" w:hAnsi="Century Gothic"/>
              </w:rPr>
              <w:t xml:space="preserve"> </w:t>
            </w:r>
            <w:r w:rsidRPr="006A6E6A">
              <w:rPr>
                <w:rFonts w:ascii="Century Gothic" w:eastAsia="Times New Roman" w:hAnsi="Century Gothic"/>
              </w:rPr>
              <w:t>share and will expire three years from date of issuance.</w:t>
            </w:r>
          </w:p>
        </w:tc>
      </w:tr>
      <w:tr w:rsidR="00CD1729" w:rsidRPr="006A6E6A" w14:paraId="0E23505C" w14:textId="77777777" w:rsidTr="00BE31A8">
        <w:trPr>
          <w:trHeight w:val="791"/>
        </w:trPr>
        <w:tc>
          <w:tcPr>
            <w:tcW w:w="5000" w:type="pct"/>
            <w:gridSpan w:val="3"/>
            <w:shd w:val="clear" w:color="auto" w:fill="auto"/>
            <w:vAlign w:val="center"/>
          </w:tcPr>
          <w:p w14:paraId="5D046F01" w14:textId="77777777" w:rsidR="00CD1729" w:rsidRPr="000F3642" w:rsidRDefault="00CD1729" w:rsidP="00BE31A8">
            <w:pPr>
              <w:spacing w:line="0" w:lineRule="atLeast"/>
              <w:ind w:left="75"/>
              <w:jc w:val="center"/>
              <w:rPr>
                <w:rFonts w:ascii="Century Gothic" w:eastAsia="Times New Roman" w:hAnsi="Century Gothic"/>
                <w:b/>
                <w:bCs/>
                <w:iCs/>
              </w:rPr>
            </w:pPr>
            <w:r w:rsidRPr="000F3642">
              <w:rPr>
                <w:rFonts w:ascii="Century Gothic" w:eastAsia="Times New Roman" w:hAnsi="Century Gothic"/>
                <w:b/>
                <w:bCs/>
                <w:iCs/>
                <w:w w:val="99"/>
              </w:rPr>
              <w:t>STOCK PURCHASE AGREEMENT</w:t>
            </w:r>
          </w:p>
        </w:tc>
      </w:tr>
      <w:tr w:rsidR="00CD1729" w:rsidRPr="006A6E6A" w14:paraId="3C6693FC" w14:textId="77777777" w:rsidTr="00BE31A8">
        <w:trPr>
          <w:trHeight w:val="472"/>
        </w:trPr>
        <w:tc>
          <w:tcPr>
            <w:tcW w:w="1549" w:type="pct"/>
            <w:shd w:val="clear" w:color="auto" w:fill="auto"/>
            <w:vAlign w:val="center"/>
          </w:tcPr>
          <w:p w14:paraId="7BCE8879" w14:textId="77777777" w:rsidR="00CD1729" w:rsidRPr="000F3642" w:rsidRDefault="00CD1729"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t>Conditions to Closing:</w:t>
            </w:r>
          </w:p>
        </w:tc>
        <w:tc>
          <w:tcPr>
            <w:tcW w:w="3451" w:type="pct"/>
            <w:gridSpan w:val="2"/>
            <w:shd w:val="clear" w:color="auto" w:fill="auto"/>
            <w:vAlign w:val="center"/>
          </w:tcPr>
          <w:p w14:paraId="3D568CDB" w14:textId="47103FE8" w:rsidR="00CD1729" w:rsidRPr="006A6E6A" w:rsidRDefault="00CD1729" w:rsidP="00BE31A8">
            <w:pPr>
              <w:spacing w:line="0" w:lineRule="atLeast"/>
              <w:ind w:left="46"/>
              <w:rPr>
                <w:rFonts w:ascii="Century Gothic" w:eastAsia="Times New Roman" w:hAnsi="Century Gothic"/>
                <w:w w:val="98"/>
              </w:rPr>
            </w:pPr>
            <w:r w:rsidRPr="006A6E6A">
              <w:rPr>
                <w:rFonts w:ascii="Century Gothic" w:eastAsia="Times New Roman" w:hAnsi="Century Gothic"/>
                <w:w w:val="98"/>
              </w:rPr>
              <w:t>Standard conditions to closing, which shall include, among other things,</w:t>
            </w:r>
            <w:r w:rsidR="006A6E6A">
              <w:rPr>
                <w:rFonts w:ascii="Century Gothic" w:eastAsia="Times New Roman" w:hAnsi="Century Gothic"/>
                <w:w w:val="98"/>
              </w:rPr>
              <w:t xml:space="preserve"> </w:t>
            </w:r>
            <w:r w:rsidR="00BE31A8" w:rsidRPr="006A6E6A">
              <w:rPr>
                <w:rFonts w:ascii="Century Gothic" w:eastAsia="Times New Roman" w:hAnsi="Century Gothic"/>
              </w:rPr>
              <w:t>satisfactory completion of financial and legal due diligence, and</w:t>
            </w:r>
            <w:r w:rsidR="006A6E6A">
              <w:rPr>
                <w:rFonts w:ascii="Century Gothic" w:eastAsia="Times New Roman" w:hAnsi="Century Gothic"/>
                <w:w w:val="98"/>
              </w:rPr>
              <w:t xml:space="preserve"> </w:t>
            </w:r>
            <w:r w:rsidRPr="006A6E6A">
              <w:rPr>
                <w:rFonts w:ascii="Century Gothic" w:eastAsia="Times New Roman" w:hAnsi="Century Gothic"/>
                <w:w w:val="98"/>
              </w:rPr>
              <w:t xml:space="preserve">qualification of the shares under applicable </w:t>
            </w:r>
            <w:r w:rsidR="00BE31A8" w:rsidRPr="006A6E6A">
              <w:rPr>
                <w:rFonts w:ascii="Century Gothic" w:eastAsia="Times New Roman" w:hAnsi="Century Gothic"/>
                <w:w w:val="98"/>
              </w:rPr>
              <w:t>Blue-Sky</w:t>
            </w:r>
            <w:r w:rsidRPr="006A6E6A">
              <w:rPr>
                <w:rFonts w:ascii="Century Gothic" w:eastAsia="Times New Roman" w:hAnsi="Century Gothic"/>
                <w:w w:val="98"/>
              </w:rPr>
              <w:t xml:space="preserve"> laws, if applicable.</w:t>
            </w:r>
          </w:p>
        </w:tc>
      </w:tr>
      <w:tr w:rsidR="006A6E6A" w:rsidRPr="006A6E6A" w14:paraId="291C32A9" w14:textId="77777777" w:rsidTr="00BE31A8">
        <w:trPr>
          <w:trHeight w:val="472"/>
        </w:trPr>
        <w:tc>
          <w:tcPr>
            <w:tcW w:w="1549" w:type="pct"/>
            <w:shd w:val="clear" w:color="auto" w:fill="auto"/>
            <w:vAlign w:val="center"/>
          </w:tcPr>
          <w:p w14:paraId="46481000" w14:textId="77777777" w:rsidR="006A6E6A" w:rsidRPr="000F3642" w:rsidRDefault="006A6E6A" w:rsidP="00BE31A8">
            <w:pPr>
              <w:spacing w:line="0" w:lineRule="atLeast"/>
              <w:ind w:left="75"/>
              <w:rPr>
                <w:rFonts w:ascii="Century Gothic" w:eastAsia="Times New Roman" w:hAnsi="Century Gothic"/>
                <w:b/>
                <w:bCs/>
                <w:iCs/>
              </w:rPr>
            </w:pPr>
            <w:r w:rsidRPr="000F3642">
              <w:rPr>
                <w:rFonts w:ascii="Century Gothic" w:eastAsia="Times New Roman" w:hAnsi="Century Gothic"/>
                <w:b/>
                <w:bCs/>
                <w:iCs/>
              </w:rPr>
              <w:t>Counsel and Expenses:</w:t>
            </w:r>
          </w:p>
        </w:tc>
        <w:tc>
          <w:tcPr>
            <w:tcW w:w="3451" w:type="pct"/>
            <w:gridSpan w:val="2"/>
            <w:shd w:val="clear" w:color="auto" w:fill="auto"/>
            <w:vAlign w:val="center"/>
          </w:tcPr>
          <w:p w14:paraId="559AA797" w14:textId="77777777" w:rsidR="006A6E6A" w:rsidRPr="006A6E6A" w:rsidRDefault="006A6E6A" w:rsidP="00BE31A8">
            <w:pPr>
              <w:spacing w:line="0" w:lineRule="atLeast"/>
              <w:ind w:left="46"/>
              <w:rPr>
                <w:rFonts w:ascii="Century Gothic" w:eastAsia="Times New Roman" w:hAnsi="Century Gothic"/>
                <w:w w:val="98"/>
              </w:rPr>
            </w:pPr>
            <w:r w:rsidRPr="006A6E6A">
              <w:rPr>
                <w:rFonts w:ascii="Century Gothic" w:eastAsia="Times New Roman" w:hAnsi="Century Gothic"/>
              </w:rPr>
              <w:t>The Company’s counsel will draft all closing documents. The Company will pay all of the Company’s legal and administrative costs of the financing upon the Initial Closing.</w:t>
            </w:r>
          </w:p>
        </w:tc>
      </w:tr>
      <w:tr w:rsidR="006A6E6A" w:rsidRPr="006A6E6A" w14:paraId="04261EB8" w14:textId="77777777" w:rsidTr="00BE31A8">
        <w:trPr>
          <w:trHeight w:val="791"/>
        </w:trPr>
        <w:tc>
          <w:tcPr>
            <w:tcW w:w="5000" w:type="pct"/>
            <w:gridSpan w:val="3"/>
            <w:shd w:val="clear" w:color="auto" w:fill="auto"/>
            <w:vAlign w:val="center"/>
          </w:tcPr>
          <w:p w14:paraId="39D038F7" w14:textId="77777777" w:rsidR="006A6E6A" w:rsidRPr="000F3642" w:rsidRDefault="006A6E6A" w:rsidP="00BE31A8">
            <w:pPr>
              <w:spacing w:line="0" w:lineRule="atLeast"/>
              <w:ind w:left="75" w:right="-19"/>
              <w:jc w:val="center"/>
              <w:rPr>
                <w:rFonts w:ascii="Century Gothic" w:eastAsia="Times New Roman" w:hAnsi="Century Gothic"/>
                <w:b/>
                <w:bCs/>
                <w:iCs/>
                <w:sz w:val="22"/>
              </w:rPr>
            </w:pPr>
            <w:r w:rsidRPr="000F3642">
              <w:rPr>
                <w:rFonts w:ascii="Century Gothic" w:eastAsia="Times New Roman" w:hAnsi="Century Gothic"/>
                <w:b/>
                <w:bCs/>
                <w:iCs/>
                <w:szCs w:val="18"/>
              </w:rPr>
              <w:t>INVESTORS’ RIGHTS AGREEMENT</w:t>
            </w:r>
          </w:p>
        </w:tc>
      </w:tr>
      <w:tr w:rsidR="006A6E6A" w:rsidRPr="006A6E6A" w14:paraId="7D790EB3" w14:textId="77777777" w:rsidTr="00BE31A8">
        <w:trPr>
          <w:trHeight w:val="472"/>
        </w:trPr>
        <w:tc>
          <w:tcPr>
            <w:tcW w:w="1549" w:type="pct"/>
            <w:shd w:val="clear" w:color="auto" w:fill="auto"/>
            <w:vAlign w:val="center"/>
          </w:tcPr>
          <w:p w14:paraId="45753B28" w14:textId="77777777" w:rsidR="006A6E6A" w:rsidRPr="000F3642" w:rsidRDefault="006A6E6A" w:rsidP="00BE31A8">
            <w:pPr>
              <w:tabs>
                <w:tab w:val="left" w:pos="3220"/>
              </w:tabs>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Management and Information</w:t>
            </w:r>
          </w:p>
          <w:p w14:paraId="3D6B3DDB" w14:textId="77777777" w:rsidR="006A6E6A" w:rsidRPr="000F3642" w:rsidRDefault="006A6E6A" w:rsidP="00BE31A8">
            <w:pPr>
              <w:tabs>
                <w:tab w:val="left" w:pos="3220"/>
              </w:tabs>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Rights:</w:t>
            </w:r>
          </w:p>
        </w:tc>
        <w:tc>
          <w:tcPr>
            <w:tcW w:w="3451" w:type="pct"/>
            <w:gridSpan w:val="2"/>
            <w:shd w:val="clear" w:color="auto" w:fill="auto"/>
            <w:vAlign w:val="center"/>
          </w:tcPr>
          <w:p w14:paraId="5630C99B" w14:textId="77777777" w:rsidR="006A6E6A" w:rsidRPr="006A6E6A" w:rsidRDefault="006A6E6A" w:rsidP="00BE31A8">
            <w:pPr>
              <w:tabs>
                <w:tab w:val="left" w:pos="3220"/>
              </w:tabs>
              <w:spacing w:line="0" w:lineRule="atLeast"/>
              <w:ind w:left="46"/>
              <w:rPr>
                <w:rFonts w:ascii="Century Gothic" w:eastAsia="Times New Roman" w:hAnsi="Century Gothic"/>
                <w:szCs w:val="18"/>
              </w:rPr>
            </w:pPr>
            <w:r w:rsidRPr="006A6E6A">
              <w:rPr>
                <w:rFonts w:ascii="Century Gothic" w:eastAsia="Times New Roman" w:hAnsi="Century Gothic"/>
                <w:szCs w:val="18"/>
              </w:rPr>
              <w:t>The Company will deliver prior to each closing a Management Rights letter to each Investor that requests one. Any Major Investor (to be defined as a single Investor who, upon the completion of the Offering, owns more than 200,000 shares and who is not a competitor) will be granted access to Company facilities and personnel during normal business hours and with reasonable advance notification. The Company will deliver to any such Major Investor (i) annual financial statements, and other information as determined by the Board; (ii) no later than thirty days after the end of each fiscal year, a comprehensive operating budget forecasting the Company’s revenues, expenses, and cash position on a month-to-month basis for the upcoming fiscal year.</w:t>
            </w:r>
          </w:p>
          <w:p w14:paraId="28B3315A" w14:textId="77777777" w:rsidR="006A6E6A" w:rsidRPr="006A6E6A" w:rsidRDefault="006A6E6A" w:rsidP="00BE31A8">
            <w:pPr>
              <w:spacing w:line="0" w:lineRule="atLeast"/>
              <w:ind w:left="46"/>
              <w:rPr>
                <w:rFonts w:ascii="Century Gothic" w:eastAsia="Times New Roman" w:hAnsi="Century Gothic"/>
                <w:szCs w:val="18"/>
              </w:rPr>
            </w:pPr>
          </w:p>
        </w:tc>
      </w:tr>
      <w:tr w:rsidR="006A6E6A" w:rsidRPr="006A6E6A" w14:paraId="287C8FF7" w14:textId="77777777" w:rsidTr="00BE31A8">
        <w:trPr>
          <w:trHeight w:val="472"/>
        </w:trPr>
        <w:tc>
          <w:tcPr>
            <w:tcW w:w="1549" w:type="pct"/>
            <w:shd w:val="clear" w:color="auto" w:fill="auto"/>
            <w:vAlign w:val="center"/>
          </w:tcPr>
          <w:p w14:paraId="2835F465" w14:textId="77777777" w:rsidR="006A6E6A" w:rsidRPr="000F3642" w:rsidRDefault="006A6E6A"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Non-Competition and Non-</w:t>
            </w:r>
          </w:p>
          <w:p w14:paraId="38ED9AD6" w14:textId="77777777" w:rsidR="006A6E6A" w:rsidRPr="000F3642" w:rsidRDefault="006A6E6A"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Solicitation Agreements:</w:t>
            </w:r>
          </w:p>
        </w:tc>
        <w:tc>
          <w:tcPr>
            <w:tcW w:w="3451" w:type="pct"/>
            <w:gridSpan w:val="2"/>
            <w:shd w:val="clear" w:color="auto" w:fill="auto"/>
            <w:vAlign w:val="center"/>
          </w:tcPr>
          <w:p w14:paraId="0E59DCE9" w14:textId="5A96155E" w:rsidR="006A6E6A" w:rsidRPr="0096125E" w:rsidRDefault="00BE31A8"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Each Founder, Officer and key employee has entered into a non</w:t>
            </w:r>
            <w:r w:rsidR="006A6E6A" w:rsidRPr="0096125E">
              <w:rPr>
                <w:rFonts w:ascii="Century Gothic" w:eastAsia="Times New Roman" w:hAnsi="Century Gothic"/>
                <w:szCs w:val="18"/>
              </w:rPr>
              <w:t xml:space="preserve">- </w:t>
            </w:r>
            <w:r w:rsidRPr="0096125E">
              <w:rPr>
                <w:rFonts w:ascii="Century Gothic" w:eastAsia="Times New Roman" w:hAnsi="Century Gothic"/>
                <w:szCs w:val="18"/>
              </w:rPr>
              <w:t>competition and non</w:t>
            </w:r>
            <w:r w:rsidR="006A6E6A" w:rsidRPr="0096125E">
              <w:rPr>
                <w:rFonts w:ascii="Century Gothic" w:eastAsia="Times New Roman" w:hAnsi="Century Gothic"/>
                <w:szCs w:val="18"/>
              </w:rPr>
              <w:t>-</w:t>
            </w:r>
            <w:r w:rsidRPr="0096125E">
              <w:rPr>
                <w:rFonts w:ascii="Century Gothic" w:eastAsia="Times New Roman" w:hAnsi="Century Gothic"/>
                <w:szCs w:val="18"/>
              </w:rPr>
              <w:t>solicitation agreement in a form reasonably</w:t>
            </w:r>
            <w:r w:rsidR="006A6E6A" w:rsidRPr="0096125E">
              <w:rPr>
                <w:rFonts w:ascii="Century Gothic" w:eastAsia="Times New Roman" w:hAnsi="Century Gothic"/>
                <w:szCs w:val="18"/>
              </w:rPr>
              <w:t xml:space="preserve"> acceptable to the Board.</w:t>
            </w:r>
          </w:p>
        </w:tc>
      </w:tr>
      <w:tr w:rsidR="006A6E6A" w:rsidRPr="006A6E6A" w14:paraId="09F529CB" w14:textId="77777777" w:rsidTr="00BE31A8">
        <w:trPr>
          <w:trHeight w:val="472"/>
        </w:trPr>
        <w:tc>
          <w:tcPr>
            <w:tcW w:w="1549" w:type="pct"/>
            <w:shd w:val="clear" w:color="auto" w:fill="auto"/>
            <w:vAlign w:val="center"/>
          </w:tcPr>
          <w:p w14:paraId="4DABCED8" w14:textId="77777777" w:rsidR="006A6E6A" w:rsidRPr="000F3642" w:rsidRDefault="006A6E6A"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Non-Disclosure and Developments</w:t>
            </w:r>
          </w:p>
          <w:p w14:paraId="532B25AF" w14:textId="77777777" w:rsidR="006A6E6A" w:rsidRPr="000F3642" w:rsidRDefault="006A6E6A"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Agreement:</w:t>
            </w:r>
          </w:p>
        </w:tc>
        <w:tc>
          <w:tcPr>
            <w:tcW w:w="3451" w:type="pct"/>
            <w:gridSpan w:val="2"/>
            <w:shd w:val="clear" w:color="auto" w:fill="auto"/>
            <w:vAlign w:val="center"/>
          </w:tcPr>
          <w:p w14:paraId="39519606" w14:textId="5849EF2B" w:rsidR="006A6E6A" w:rsidRPr="0096125E" w:rsidRDefault="00BE31A8"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Each employee, contractor and consultant has entered into a non</w:t>
            </w:r>
            <w:r w:rsidR="006A6E6A" w:rsidRPr="0096125E">
              <w:rPr>
                <w:rFonts w:ascii="Century Gothic" w:eastAsia="Times New Roman" w:hAnsi="Century Gothic"/>
                <w:szCs w:val="18"/>
              </w:rPr>
              <w:t xml:space="preserve">- </w:t>
            </w:r>
            <w:r w:rsidRPr="0096125E">
              <w:rPr>
                <w:rFonts w:ascii="Century Gothic" w:eastAsia="Times New Roman" w:hAnsi="Century Gothic"/>
                <w:szCs w:val="18"/>
              </w:rPr>
              <w:t>disclosure and proprietary rights assignment agreement in a form</w:t>
            </w:r>
            <w:r w:rsidR="006A6E6A" w:rsidRPr="0096125E">
              <w:rPr>
                <w:rFonts w:ascii="Century Gothic" w:eastAsia="Times New Roman" w:hAnsi="Century Gothic"/>
                <w:szCs w:val="18"/>
              </w:rPr>
              <w:t xml:space="preserve"> reasonably acceptable to the Board.</w:t>
            </w:r>
          </w:p>
        </w:tc>
      </w:tr>
      <w:tr w:rsidR="006A6E6A" w:rsidRPr="006A6E6A" w14:paraId="3F7D7AE5" w14:textId="77777777" w:rsidTr="00BE31A8">
        <w:trPr>
          <w:trHeight w:val="472"/>
        </w:trPr>
        <w:tc>
          <w:tcPr>
            <w:tcW w:w="1549" w:type="pct"/>
            <w:shd w:val="clear" w:color="auto" w:fill="auto"/>
            <w:vAlign w:val="center"/>
          </w:tcPr>
          <w:p w14:paraId="1D50FA69" w14:textId="77777777" w:rsidR="006A6E6A" w:rsidRPr="000F3642" w:rsidRDefault="006A6E6A"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Board Matters:</w:t>
            </w:r>
          </w:p>
        </w:tc>
        <w:tc>
          <w:tcPr>
            <w:tcW w:w="3451" w:type="pct"/>
            <w:gridSpan w:val="2"/>
            <w:shd w:val="clear" w:color="auto" w:fill="auto"/>
            <w:vAlign w:val="center"/>
          </w:tcPr>
          <w:p w14:paraId="46A34152" w14:textId="77777777" w:rsidR="006A6E6A" w:rsidRPr="0096125E" w:rsidRDefault="006A6E6A"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The Board shall meet at least quarterly, unless otherwise agreed by a vote of the majority of Directors.</w:t>
            </w:r>
          </w:p>
          <w:p w14:paraId="000DC2F5" w14:textId="100697B9" w:rsidR="006A6E6A" w:rsidRPr="0096125E" w:rsidRDefault="006A6E6A" w:rsidP="00BE31A8">
            <w:pPr>
              <w:spacing w:line="0" w:lineRule="atLeast"/>
              <w:ind w:left="46"/>
              <w:rPr>
                <w:rFonts w:ascii="Century Gothic" w:eastAsia="Times New Roman" w:hAnsi="Century Gothic"/>
                <w:w w:val="99"/>
                <w:szCs w:val="18"/>
              </w:rPr>
            </w:pPr>
            <w:r w:rsidRPr="0096125E">
              <w:rPr>
                <w:rFonts w:ascii="Century Gothic" w:eastAsia="Times New Roman" w:hAnsi="Century Gothic"/>
                <w:w w:val="99"/>
                <w:szCs w:val="18"/>
              </w:rPr>
              <w:lastRenderedPageBreak/>
              <w:t xml:space="preserve">The Company will obtain directors and officers liability insurance with </w:t>
            </w:r>
            <w:r w:rsidRPr="0096125E">
              <w:rPr>
                <w:rFonts w:ascii="Century Gothic" w:eastAsia="Times New Roman" w:hAnsi="Century Gothic"/>
                <w:szCs w:val="18"/>
              </w:rPr>
              <w:t>a carrier and in an amount satisfactory to the Board.  In the event the</w:t>
            </w:r>
            <w:r w:rsidRPr="0096125E">
              <w:rPr>
                <w:rFonts w:ascii="Century Gothic" w:eastAsia="Times New Roman" w:hAnsi="Century Gothic"/>
                <w:w w:val="99"/>
                <w:szCs w:val="18"/>
              </w:rPr>
              <w:t xml:space="preserve"> </w:t>
            </w:r>
            <w:r w:rsidR="00BE31A8" w:rsidRPr="0096125E">
              <w:rPr>
                <w:rFonts w:ascii="Century Gothic" w:eastAsia="Times New Roman" w:hAnsi="Century Gothic"/>
                <w:szCs w:val="18"/>
              </w:rPr>
              <w:t>Company merges with another entity and is not the surviving</w:t>
            </w:r>
          </w:p>
          <w:p w14:paraId="2AFCCE27" w14:textId="5FA36164" w:rsidR="006A6E6A" w:rsidRPr="0096125E" w:rsidRDefault="006A6E6A"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 xml:space="preserve">corporation, or transfers all of its assets, proper provisions shall be </w:t>
            </w:r>
            <w:r w:rsidR="00BE31A8" w:rsidRPr="0096125E">
              <w:rPr>
                <w:rFonts w:ascii="Century Gothic" w:eastAsia="Times New Roman" w:hAnsi="Century Gothic"/>
                <w:szCs w:val="18"/>
              </w:rPr>
              <w:t>made so that successors of the Company assume the Company’s</w:t>
            </w:r>
            <w:r w:rsidRPr="0096125E">
              <w:rPr>
                <w:rFonts w:ascii="Century Gothic" w:eastAsia="Times New Roman" w:hAnsi="Century Gothic"/>
                <w:szCs w:val="18"/>
              </w:rPr>
              <w:t xml:space="preserve"> obligations with respect to indemnification of Directors.</w:t>
            </w:r>
          </w:p>
        </w:tc>
      </w:tr>
      <w:tr w:rsidR="006A6E6A" w:rsidRPr="006A6E6A" w14:paraId="7C6CE841" w14:textId="77777777" w:rsidTr="00BE31A8">
        <w:trPr>
          <w:trHeight w:val="472"/>
        </w:trPr>
        <w:tc>
          <w:tcPr>
            <w:tcW w:w="1549" w:type="pct"/>
            <w:shd w:val="clear" w:color="auto" w:fill="auto"/>
            <w:vAlign w:val="center"/>
          </w:tcPr>
          <w:p w14:paraId="4BE08AAB" w14:textId="77777777" w:rsidR="006A6E6A" w:rsidRPr="000F3642" w:rsidRDefault="006A6E6A"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lastRenderedPageBreak/>
              <w:t>Key Person Insurance:</w:t>
            </w:r>
          </w:p>
        </w:tc>
        <w:tc>
          <w:tcPr>
            <w:tcW w:w="3451" w:type="pct"/>
            <w:gridSpan w:val="2"/>
            <w:shd w:val="clear" w:color="auto" w:fill="auto"/>
            <w:vAlign w:val="center"/>
          </w:tcPr>
          <w:p w14:paraId="0034960C" w14:textId="77777777" w:rsidR="006A6E6A" w:rsidRPr="0096125E" w:rsidRDefault="006A6E6A"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The Company has acquired life insurance on the Founder, Mark O. Paul.  All proceeds payable on such life insurance is to be paid to the Company as the beneficiary.</w:t>
            </w:r>
          </w:p>
        </w:tc>
      </w:tr>
      <w:tr w:rsidR="006A6E6A" w:rsidRPr="006A6E6A" w14:paraId="0041C5C7" w14:textId="77777777" w:rsidTr="00BE31A8">
        <w:trPr>
          <w:trHeight w:val="890"/>
        </w:trPr>
        <w:tc>
          <w:tcPr>
            <w:tcW w:w="5000" w:type="pct"/>
            <w:gridSpan w:val="3"/>
            <w:shd w:val="clear" w:color="auto" w:fill="auto"/>
            <w:vAlign w:val="center"/>
          </w:tcPr>
          <w:p w14:paraId="7916F1A8" w14:textId="77777777" w:rsidR="006A6E6A" w:rsidRPr="000F3642" w:rsidRDefault="006A6E6A" w:rsidP="00BE31A8">
            <w:pPr>
              <w:spacing w:line="0" w:lineRule="atLeast"/>
              <w:ind w:left="75"/>
              <w:jc w:val="center"/>
              <w:rPr>
                <w:rFonts w:ascii="Century Gothic" w:eastAsia="Times New Roman" w:hAnsi="Century Gothic"/>
                <w:b/>
                <w:bCs/>
                <w:iCs/>
                <w:szCs w:val="18"/>
              </w:rPr>
            </w:pPr>
            <w:r w:rsidRPr="000F3642">
              <w:rPr>
                <w:rFonts w:ascii="Century Gothic" w:eastAsia="Times New Roman" w:hAnsi="Century Gothic"/>
                <w:b/>
                <w:bCs/>
                <w:iCs/>
                <w:szCs w:val="18"/>
              </w:rPr>
              <w:t>BOARD OF DIRECTORS COMPOSITION</w:t>
            </w:r>
          </w:p>
        </w:tc>
      </w:tr>
      <w:tr w:rsidR="006A6E6A" w:rsidRPr="006A6E6A" w14:paraId="4FA143E1" w14:textId="77777777" w:rsidTr="00BE31A8">
        <w:trPr>
          <w:trHeight w:val="472"/>
        </w:trPr>
        <w:tc>
          <w:tcPr>
            <w:tcW w:w="1549" w:type="pct"/>
            <w:shd w:val="clear" w:color="auto" w:fill="auto"/>
            <w:vAlign w:val="center"/>
          </w:tcPr>
          <w:p w14:paraId="764D0DA0" w14:textId="77777777" w:rsidR="006A6E6A" w:rsidRPr="000F3642" w:rsidRDefault="006A6E6A"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Board of Directors:</w:t>
            </w:r>
          </w:p>
        </w:tc>
        <w:tc>
          <w:tcPr>
            <w:tcW w:w="3451" w:type="pct"/>
            <w:gridSpan w:val="2"/>
            <w:shd w:val="clear" w:color="auto" w:fill="auto"/>
            <w:vAlign w:val="center"/>
          </w:tcPr>
          <w:p w14:paraId="0510A505" w14:textId="7CDBE442" w:rsidR="0096125E" w:rsidRPr="0096125E" w:rsidRDefault="0096125E"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 xml:space="preserve">As of the Initial Closing, the Board shall be comprised of not less than three (3) and not more than five (5) members, including Robert W. Campbell as the designee of the Founder (Mark O. Paul), the person serving as the Company’s Chief Executive Officer (currently Mark O. Paul), Robert A. </w:t>
            </w:r>
            <w:r w:rsidR="00BE31A8" w:rsidRPr="0096125E">
              <w:rPr>
                <w:rFonts w:ascii="Century Gothic" w:eastAsia="Times New Roman" w:hAnsi="Century Gothic"/>
                <w:szCs w:val="18"/>
              </w:rPr>
              <w:t>Deconning</w:t>
            </w:r>
            <w:r w:rsidRPr="0096125E">
              <w:rPr>
                <w:rFonts w:ascii="Century Gothic" w:eastAsia="Times New Roman" w:hAnsi="Century Gothic"/>
                <w:szCs w:val="18"/>
              </w:rPr>
              <w:t xml:space="preserve"> as an independent director, and two (2) vacancies to be filled by the Board at such time as the Board determines.</w:t>
            </w:r>
          </w:p>
          <w:p w14:paraId="6A977646" w14:textId="77777777" w:rsidR="006A6E6A" w:rsidRPr="0096125E" w:rsidRDefault="006A6E6A" w:rsidP="00BE31A8">
            <w:pPr>
              <w:spacing w:line="0" w:lineRule="atLeast"/>
              <w:ind w:left="46"/>
              <w:rPr>
                <w:rFonts w:ascii="Century Gothic" w:eastAsia="Times New Roman" w:hAnsi="Century Gothic"/>
                <w:szCs w:val="18"/>
              </w:rPr>
            </w:pPr>
          </w:p>
        </w:tc>
      </w:tr>
      <w:tr w:rsidR="0096125E" w:rsidRPr="006A6E6A" w14:paraId="76D8F9BA" w14:textId="77777777" w:rsidTr="00BE31A8">
        <w:trPr>
          <w:trHeight w:val="791"/>
        </w:trPr>
        <w:tc>
          <w:tcPr>
            <w:tcW w:w="5000" w:type="pct"/>
            <w:gridSpan w:val="3"/>
            <w:shd w:val="clear" w:color="auto" w:fill="auto"/>
            <w:vAlign w:val="center"/>
          </w:tcPr>
          <w:p w14:paraId="78B5F084" w14:textId="77777777" w:rsidR="0096125E" w:rsidRPr="000F3642" w:rsidRDefault="0096125E" w:rsidP="00BE31A8">
            <w:pPr>
              <w:spacing w:line="0" w:lineRule="atLeast"/>
              <w:ind w:left="75"/>
              <w:jc w:val="center"/>
              <w:rPr>
                <w:rFonts w:ascii="Century Gothic" w:eastAsia="Times New Roman" w:hAnsi="Century Gothic"/>
                <w:b/>
                <w:bCs/>
                <w:iCs/>
                <w:szCs w:val="18"/>
              </w:rPr>
            </w:pPr>
            <w:r w:rsidRPr="000F3642">
              <w:rPr>
                <w:rFonts w:ascii="Century Gothic" w:eastAsia="Times New Roman" w:hAnsi="Century Gothic"/>
                <w:b/>
                <w:bCs/>
                <w:iCs/>
                <w:w w:val="99"/>
                <w:szCs w:val="18"/>
              </w:rPr>
              <w:t>OTHER MATTERS</w:t>
            </w:r>
          </w:p>
        </w:tc>
      </w:tr>
      <w:tr w:rsidR="0096125E" w:rsidRPr="006A6E6A" w14:paraId="5886C895" w14:textId="77777777" w:rsidTr="00BE31A8">
        <w:trPr>
          <w:trHeight w:val="472"/>
        </w:trPr>
        <w:tc>
          <w:tcPr>
            <w:tcW w:w="1549" w:type="pct"/>
            <w:shd w:val="clear" w:color="auto" w:fill="auto"/>
            <w:vAlign w:val="center"/>
          </w:tcPr>
          <w:p w14:paraId="7CF1457C" w14:textId="77777777" w:rsidR="0096125E" w:rsidRPr="000F3642" w:rsidRDefault="0096125E"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Founders’ Stock:</w:t>
            </w:r>
          </w:p>
        </w:tc>
        <w:tc>
          <w:tcPr>
            <w:tcW w:w="3451" w:type="pct"/>
            <w:gridSpan w:val="2"/>
            <w:shd w:val="clear" w:color="auto" w:fill="auto"/>
            <w:vAlign w:val="center"/>
          </w:tcPr>
          <w:p w14:paraId="4F039C0F" w14:textId="77777777" w:rsidR="0096125E" w:rsidRPr="0096125E" w:rsidRDefault="0096125E"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All shares of stock in the Company held by any Founder shall be owned by such Founder outright and not subject to buy-back rights or vesting.</w:t>
            </w:r>
          </w:p>
        </w:tc>
      </w:tr>
      <w:tr w:rsidR="0096125E" w:rsidRPr="006A6E6A" w14:paraId="000CAEF9" w14:textId="77777777" w:rsidTr="00BE31A8">
        <w:trPr>
          <w:trHeight w:val="472"/>
        </w:trPr>
        <w:tc>
          <w:tcPr>
            <w:tcW w:w="1549" w:type="pct"/>
            <w:shd w:val="clear" w:color="auto" w:fill="auto"/>
            <w:vAlign w:val="center"/>
          </w:tcPr>
          <w:p w14:paraId="45C9F3DD" w14:textId="77777777" w:rsidR="0096125E" w:rsidRPr="000F3642" w:rsidRDefault="0096125E"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Investor Accreditation:</w:t>
            </w:r>
          </w:p>
        </w:tc>
        <w:tc>
          <w:tcPr>
            <w:tcW w:w="3451" w:type="pct"/>
            <w:gridSpan w:val="2"/>
            <w:shd w:val="clear" w:color="auto" w:fill="auto"/>
            <w:vAlign w:val="center"/>
          </w:tcPr>
          <w:p w14:paraId="6F9D4929" w14:textId="77777777" w:rsidR="0096125E" w:rsidRPr="0096125E" w:rsidRDefault="0096125E"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All investors for this offering must be accredited as defined in Rule 501 of Regulation D.</w:t>
            </w:r>
          </w:p>
        </w:tc>
      </w:tr>
      <w:tr w:rsidR="0096125E" w:rsidRPr="006A6E6A" w14:paraId="704B80EC" w14:textId="77777777" w:rsidTr="00BE31A8">
        <w:trPr>
          <w:trHeight w:val="472"/>
        </w:trPr>
        <w:tc>
          <w:tcPr>
            <w:tcW w:w="1549" w:type="pct"/>
            <w:shd w:val="clear" w:color="auto" w:fill="auto"/>
            <w:vAlign w:val="center"/>
          </w:tcPr>
          <w:p w14:paraId="01A12A5A" w14:textId="77777777" w:rsidR="0096125E" w:rsidRPr="000F3642" w:rsidRDefault="0096125E"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Intellectual Property:</w:t>
            </w:r>
          </w:p>
        </w:tc>
        <w:tc>
          <w:tcPr>
            <w:tcW w:w="3451" w:type="pct"/>
            <w:gridSpan w:val="2"/>
            <w:shd w:val="clear" w:color="auto" w:fill="auto"/>
            <w:vAlign w:val="center"/>
          </w:tcPr>
          <w:p w14:paraId="1EE27266" w14:textId="0283444A" w:rsidR="0096125E" w:rsidRPr="0096125E" w:rsidRDefault="00BE31A8"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All intellectual property relating to the business of the Company</w:t>
            </w:r>
            <w:r w:rsidR="0096125E" w:rsidRPr="0096125E">
              <w:rPr>
                <w:rFonts w:ascii="Century Gothic" w:eastAsia="Times New Roman" w:hAnsi="Century Gothic"/>
                <w:szCs w:val="18"/>
              </w:rPr>
              <w:t xml:space="preserve"> </w:t>
            </w:r>
            <w:r w:rsidRPr="0096125E">
              <w:rPr>
                <w:rFonts w:ascii="Century Gothic" w:eastAsia="Times New Roman" w:hAnsi="Century Gothic"/>
                <w:szCs w:val="18"/>
              </w:rPr>
              <w:t>owned by the Founder, Mark</w:t>
            </w:r>
            <w:r w:rsidR="0096125E" w:rsidRPr="0096125E">
              <w:rPr>
                <w:rFonts w:ascii="Century Gothic" w:eastAsia="Times New Roman" w:hAnsi="Century Gothic"/>
                <w:szCs w:val="18"/>
              </w:rPr>
              <w:t xml:space="preserve"> O. </w:t>
            </w:r>
            <w:r w:rsidRPr="0096125E">
              <w:rPr>
                <w:rFonts w:ascii="Century Gothic" w:eastAsia="Times New Roman" w:hAnsi="Century Gothic"/>
                <w:szCs w:val="18"/>
              </w:rPr>
              <w:t>Paul, has been assigned and</w:t>
            </w:r>
            <w:r w:rsidR="0096125E" w:rsidRPr="0096125E">
              <w:rPr>
                <w:rFonts w:ascii="Century Gothic" w:eastAsia="Times New Roman" w:hAnsi="Century Gothic"/>
                <w:szCs w:val="18"/>
              </w:rPr>
              <w:t xml:space="preserve"> transferred to the Company.</w:t>
            </w:r>
          </w:p>
        </w:tc>
      </w:tr>
      <w:tr w:rsidR="0096125E" w:rsidRPr="006A6E6A" w14:paraId="77F2F3EF" w14:textId="77777777" w:rsidTr="00BE31A8">
        <w:trPr>
          <w:trHeight w:val="472"/>
        </w:trPr>
        <w:tc>
          <w:tcPr>
            <w:tcW w:w="1549" w:type="pct"/>
            <w:shd w:val="clear" w:color="auto" w:fill="auto"/>
            <w:vAlign w:val="center"/>
          </w:tcPr>
          <w:p w14:paraId="1B9DC00B" w14:textId="77777777" w:rsidR="0096125E" w:rsidRPr="000F3642" w:rsidRDefault="0096125E"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Closing:</w:t>
            </w:r>
          </w:p>
        </w:tc>
        <w:tc>
          <w:tcPr>
            <w:tcW w:w="3451" w:type="pct"/>
            <w:gridSpan w:val="2"/>
            <w:shd w:val="clear" w:color="auto" w:fill="auto"/>
            <w:vAlign w:val="center"/>
          </w:tcPr>
          <w:p w14:paraId="0DDD2577" w14:textId="77777777" w:rsidR="0096125E" w:rsidRPr="0096125E" w:rsidRDefault="0096125E"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The Initial Closing will occur as soon as practical as set forth above, as determined by the Board.  Any funds received from Investors shall be delivered to the Company immediately.</w:t>
            </w:r>
          </w:p>
        </w:tc>
      </w:tr>
      <w:tr w:rsidR="0096125E" w:rsidRPr="006A6E6A" w14:paraId="4F3F4464" w14:textId="77777777" w:rsidTr="00BE31A8">
        <w:trPr>
          <w:trHeight w:val="472"/>
        </w:trPr>
        <w:tc>
          <w:tcPr>
            <w:tcW w:w="1549" w:type="pct"/>
            <w:shd w:val="clear" w:color="auto" w:fill="auto"/>
            <w:vAlign w:val="center"/>
          </w:tcPr>
          <w:p w14:paraId="3E851062" w14:textId="77777777" w:rsidR="0096125E" w:rsidRPr="000F3642" w:rsidRDefault="0096125E" w:rsidP="00BE31A8">
            <w:pPr>
              <w:spacing w:line="0" w:lineRule="atLeast"/>
              <w:ind w:left="75"/>
              <w:rPr>
                <w:rFonts w:ascii="Century Gothic" w:eastAsia="Times New Roman" w:hAnsi="Century Gothic"/>
                <w:b/>
                <w:bCs/>
                <w:iCs/>
                <w:szCs w:val="18"/>
              </w:rPr>
            </w:pPr>
            <w:r w:rsidRPr="000F3642">
              <w:rPr>
                <w:rFonts w:ascii="Century Gothic" w:eastAsia="Times New Roman" w:hAnsi="Century Gothic"/>
                <w:b/>
                <w:bCs/>
                <w:iCs/>
                <w:szCs w:val="18"/>
              </w:rPr>
              <w:t>Confidentiality:</w:t>
            </w:r>
          </w:p>
        </w:tc>
        <w:tc>
          <w:tcPr>
            <w:tcW w:w="3451" w:type="pct"/>
            <w:gridSpan w:val="2"/>
            <w:shd w:val="clear" w:color="auto" w:fill="auto"/>
            <w:vAlign w:val="center"/>
          </w:tcPr>
          <w:p w14:paraId="11D2637C" w14:textId="77777777" w:rsidR="0096125E" w:rsidRPr="0096125E" w:rsidRDefault="0096125E" w:rsidP="00BE31A8">
            <w:pPr>
              <w:spacing w:line="0" w:lineRule="atLeast"/>
              <w:ind w:left="46"/>
              <w:rPr>
                <w:rFonts w:ascii="Century Gothic" w:eastAsia="Times New Roman" w:hAnsi="Century Gothic"/>
                <w:szCs w:val="18"/>
              </w:rPr>
            </w:pPr>
            <w:r w:rsidRPr="0096125E">
              <w:rPr>
                <w:rFonts w:ascii="Century Gothic" w:eastAsia="Times New Roman" w:hAnsi="Century Gothic"/>
                <w:szCs w:val="18"/>
              </w:rPr>
              <w:t>Neither the Company nor the Investors will disclose the terms of this Term Sheet to any person other than officers, members of the Board and the Company’s accountants and attorneys.</w:t>
            </w:r>
          </w:p>
        </w:tc>
      </w:tr>
    </w:tbl>
    <w:p w14:paraId="492FA0F2" w14:textId="18B68955" w:rsidR="00512389" w:rsidRPr="00CD1729" w:rsidRDefault="0096125E">
      <w:pPr>
        <w:spacing w:line="20" w:lineRule="exact"/>
        <w:rPr>
          <w:rFonts w:ascii="Century Gothic" w:eastAsia="Times New Roman" w:hAnsi="Century Gothic"/>
          <w:sz w:val="24"/>
        </w:rPr>
      </w:pPr>
      <w:r w:rsidRPr="00CD1729">
        <w:rPr>
          <w:rFonts w:ascii="Century Gothic" w:eastAsia="Times New Roman" w:hAnsi="Century Gothic"/>
          <w:noProof/>
          <w:w w:val="98"/>
          <w:sz w:val="22"/>
        </w:rPr>
        <w:drawing>
          <wp:anchor distT="0" distB="0" distL="114300" distR="114300" simplePos="0" relativeHeight="251656192" behindDoc="1" locked="0" layoutInCell="1" allowOverlap="1" wp14:anchorId="232E4F17" wp14:editId="224DAB6F">
            <wp:simplePos x="0" y="0"/>
            <wp:positionH relativeFrom="column">
              <wp:posOffset>2059940</wp:posOffset>
            </wp:positionH>
            <wp:positionV relativeFrom="paragraph">
              <wp:posOffset>-2556510</wp:posOffset>
            </wp:positionV>
            <wp:extent cx="4003040" cy="171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3040" cy="171450"/>
                    </a:xfrm>
                    <a:prstGeom prst="rect">
                      <a:avLst/>
                    </a:prstGeom>
                    <a:noFill/>
                  </pic:spPr>
                </pic:pic>
              </a:graphicData>
            </a:graphic>
            <wp14:sizeRelH relativeFrom="page">
              <wp14:pctWidth>0</wp14:pctWidth>
            </wp14:sizeRelH>
            <wp14:sizeRelV relativeFrom="page">
              <wp14:pctHeight>0</wp14:pctHeight>
            </wp14:sizeRelV>
          </wp:anchor>
        </w:drawing>
      </w:r>
    </w:p>
    <w:p w14:paraId="433E3DFA" w14:textId="77777777" w:rsidR="0096125E" w:rsidRDefault="0096125E">
      <w:pPr>
        <w:spacing w:line="0" w:lineRule="atLeast"/>
        <w:jc w:val="center"/>
        <w:rPr>
          <w:rFonts w:ascii="Century Gothic" w:eastAsia="Times New Roman" w:hAnsi="Century Gothic"/>
          <w:b/>
          <w:sz w:val="28"/>
          <w:u w:val="single"/>
        </w:rPr>
      </w:pPr>
      <w:bookmarkStart w:id="2" w:name="page2"/>
      <w:bookmarkStart w:id="3" w:name="page3"/>
      <w:bookmarkStart w:id="4" w:name="page4"/>
      <w:bookmarkEnd w:id="2"/>
      <w:bookmarkEnd w:id="3"/>
      <w:bookmarkEnd w:id="4"/>
    </w:p>
    <w:p w14:paraId="45DC8666" w14:textId="77777777" w:rsidR="0096125E" w:rsidRDefault="0096125E">
      <w:pPr>
        <w:spacing w:line="0" w:lineRule="atLeast"/>
        <w:jc w:val="center"/>
        <w:rPr>
          <w:rFonts w:ascii="Century Gothic" w:eastAsia="Times New Roman" w:hAnsi="Century Gothic"/>
          <w:b/>
          <w:sz w:val="28"/>
          <w:u w:val="single"/>
        </w:rPr>
      </w:pPr>
    </w:p>
    <w:p w14:paraId="381CC415" w14:textId="77777777" w:rsidR="0096125E" w:rsidRDefault="0096125E">
      <w:pPr>
        <w:spacing w:line="0" w:lineRule="atLeast"/>
        <w:jc w:val="center"/>
        <w:rPr>
          <w:rFonts w:ascii="Century Gothic" w:eastAsia="Times New Roman" w:hAnsi="Century Gothic"/>
          <w:b/>
          <w:sz w:val="28"/>
          <w:u w:val="single"/>
        </w:rPr>
      </w:pPr>
    </w:p>
    <w:p w14:paraId="429B28FA" w14:textId="77777777" w:rsidR="0096125E" w:rsidRDefault="0096125E">
      <w:pPr>
        <w:spacing w:line="0" w:lineRule="atLeast"/>
        <w:jc w:val="center"/>
        <w:rPr>
          <w:rFonts w:ascii="Century Gothic" w:eastAsia="Times New Roman" w:hAnsi="Century Gothic"/>
          <w:b/>
          <w:sz w:val="28"/>
          <w:u w:val="single"/>
        </w:rPr>
      </w:pPr>
    </w:p>
    <w:p w14:paraId="557FE65F" w14:textId="77777777" w:rsidR="0096125E" w:rsidRDefault="0096125E">
      <w:pPr>
        <w:spacing w:line="0" w:lineRule="atLeast"/>
        <w:jc w:val="center"/>
        <w:rPr>
          <w:rFonts w:ascii="Century Gothic" w:eastAsia="Times New Roman" w:hAnsi="Century Gothic"/>
          <w:b/>
          <w:sz w:val="28"/>
          <w:u w:val="single"/>
        </w:rPr>
      </w:pPr>
    </w:p>
    <w:p w14:paraId="54E6E4A7" w14:textId="77777777" w:rsidR="000F3642" w:rsidRDefault="000F3642">
      <w:pPr>
        <w:spacing w:line="0" w:lineRule="atLeast"/>
        <w:jc w:val="center"/>
        <w:rPr>
          <w:rFonts w:ascii="Century Gothic" w:eastAsia="Times New Roman" w:hAnsi="Century Gothic"/>
          <w:b/>
          <w:sz w:val="28"/>
          <w:u w:val="single"/>
        </w:rPr>
      </w:pPr>
    </w:p>
    <w:p w14:paraId="6F9A7A23" w14:textId="3678D743" w:rsidR="00512389" w:rsidRPr="00CD1729" w:rsidRDefault="0096125E">
      <w:pPr>
        <w:spacing w:line="0" w:lineRule="atLeast"/>
        <w:jc w:val="center"/>
        <w:rPr>
          <w:rFonts w:ascii="Century Gothic" w:eastAsia="Times New Roman" w:hAnsi="Century Gothic"/>
          <w:b/>
          <w:sz w:val="28"/>
          <w:u w:val="single"/>
        </w:rPr>
      </w:pPr>
      <w:r w:rsidRPr="00CD1729">
        <w:rPr>
          <w:rFonts w:ascii="Century Gothic" w:eastAsia="Times New Roman" w:hAnsi="Century Gothic"/>
          <w:b/>
          <w:sz w:val="28"/>
          <w:u w:val="single"/>
        </w:rPr>
        <w:lastRenderedPageBreak/>
        <w:t>EXHIBIT A</w:t>
      </w:r>
    </w:p>
    <w:p w14:paraId="144C7EDD" w14:textId="77777777" w:rsidR="00512389" w:rsidRPr="00CD1729" w:rsidRDefault="00512389">
      <w:pPr>
        <w:spacing w:line="120" w:lineRule="exact"/>
        <w:rPr>
          <w:rFonts w:ascii="Century Gothic" w:eastAsia="Times New Roman" w:hAnsi="Century Gothic"/>
        </w:rPr>
      </w:pPr>
    </w:p>
    <w:p w14:paraId="55AB985C" w14:textId="77777777" w:rsidR="00512389" w:rsidRPr="00CD1729" w:rsidRDefault="0096125E">
      <w:pPr>
        <w:spacing w:line="0" w:lineRule="atLeast"/>
        <w:jc w:val="center"/>
        <w:rPr>
          <w:rFonts w:ascii="Century Gothic" w:eastAsia="Times New Roman" w:hAnsi="Century Gothic"/>
          <w:b/>
          <w:sz w:val="28"/>
        </w:rPr>
      </w:pPr>
      <w:r w:rsidRPr="00CD1729">
        <w:rPr>
          <w:rFonts w:ascii="Century Gothic" w:eastAsia="Times New Roman" w:hAnsi="Century Gothic"/>
          <w:b/>
          <w:sz w:val="28"/>
        </w:rPr>
        <w:t>Pre and Post-Financing Capitalization:</w:t>
      </w:r>
    </w:p>
    <w:p w14:paraId="3300E47A" w14:textId="77777777" w:rsidR="00512389" w:rsidRPr="00CD1729" w:rsidRDefault="00512389">
      <w:pPr>
        <w:spacing w:line="46" w:lineRule="exact"/>
        <w:rPr>
          <w:rFonts w:ascii="Century Gothic" w:eastAsia="Times New Roman" w:hAnsi="Century Gothic"/>
        </w:rPr>
      </w:pPr>
    </w:p>
    <w:p w14:paraId="4449FB1B" w14:textId="77777777" w:rsidR="00512389" w:rsidRPr="000F3642" w:rsidRDefault="0096125E">
      <w:pPr>
        <w:spacing w:line="0" w:lineRule="atLeast"/>
        <w:jc w:val="center"/>
        <w:rPr>
          <w:rFonts w:ascii="Century Gothic" w:eastAsia="Times New Roman" w:hAnsi="Century Gothic"/>
          <w:sz w:val="24"/>
          <w:szCs w:val="18"/>
        </w:rPr>
      </w:pPr>
      <w:r w:rsidRPr="000F3642">
        <w:rPr>
          <w:rFonts w:ascii="Century Gothic" w:eastAsia="Times New Roman" w:hAnsi="Century Gothic"/>
          <w:sz w:val="24"/>
          <w:szCs w:val="18"/>
        </w:rPr>
        <w:t>(Example: $1,000,000 investment)</w:t>
      </w:r>
    </w:p>
    <w:p w14:paraId="65330C07" w14:textId="77777777" w:rsidR="00512389" w:rsidRPr="00CD1729" w:rsidRDefault="00512389">
      <w:pPr>
        <w:spacing w:line="200" w:lineRule="exact"/>
        <w:rPr>
          <w:rFonts w:ascii="Century Gothic" w:eastAsia="Times New Roman" w:hAnsi="Century Gothic"/>
        </w:rPr>
      </w:pPr>
    </w:p>
    <w:p w14:paraId="726164D9" w14:textId="77777777" w:rsidR="00512389" w:rsidRPr="00CD1729" w:rsidRDefault="00512389">
      <w:pPr>
        <w:spacing w:line="244" w:lineRule="exact"/>
        <w:rPr>
          <w:rFonts w:ascii="Century Gothic" w:eastAsia="Times New Roman" w:hAnsi="Century Gothic"/>
        </w:rPr>
      </w:pPr>
    </w:p>
    <w:tbl>
      <w:tblPr>
        <w:tblW w:w="5000" w:type="pct"/>
        <w:tblCellMar>
          <w:left w:w="0" w:type="dxa"/>
          <w:right w:w="0" w:type="dxa"/>
        </w:tblCellMar>
        <w:tblLook w:val="0000" w:firstRow="0" w:lastRow="0" w:firstColumn="0" w:lastColumn="0" w:noHBand="0" w:noVBand="0"/>
      </w:tblPr>
      <w:tblGrid>
        <w:gridCol w:w="80"/>
        <w:gridCol w:w="3212"/>
        <w:gridCol w:w="1637"/>
        <w:gridCol w:w="1617"/>
        <w:gridCol w:w="245"/>
        <w:gridCol w:w="1432"/>
        <w:gridCol w:w="1637"/>
      </w:tblGrid>
      <w:tr w:rsidR="0096125E" w:rsidRPr="0096125E" w14:paraId="49DBF487" w14:textId="77777777" w:rsidTr="002F244F">
        <w:trPr>
          <w:trHeight w:val="567"/>
        </w:trPr>
        <w:tc>
          <w:tcPr>
            <w:tcW w:w="41" w:type="pct"/>
            <w:shd w:val="clear" w:color="auto" w:fill="auto"/>
            <w:vAlign w:val="bottom"/>
          </w:tcPr>
          <w:p w14:paraId="1D66BFC9" w14:textId="77777777" w:rsidR="0096125E" w:rsidRPr="0096125E" w:rsidRDefault="0096125E">
            <w:pPr>
              <w:spacing w:line="0" w:lineRule="atLeast"/>
              <w:rPr>
                <w:rFonts w:ascii="Century Gothic" w:eastAsia="Times New Roman" w:hAnsi="Century Gothic"/>
              </w:rPr>
            </w:pPr>
          </w:p>
        </w:tc>
        <w:tc>
          <w:tcPr>
            <w:tcW w:w="4959" w:type="pct"/>
            <w:gridSpan w:val="6"/>
            <w:tcBorders>
              <w:bottom w:val="double" w:sz="4" w:space="0" w:color="auto"/>
            </w:tcBorders>
            <w:shd w:val="clear" w:color="auto" w:fill="auto"/>
            <w:vAlign w:val="center"/>
          </w:tcPr>
          <w:p w14:paraId="09D84BAD" w14:textId="77777777" w:rsidR="0096125E" w:rsidRPr="0096125E" w:rsidRDefault="0096125E" w:rsidP="0096125E">
            <w:pPr>
              <w:spacing w:line="0" w:lineRule="atLeast"/>
              <w:jc w:val="center"/>
              <w:rPr>
                <w:rFonts w:ascii="Century Gothic" w:eastAsia="Times New Roman" w:hAnsi="Century Gothic"/>
              </w:rPr>
            </w:pPr>
            <w:r w:rsidRPr="0096125E">
              <w:rPr>
                <w:rFonts w:ascii="Century Gothic" w:eastAsia="Verdana" w:hAnsi="Century Gothic"/>
                <w:b/>
              </w:rPr>
              <w:t>For Term Sheet: ROUND 2</w:t>
            </w:r>
          </w:p>
        </w:tc>
      </w:tr>
      <w:tr w:rsidR="00512389" w:rsidRPr="0096125E" w14:paraId="054D486A" w14:textId="77777777" w:rsidTr="002F244F">
        <w:trPr>
          <w:trHeight w:val="592"/>
        </w:trPr>
        <w:tc>
          <w:tcPr>
            <w:tcW w:w="41" w:type="pct"/>
            <w:shd w:val="clear" w:color="auto" w:fill="auto"/>
            <w:vAlign w:val="bottom"/>
          </w:tcPr>
          <w:p w14:paraId="1640C03A" w14:textId="77777777" w:rsidR="00512389" w:rsidRPr="0096125E" w:rsidRDefault="00512389">
            <w:pPr>
              <w:spacing w:line="0" w:lineRule="atLeast"/>
              <w:rPr>
                <w:rFonts w:ascii="Century Gothic" w:eastAsia="Times New Roman" w:hAnsi="Century Gothic"/>
              </w:rPr>
            </w:pPr>
          </w:p>
        </w:tc>
        <w:tc>
          <w:tcPr>
            <w:tcW w:w="1629" w:type="pct"/>
            <w:tcBorders>
              <w:top w:val="double" w:sz="4" w:space="0" w:color="auto"/>
            </w:tcBorders>
            <w:shd w:val="clear" w:color="auto" w:fill="auto"/>
            <w:vAlign w:val="bottom"/>
          </w:tcPr>
          <w:p w14:paraId="4D1B3B19" w14:textId="77777777" w:rsidR="00512389" w:rsidRPr="0096125E" w:rsidRDefault="00512389">
            <w:pPr>
              <w:spacing w:line="0" w:lineRule="atLeast"/>
              <w:rPr>
                <w:rFonts w:ascii="Century Gothic" w:eastAsia="Times New Roman" w:hAnsi="Century Gothic"/>
              </w:rPr>
            </w:pPr>
          </w:p>
        </w:tc>
        <w:tc>
          <w:tcPr>
            <w:tcW w:w="830" w:type="pct"/>
            <w:tcBorders>
              <w:top w:val="double" w:sz="4" w:space="0" w:color="auto"/>
            </w:tcBorders>
            <w:shd w:val="clear" w:color="auto" w:fill="auto"/>
            <w:vAlign w:val="bottom"/>
          </w:tcPr>
          <w:p w14:paraId="28B7199B" w14:textId="77777777" w:rsidR="00512389" w:rsidRPr="0096125E" w:rsidRDefault="00512389">
            <w:pPr>
              <w:spacing w:line="0" w:lineRule="atLeast"/>
              <w:rPr>
                <w:rFonts w:ascii="Century Gothic" w:eastAsia="Times New Roman" w:hAnsi="Century Gothic"/>
              </w:rPr>
            </w:pPr>
          </w:p>
        </w:tc>
        <w:tc>
          <w:tcPr>
            <w:tcW w:w="820" w:type="pct"/>
            <w:tcBorders>
              <w:top w:val="double" w:sz="4" w:space="0" w:color="auto"/>
            </w:tcBorders>
            <w:shd w:val="clear" w:color="auto" w:fill="auto"/>
            <w:vAlign w:val="bottom"/>
          </w:tcPr>
          <w:p w14:paraId="135E1BE3" w14:textId="77777777" w:rsidR="00512389" w:rsidRPr="0096125E" w:rsidRDefault="00512389">
            <w:pPr>
              <w:spacing w:line="0" w:lineRule="atLeast"/>
              <w:rPr>
                <w:rFonts w:ascii="Century Gothic" w:eastAsia="Times New Roman" w:hAnsi="Century Gothic"/>
              </w:rPr>
            </w:pPr>
          </w:p>
        </w:tc>
        <w:tc>
          <w:tcPr>
            <w:tcW w:w="124" w:type="pct"/>
            <w:tcBorders>
              <w:top w:val="double" w:sz="4" w:space="0" w:color="auto"/>
            </w:tcBorders>
            <w:shd w:val="clear" w:color="auto" w:fill="auto"/>
            <w:vAlign w:val="bottom"/>
          </w:tcPr>
          <w:p w14:paraId="1C609F5F" w14:textId="77777777" w:rsidR="00512389" w:rsidRPr="0096125E" w:rsidRDefault="00512389">
            <w:pPr>
              <w:spacing w:line="0" w:lineRule="atLeast"/>
              <w:rPr>
                <w:rFonts w:ascii="Century Gothic" w:eastAsia="Times New Roman" w:hAnsi="Century Gothic"/>
              </w:rPr>
            </w:pPr>
          </w:p>
        </w:tc>
        <w:tc>
          <w:tcPr>
            <w:tcW w:w="726" w:type="pct"/>
            <w:tcBorders>
              <w:top w:val="double" w:sz="4" w:space="0" w:color="auto"/>
            </w:tcBorders>
            <w:shd w:val="clear" w:color="auto" w:fill="auto"/>
            <w:vAlign w:val="bottom"/>
          </w:tcPr>
          <w:p w14:paraId="41CEB310" w14:textId="77777777" w:rsidR="00512389" w:rsidRPr="0096125E" w:rsidRDefault="00512389">
            <w:pPr>
              <w:spacing w:line="0" w:lineRule="atLeast"/>
              <w:rPr>
                <w:rFonts w:ascii="Century Gothic" w:eastAsia="Times New Roman" w:hAnsi="Century Gothic"/>
              </w:rPr>
            </w:pPr>
          </w:p>
        </w:tc>
        <w:tc>
          <w:tcPr>
            <w:tcW w:w="830" w:type="pct"/>
            <w:tcBorders>
              <w:top w:val="double" w:sz="4" w:space="0" w:color="auto"/>
            </w:tcBorders>
            <w:shd w:val="clear" w:color="auto" w:fill="auto"/>
            <w:vAlign w:val="bottom"/>
          </w:tcPr>
          <w:p w14:paraId="31B84574" w14:textId="77777777" w:rsidR="00512389" w:rsidRPr="0096125E" w:rsidRDefault="00512389">
            <w:pPr>
              <w:spacing w:line="0" w:lineRule="atLeast"/>
              <w:rPr>
                <w:rFonts w:ascii="Century Gothic" w:eastAsia="Times New Roman" w:hAnsi="Century Gothic"/>
              </w:rPr>
            </w:pPr>
          </w:p>
        </w:tc>
      </w:tr>
      <w:tr w:rsidR="00512389" w:rsidRPr="0096125E" w14:paraId="5969D831" w14:textId="77777777" w:rsidTr="000F3642">
        <w:trPr>
          <w:trHeight w:val="306"/>
        </w:trPr>
        <w:tc>
          <w:tcPr>
            <w:tcW w:w="41" w:type="pct"/>
            <w:shd w:val="clear" w:color="auto" w:fill="auto"/>
            <w:vAlign w:val="bottom"/>
          </w:tcPr>
          <w:p w14:paraId="00DFB2C0" w14:textId="77777777" w:rsidR="00512389" w:rsidRPr="0096125E" w:rsidRDefault="00512389">
            <w:pPr>
              <w:spacing w:line="0" w:lineRule="atLeast"/>
              <w:rPr>
                <w:rFonts w:ascii="Century Gothic" w:eastAsia="Times New Roman" w:hAnsi="Century Gothic"/>
              </w:rPr>
            </w:pPr>
          </w:p>
        </w:tc>
        <w:tc>
          <w:tcPr>
            <w:tcW w:w="3402" w:type="pct"/>
            <w:gridSpan w:val="4"/>
            <w:shd w:val="clear" w:color="auto" w:fill="auto"/>
            <w:vAlign w:val="bottom"/>
          </w:tcPr>
          <w:p w14:paraId="20D9119F" w14:textId="77777777" w:rsidR="00512389" w:rsidRPr="002F244F" w:rsidRDefault="0096125E" w:rsidP="002F244F">
            <w:pPr>
              <w:rPr>
                <w:rFonts w:ascii="Century Gothic" w:hAnsi="Century Gothic"/>
                <w:b/>
                <w:bCs/>
              </w:rPr>
            </w:pPr>
            <w:r w:rsidRPr="002F244F">
              <w:rPr>
                <w:rFonts w:ascii="Century Gothic" w:hAnsi="Century Gothic"/>
                <w:b/>
                <w:bCs/>
              </w:rPr>
              <w:t>Pre and Post-Financing Capitalization (w/o reserves)</w:t>
            </w:r>
          </w:p>
        </w:tc>
        <w:tc>
          <w:tcPr>
            <w:tcW w:w="726" w:type="pct"/>
            <w:shd w:val="clear" w:color="auto" w:fill="auto"/>
            <w:vAlign w:val="bottom"/>
          </w:tcPr>
          <w:p w14:paraId="4285B823"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1EF5DE9C" w14:textId="77777777" w:rsidR="00512389" w:rsidRPr="0096125E" w:rsidRDefault="00512389">
            <w:pPr>
              <w:spacing w:line="0" w:lineRule="atLeast"/>
              <w:rPr>
                <w:rFonts w:ascii="Century Gothic" w:eastAsia="Times New Roman" w:hAnsi="Century Gothic"/>
              </w:rPr>
            </w:pPr>
          </w:p>
        </w:tc>
      </w:tr>
      <w:tr w:rsidR="00512389" w:rsidRPr="0096125E" w14:paraId="05EA7DCA" w14:textId="77777777" w:rsidTr="000F3642">
        <w:trPr>
          <w:trHeight w:val="270"/>
        </w:trPr>
        <w:tc>
          <w:tcPr>
            <w:tcW w:w="2500" w:type="pct"/>
            <w:gridSpan w:val="3"/>
            <w:shd w:val="clear" w:color="auto" w:fill="auto"/>
            <w:vAlign w:val="bottom"/>
          </w:tcPr>
          <w:p w14:paraId="4C97C19E"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Pre-Money</w:t>
            </w:r>
          </w:p>
        </w:tc>
        <w:tc>
          <w:tcPr>
            <w:tcW w:w="820" w:type="pct"/>
            <w:shd w:val="clear" w:color="auto" w:fill="auto"/>
            <w:vAlign w:val="bottom"/>
          </w:tcPr>
          <w:p w14:paraId="74EBA0DD"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$9,015,125</w:t>
            </w:r>
          </w:p>
        </w:tc>
        <w:tc>
          <w:tcPr>
            <w:tcW w:w="124" w:type="pct"/>
            <w:shd w:val="clear" w:color="auto" w:fill="auto"/>
            <w:vAlign w:val="bottom"/>
          </w:tcPr>
          <w:p w14:paraId="0E872FA8"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733BECC3"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Share Price</w:t>
            </w:r>
          </w:p>
        </w:tc>
        <w:tc>
          <w:tcPr>
            <w:tcW w:w="830" w:type="pct"/>
            <w:shd w:val="clear" w:color="auto" w:fill="auto"/>
            <w:vAlign w:val="bottom"/>
          </w:tcPr>
          <w:p w14:paraId="5CF6DF89"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$1.75</w:t>
            </w:r>
          </w:p>
        </w:tc>
      </w:tr>
      <w:tr w:rsidR="00512389" w:rsidRPr="0096125E" w14:paraId="51BDCF87" w14:textId="77777777" w:rsidTr="000F3642">
        <w:trPr>
          <w:trHeight w:val="289"/>
        </w:trPr>
        <w:tc>
          <w:tcPr>
            <w:tcW w:w="2500" w:type="pct"/>
            <w:gridSpan w:val="3"/>
            <w:shd w:val="clear" w:color="auto" w:fill="auto"/>
            <w:vAlign w:val="bottom"/>
          </w:tcPr>
          <w:p w14:paraId="0FE85AE5"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Post-Money</w:t>
            </w:r>
          </w:p>
        </w:tc>
        <w:tc>
          <w:tcPr>
            <w:tcW w:w="820" w:type="pct"/>
            <w:shd w:val="clear" w:color="auto" w:fill="auto"/>
            <w:vAlign w:val="bottom"/>
          </w:tcPr>
          <w:p w14:paraId="5FF3B29F"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$10,015,125</w:t>
            </w:r>
          </w:p>
        </w:tc>
        <w:tc>
          <w:tcPr>
            <w:tcW w:w="124" w:type="pct"/>
            <w:shd w:val="clear" w:color="auto" w:fill="auto"/>
            <w:vAlign w:val="bottom"/>
          </w:tcPr>
          <w:p w14:paraId="231856C7"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77C5E209"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7D7D79FD" w14:textId="77777777" w:rsidR="00512389" w:rsidRPr="0096125E" w:rsidRDefault="00512389">
            <w:pPr>
              <w:spacing w:line="0" w:lineRule="atLeast"/>
              <w:rPr>
                <w:rFonts w:ascii="Century Gothic" w:eastAsia="Times New Roman" w:hAnsi="Century Gothic"/>
              </w:rPr>
            </w:pPr>
          </w:p>
        </w:tc>
      </w:tr>
      <w:tr w:rsidR="00512389" w:rsidRPr="0096125E" w14:paraId="40D92543" w14:textId="77777777" w:rsidTr="000F3642">
        <w:trPr>
          <w:trHeight w:val="287"/>
        </w:trPr>
        <w:tc>
          <w:tcPr>
            <w:tcW w:w="41" w:type="pct"/>
            <w:shd w:val="clear" w:color="auto" w:fill="auto"/>
            <w:vAlign w:val="bottom"/>
          </w:tcPr>
          <w:p w14:paraId="79CF482E" w14:textId="77777777" w:rsidR="00512389" w:rsidRPr="0096125E" w:rsidRDefault="00512389">
            <w:pPr>
              <w:spacing w:line="0" w:lineRule="atLeast"/>
              <w:rPr>
                <w:rFonts w:ascii="Century Gothic" w:eastAsia="Times New Roman" w:hAnsi="Century Gothic"/>
              </w:rPr>
            </w:pPr>
          </w:p>
        </w:tc>
        <w:tc>
          <w:tcPr>
            <w:tcW w:w="3278" w:type="pct"/>
            <w:gridSpan w:val="3"/>
            <w:shd w:val="clear" w:color="auto" w:fill="auto"/>
            <w:vAlign w:val="bottom"/>
          </w:tcPr>
          <w:p w14:paraId="2010FA42"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465D7F08"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0BDF3392"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0CCA1D77" w14:textId="77777777" w:rsidR="00512389" w:rsidRPr="0096125E" w:rsidRDefault="00512389">
            <w:pPr>
              <w:spacing w:line="0" w:lineRule="atLeast"/>
              <w:rPr>
                <w:rFonts w:ascii="Century Gothic" w:eastAsia="Times New Roman" w:hAnsi="Century Gothic"/>
              </w:rPr>
            </w:pPr>
          </w:p>
        </w:tc>
      </w:tr>
      <w:tr w:rsidR="00512389" w:rsidRPr="0096125E" w14:paraId="1D9A7C28" w14:textId="77777777" w:rsidTr="000F3642">
        <w:trPr>
          <w:trHeight w:val="306"/>
        </w:trPr>
        <w:tc>
          <w:tcPr>
            <w:tcW w:w="41" w:type="pct"/>
            <w:shd w:val="clear" w:color="auto" w:fill="auto"/>
            <w:vAlign w:val="bottom"/>
          </w:tcPr>
          <w:p w14:paraId="65775CAB" w14:textId="77777777" w:rsidR="00512389" w:rsidRPr="0096125E" w:rsidRDefault="00512389">
            <w:pPr>
              <w:spacing w:line="0" w:lineRule="atLeast"/>
              <w:rPr>
                <w:rFonts w:ascii="Century Gothic" w:eastAsia="Times New Roman" w:hAnsi="Century Gothic"/>
              </w:rPr>
            </w:pPr>
          </w:p>
        </w:tc>
        <w:tc>
          <w:tcPr>
            <w:tcW w:w="3402" w:type="pct"/>
            <w:gridSpan w:val="4"/>
            <w:shd w:val="clear" w:color="auto" w:fill="auto"/>
            <w:vAlign w:val="bottom"/>
          </w:tcPr>
          <w:p w14:paraId="2F2B0A74" w14:textId="77777777" w:rsidR="00512389" w:rsidRPr="0096125E" w:rsidRDefault="0096125E">
            <w:pPr>
              <w:spacing w:line="0" w:lineRule="atLeast"/>
              <w:rPr>
                <w:rFonts w:ascii="Century Gothic" w:eastAsia="Verdana" w:hAnsi="Century Gothic"/>
                <w:b/>
              </w:rPr>
            </w:pPr>
            <w:r w:rsidRPr="0096125E">
              <w:rPr>
                <w:rFonts w:ascii="Century Gothic" w:eastAsia="Verdana" w:hAnsi="Century Gothic"/>
                <w:b/>
              </w:rPr>
              <w:t>Prior to Issuance of "Reserved" Options / Warrants</w:t>
            </w:r>
          </w:p>
        </w:tc>
        <w:tc>
          <w:tcPr>
            <w:tcW w:w="726" w:type="pct"/>
            <w:shd w:val="clear" w:color="auto" w:fill="auto"/>
            <w:vAlign w:val="bottom"/>
          </w:tcPr>
          <w:p w14:paraId="213CC10F"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32C729C7" w14:textId="77777777" w:rsidR="00512389" w:rsidRPr="0096125E" w:rsidRDefault="00512389">
            <w:pPr>
              <w:spacing w:line="0" w:lineRule="atLeast"/>
              <w:rPr>
                <w:rFonts w:ascii="Century Gothic" w:eastAsia="Times New Roman" w:hAnsi="Century Gothic"/>
              </w:rPr>
            </w:pPr>
          </w:p>
        </w:tc>
      </w:tr>
      <w:tr w:rsidR="00512389" w:rsidRPr="0096125E" w14:paraId="63EB636A" w14:textId="77777777" w:rsidTr="000F3642">
        <w:trPr>
          <w:trHeight w:val="269"/>
        </w:trPr>
        <w:tc>
          <w:tcPr>
            <w:tcW w:w="41" w:type="pct"/>
            <w:shd w:val="clear" w:color="auto" w:fill="auto"/>
            <w:vAlign w:val="bottom"/>
          </w:tcPr>
          <w:p w14:paraId="4A99BB3C" w14:textId="77777777" w:rsidR="00512389" w:rsidRPr="0096125E" w:rsidRDefault="00512389">
            <w:pPr>
              <w:spacing w:line="0" w:lineRule="atLeast"/>
              <w:rPr>
                <w:rFonts w:ascii="Century Gothic" w:eastAsia="Times New Roman" w:hAnsi="Century Gothic"/>
              </w:rPr>
            </w:pPr>
          </w:p>
        </w:tc>
        <w:tc>
          <w:tcPr>
            <w:tcW w:w="1629" w:type="pct"/>
            <w:shd w:val="clear" w:color="auto" w:fill="auto"/>
            <w:vAlign w:val="bottom"/>
          </w:tcPr>
          <w:p w14:paraId="06B0C930"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4722E87D" w14:textId="77777777" w:rsidR="00512389" w:rsidRPr="0096125E" w:rsidRDefault="00512389">
            <w:pPr>
              <w:spacing w:line="0" w:lineRule="atLeast"/>
              <w:rPr>
                <w:rFonts w:ascii="Century Gothic" w:eastAsia="Times New Roman" w:hAnsi="Century Gothic"/>
              </w:rPr>
            </w:pPr>
          </w:p>
        </w:tc>
        <w:tc>
          <w:tcPr>
            <w:tcW w:w="820" w:type="pct"/>
            <w:shd w:val="clear" w:color="auto" w:fill="auto"/>
            <w:vAlign w:val="bottom"/>
          </w:tcPr>
          <w:p w14:paraId="213DEA24"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5F4C1BAD"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05CEA952" w14:textId="77777777" w:rsidR="00512389" w:rsidRPr="0096125E" w:rsidRDefault="0096125E">
            <w:pPr>
              <w:spacing w:line="0" w:lineRule="atLeast"/>
              <w:jc w:val="right"/>
              <w:rPr>
                <w:rFonts w:ascii="Century Gothic" w:eastAsia="Verdana" w:hAnsi="Century Gothic"/>
                <w:b/>
              </w:rPr>
            </w:pPr>
            <w:r w:rsidRPr="0096125E">
              <w:rPr>
                <w:rFonts w:ascii="Century Gothic" w:eastAsia="Verdana" w:hAnsi="Century Gothic"/>
                <w:b/>
              </w:rPr>
              <w:t>Shares</w:t>
            </w:r>
          </w:p>
        </w:tc>
        <w:tc>
          <w:tcPr>
            <w:tcW w:w="830" w:type="pct"/>
            <w:shd w:val="clear" w:color="auto" w:fill="auto"/>
            <w:vAlign w:val="bottom"/>
          </w:tcPr>
          <w:p w14:paraId="644270B9" w14:textId="77777777" w:rsidR="00512389" w:rsidRPr="0096125E" w:rsidRDefault="0096125E">
            <w:pPr>
              <w:spacing w:line="0" w:lineRule="atLeast"/>
              <w:jc w:val="right"/>
              <w:rPr>
                <w:rFonts w:ascii="Century Gothic" w:eastAsia="Verdana" w:hAnsi="Century Gothic"/>
                <w:b/>
              </w:rPr>
            </w:pPr>
            <w:r w:rsidRPr="0096125E">
              <w:rPr>
                <w:rFonts w:ascii="Century Gothic" w:eastAsia="Verdana" w:hAnsi="Century Gothic"/>
                <w:b/>
              </w:rPr>
              <w:t>Ownership</w:t>
            </w:r>
          </w:p>
        </w:tc>
      </w:tr>
      <w:tr w:rsidR="00512389" w:rsidRPr="0096125E" w14:paraId="2C897704" w14:textId="77777777" w:rsidTr="000F3642">
        <w:trPr>
          <w:trHeight w:val="269"/>
        </w:trPr>
        <w:tc>
          <w:tcPr>
            <w:tcW w:w="2500" w:type="pct"/>
            <w:gridSpan w:val="3"/>
            <w:shd w:val="clear" w:color="auto" w:fill="auto"/>
            <w:vAlign w:val="bottom"/>
          </w:tcPr>
          <w:p w14:paraId="5851BD29"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Common Stock, Pre-Money Options /</w:t>
            </w:r>
          </w:p>
        </w:tc>
        <w:tc>
          <w:tcPr>
            <w:tcW w:w="820" w:type="pct"/>
            <w:shd w:val="clear" w:color="auto" w:fill="auto"/>
            <w:vAlign w:val="bottom"/>
          </w:tcPr>
          <w:p w14:paraId="52D2BE10"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79D2426D"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124B4EE7"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6E1EBEC5" w14:textId="77777777" w:rsidR="00512389" w:rsidRPr="0096125E" w:rsidRDefault="00512389">
            <w:pPr>
              <w:spacing w:line="0" w:lineRule="atLeast"/>
              <w:rPr>
                <w:rFonts w:ascii="Century Gothic" w:eastAsia="Times New Roman" w:hAnsi="Century Gothic"/>
              </w:rPr>
            </w:pPr>
          </w:p>
        </w:tc>
      </w:tr>
      <w:tr w:rsidR="00512389" w:rsidRPr="0096125E" w14:paraId="43835983" w14:textId="77777777" w:rsidTr="000F3642">
        <w:trPr>
          <w:trHeight w:val="286"/>
        </w:trPr>
        <w:tc>
          <w:tcPr>
            <w:tcW w:w="2500" w:type="pct"/>
            <w:gridSpan w:val="3"/>
            <w:shd w:val="clear" w:color="auto" w:fill="auto"/>
            <w:vAlign w:val="bottom"/>
          </w:tcPr>
          <w:p w14:paraId="30A79A36"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Warrants</w:t>
            </w:r>
          </w:p>
        </w:tc>
        <w:tc>
          <w:tcPr>
            <w:tcW w:w="820" w:type="pct"/>
            <w:shd w:val="clear" w:color="auto" w:fill="auto"/>
            <w:vAlign w:val="bottom"/>
          </w:tcPr>
          <w:p w14:paraId="28D3E794"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6467EA10"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018B44BA"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5,151,500</w:t>
            </w:r>
          </w:p>
        </w:tc>
        <w:tc>
          <w:tcPr>
            <w:tcW w:w="830" w:type="pct"/>
            <w:shd w:val="clear" w:color="auto" w:fill="auto"/>
            <w:vAlign w:val="bottom"/>
          </w:tcPr>
          <w:p w14:paraId="56D85009"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81.84%</w:t>
            </w:r>
          </w:p>
        </w:tc>
      </w:tr>
      <w:tr w:rsidR="00512389" w:rsidRPr="0096125E" w14:paraId="1E11C0DA" w14:textId="77777777" w:rsidTr="000F3642">
        <w:trPr>
          <w:trHeight w:val="307"/>
        </w:trPr>
        <w:tc>
          <w:tcPr>
            <w:tcW w:w="2500" w:type="pct"/>
            <w:gridSpan w:val="3"/>
            <w:shd w:val="clear" w:color="auto" w:fill="auto"/>
            <w:vAlign w:val="bottom"/>
          </w:tcPr>
          <w:p w14:paraId="210DDFA4"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Round 2 Investment</w:t>
            </w:r>
          </w:p>
        </w:tc>
        <w:tc>
          <w:tcPr>
            <w:tcW w:w="820" w:type="pct"/>
            <w:shd w:val="clear" w:color="auto" w:fill="auto"/>
            <w:vAlign w:val="bottom"/>
          </w:tcPr>
          <w:p w14:paraId="2C496362"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1676610C"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5675D6E9"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1,142,857</w:t>
            </w:r>
          </w:p>
        </w:tc>
        <w:tc>
          <w:tcPr>
            <w:tcW w:w="830" w:type="pct"/>
            <w:shd w:val="clear" w:color="auto" w:fill="auto"/>
            <w:vAlign w:val="bottom"/>
          </w:tcPr>
          <w:p w14:paraId="01C2826A"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18.16%</w:t>
            </w:r>
          </w:p>
        </w:tc>
      </w:tr>
      <w:tr w:rsidR="00512389" w:rsidRPr="0096125E" w14:paraId="003597EE" w14:textId="77777777" w:rsidTr="000F3642">
        <w:trPr>
          <w:trHeight w:val="20"/>
        </w:trPr>
        <w:tc>
          <w:tcPr>
            <w:tcW w:w="41" w:type="pct"/>
            <w:shd w:val="clear" w:color="auto" w:fill="auto"/>
            <w:vAlign w:val="bottom"/>
          </w:tcPr>
          <w:p w14:paraId="2A202259" w14:textId="77777777" w:rsidR="00512389" w:rsidRPr="0096125E" w:rsidRDefault="00512389">
            <w:pPr>
              <w:spacing w:line="20" w:lineRule="exact"/>
              <w:rPr>
                <w:rFonts w:ascii="Century Gothic" w:eastAsia="Times New Roman" w:hAnsi="Century Gothic"/>
              </w:rPr>
            </w:pPr>
          </w:p>
        </w:tc>
        <w:tc>
          <w:tcPr>
            <w:tcW w:w="1629" w:type="pct"/>
            <w:shd w:val="clear" w:color="auto" w:fill="auto"/>
            <w:vAlign w:val="bottom"/>
          </w:tcPr>
          <w:p w14:paraId="2DD26ED3" w14:textId="77777777" w:rsidR="00512389" w:rsidRPr="0096125E" w:rsidRDefault="00512389">
            <w:pPr>
              <w:spacing w:line="20" w:lineRule="exact"/>
              <w:rPr>
                <w:rFonts w:ascii="Century Gothic" w:eastAsia="Times New Roman" w:hAnsi="Century Gothic"/>
              </w:rPr>
            </w:pPr>
          </w:p>
        </w:tc>
        <w:tc>
          <w:tcPr>
            <w:tcW w:w="830" w:type="pct"/>
            <w:shd w:val="clear" w:color="auto" w:fill="auto"/>
            <w:vAlign w:val="bottom"/>
          </w:tcPr>
          <w:p w14:paraId="7CF25ADB" w14:textId="77777777" w:rsidR="00512389" w:rsidRPr="0096125E" w:rsidRDefault="00512389">
            <w:pPr>
              <w:spacing w:line="20" w:lineRule="exact"/>
              <w:rPr>
                <w:rFonts w:ascii="Century Gothic" w:eastAsia="Times New Roman" w:hAnsi="Century Gothic"/>
              </w:rPr>
            </w:pPr>
          </w:p>
        </w:tc>
        <w:tc>
          <w:tcPr>
            <w:tcW w:w="820" w:type="pct"/>
            <w:shd w:val="clear" w:color="auto" w:fill="auto"/>
            <w:vAlign w:val="bottom"/>
          </w:tcPr>
          <w:p w14:paraId="78948B53" w14:textId="77777777" w:rsidR="00512389" w:rsidRPr="0096125E" w:rsidRDefault="00512389">
            <w:pPr>
              <w:spacing w:line="20" w:lineRule="exact"/>
              <w:rPr>
                <w:rFonts w:ascii="Century Gothic" w:eastAsia="Times New Roman" w:hAnsi="Century Gothic"/>
              </w:rPr>
            </w:pPr>
          </w:p>
        </w:tc>
        <w:tc>
          <w:tcPr>
            <w:tcW w:w="124" w:type="pct"/>
            <w:shd w:val="clear" w:color="auto" w:fill="auto"/>
            <w:vAlign w:val="bottom"/>
          </w:tcPr>
          <w:p w14:paraId="75B1F472" w14:textId="77777777" w:rsidR="00512389" w:rsidRPr="0096125E" w:rsidRDefault="00512389">
            <w:pPr>
              <w:spacing w:line="20" w:lineRule="exact"/>
              <w:rPr>
                <w:rFonts w:ascii="Century Gothic" w:eastAsia="Times New Roman" w:hAnsi="Century Gothic"/>
              </w:rPr>
            </w:pPr>
          </w:p>
        </w:tc>
        <w:tc>
          <w:tcPr>
            <w:tcW w:w="726" w:type="pct"/>
            <w:shd w:val="clear" w:color="auto" w:fill="auto"/>
            <w:vAlign w:val="bottom"/>
          </w:tcPr>
          <w:p w14:paraId="46FBBF03" w14:textId="77777777" w:rsidR="00512389" w:rsidRPr="0096125E" w:rsidRDefault="00512389">
            <w:pPr>
              <w:spacing w:line="20" w:lineRule="exact"/>
              <w:rPr>
                <w:rFonts w:ascii="Century Gothic" w:eastAsia="Times New Roman" w:hAnsi="Century Gothic"/>
              </w:rPr>
            </w:pPr>
          </w:p>
        </w:tc>
        <w:tc>
          <w:tcPr>
            <w:tcW w:w="830" w:type="pct"/>
            <w:shd w:val="clear" w:color="auto" w:fill="auto"/>
            <w:vAlign w:val="bottom"/>
          </w:tcPr>
          <w:p w14:paraId="42DBAAD5" w14:textId="77777777" w:rsidR="00512389" w:rsidRPr="0096125E" w:rsidRDefault="00512389">
            <w:pPr>
              <w:spacing w:line="20" w:lineRule="exact"/>
              <w:rPr>
                <w:rFonts w:ascii="Century Gothic" w:eastAsia="Times New Roman" w:hAnsi="Century Gothic"/>
              </w:rPr>
            </w:pPr>
          </w:p>
        </w:tc>
      </w:tr>
      <w:tr w:rsidR="00512389" w:rsidRPr="0096125E" w14:paraId="09E26999" w14:textId="77777777" w:rsidTr="000F3642">
        <w:trPr>
          <w:trHeight w:val="285"/>
        </w:trPr>
        <w:tc>
          <w:tcPr>
            <w:tcW w:w="41" w:type="pct"/>
            <w:shd w:val="clear" w:color="auto" w:fill="auto"/>
            <w:vAlign w:val="bottom"/>
          </w:tcPr>
          <w:p w14:paraId="2312442E" w14:textId="77777777" w:rsidR="00512389" w:rsidRPr="0096125E" w:rsidRDefault="00512389">
            <w:pPr>
              <w:spacing w:line="0" w:lineRule="atLeast"/>
              <w:rPr>
                <w:rFonts w:ascii="Century Gothic" w:eastAsia="Times New Roman" w:hAnsi="Century Gothic"/>
              </w:rPr>
            </w:pPr>
          </w:p>
        </w:tc>
        <w:tc>
          <w:tcPr>
            <w:tcW w:w="1629" w:type="pct"/>
            <w:shd w:val="clear" w:color="auto" w:fill="auto"/>
            <w:vAlign w:val="bottom"/>
          </w:tcPr>
          <w:p w14:paraId="0ECE4D77"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1B7E8B4D" w14:textId="77777777" w:rsidR="00512389" w:rsidRPr="0096125E" w:rsidRDefault="00512389">
            <w:pPr>
              <w:spacing w:line="0" w:lineRule="atLeast"/>
              <w:rPr>
                <w:rFonts w:ascii="Century Gothic" w:eastAsia="Times New Roman" w:hAnsi="Century Gothic"/>
              </w:rPr>
            </w:pPr>
          </w:p>
        </w:tc>
        <w:tc>
          <w:tcPr>
            <w:tcW w:w="820" w:type="pct"/>
            <w:shd w:val="clear" w:color="auto" w:fill="auto"/>
            <w:vAlign w:val="bottom"/>
          </w:tcPr>
          <w:p w14:paraId="60B2BDDF"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442AF6FE"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3F524617"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6,294,357</w:t>
            </w:r>
          </w:p>
        </w:tc>
        <w:tc>
          <w:tcPr>
            <w:tcW w:w="830" w:type="pct"/>
            <w:shd w:val="clear" w:color="auto" w:fill="auto"/>
            <w:vAlign w:val="bottom"/>
          </w:tcPr>
          <w:p w14:paraId="5257B5B3"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100.00%</w:t>
            </w:r>
          </w:p>
        </w:tc>
      </w:tr>
      <w:tr w:rsidR="00512389" w:rsidRPr="0096125E" w14:paraId="4FED3200" w14:textId="77777777" w:rsidTr="000F3642">
        <w:trPr>
          <w:trHeight w:val="268"/>
        </w:trPr>
        <w:tc>
          <w:tcPr>
            <w:tcW w:w="41" w:type="pct"/>
            <w:shd w:val="clear" w:color="auto" w:fill="auto"/>
            <w:vAlign w:val="bottom"/>
          </w:tcPr>
          <w:p w14:paraId="4DF9D6B1" w14:textId="77777777" w:rsidR="00512389" w:rsidRPr="0096125E" w:rsidRDefault="00512389">
            <w:pPr>
              <w:spacing w:line="0" w:lineRule="atLeast"/>
              <w:rPr>
                <w:rFonts w:ascii="Century Gothic" w:eastAsia="Times New Roman" w:hAnsi="Century Gothic"/>
              </w:rPr>
            </w:pPr>
          </w:p>
        </w:tc>
        <w:tc>
          <w:tcPr>
            <w:tcW w:w="2459" w:type="pct"/>
            <w:gridSpan w:val="2"/>
            <w:shd w:val="clear" w:color="auto" w:fill="auto"/>
            <w:vAlign w:val="bottom"/>
          </w:tcPr>
          <w:p w14:paraId="04AE226A" w14:textId="77777777" w:rsidR="00512389" w:rsidRPr="0096125E" w:rsidRDefault="00512389">
            <w:pPr>
              <w:spacing w:line="0" w:lineRule="atLeast"/>
              <w:rPr>
                <w:rFonts w:ascii="Century Gothic" w:eastAsia="Times New Roman" w:hAnsi="Century Gothic"/>
              </w:rPr>
            </w:pPr>
          </w:p>
        </w:tc>
        <w:tc>
          <w:tcPr>
            <w:tcW w:w="820" w:type="pct"/>
            <w:shd w:val="clear" w:color="auto" w:fill="auto"/>
            <w:vAlign w:val="bottom"/>
          </w:tcPr>
          <w:p w14:paraId="276AF561"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4D545EE8"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38C9CDDD"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30EB5A1F" w14:textId="77777777" w:rsidR="00512389" w:rsidRPr="0096125E" w:rsidRDefault="00512389">
            <w:pPr>
              <w:spacing w:line="0" w:lineRule="atLeast"/>
              <w:rPr>
                <w:rFonts w:ascii="Century Gothic" w:eastAsia="Times New Roman" w:hAnsi="Century Gothic"/>
              </w:rPr>
            </w:pPr>
          </w:p>
        </w:tc>
      </w:tr>
      <w:tr w:rsidR="00512389" w:rsidRPr="0096125E" w14:paraId="5648559D" w14:textId="77777777" w:rsidTr="000F3642">
        <w:trPr>
          <w:trHeight w:val="306"/>
        </w:trPr>
        <w:tc>
          <w:tcPr>
            <w:tcW w:w="41" w:type="pct"/>
            <w:shd w:val="clear" w:color="auto" w:fill="auto"/>
            <w:vAlign w:val="bottom"/>
          </w:tcPr>
          <w:p w14:paraId="59A40290" w14:textId="77777777" w:rsidR="00512389" w:rsidRPr="0096125E" w:rsidRDefault="00512389">
            <w:pPr>
              <w:spacing w:line="0" w:lineRule="atLeast"/>
              <w:rPr>
                <w:rFonts w:ascii="Century Gothic" w:eastAsia="Times New Roman" w:hAnsi="Century Gothic"/>
              </w:rPr>
            </w:pPr>
          </w:p>
        </w:tc>
        <w:tc>
          <w:tcPr>
            <w:tcW w:w="2459" w:type="pct"/>
            <w:gridSpan w:val="2"/>
            <w:shd w:val="clear" w:color="auto" w:fill="auto"/>
            <w:vAlign w:val="bottom"/>
          </w:tcPr>
          <w:p w14:paraId="040342FB" w14:textId="77777777" w:rsidR="00512389" w:rsidRPr="0096125E" w:rsidRDefault="0096125E">
            <w:pPr>
              <w:spacing w:line="0" w:lineRule="atLeast"/>
              <w:rPr>
                <w:rFonts w:ascii="Century Gothic" w:eastAsia="Verdana" w:hAnsi="Century Gothic"/>
                <w:b/>
              </w:rPr>
            </w:pPr>
            <w:r w:rsidRPr="0096125E">
              <w:rPr>
                <w:rFonts w:ascii="Century Gothic" w:eastAsia="Verdana" w:hAnsi="Century Gothic"/>
                <w:b/>
              </w:rPr>
              <w:t>Round 2 Cap Table</w:t>
            </w:r>
          </w:p>
        </w:tc>
        <w:tc>
          <w:tcPr>
            <w:tcW w:w="820" w:type="pct"/>
            <w:shd w:val="clear" w:color="auto" w:fill="auto"/>
            <w:vAlign w:val="bottom"/>
          </w:tcPr>
          <w:p w14:paraId="0C2D438B"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3F84F35A"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6A78A4F3"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315CF5A4" w14:textId="77777777" w:rsidR="00512389" w:rsidRPr="0096125E" w:rsidRDefault="00512389">
            <w:pPr>
              <w:spacing w:line="0" w:lineRule="atLeast"/>
              <w:rPr>
                <w:rFonts w:ascii="Century Gothic" w:eastAsia="Times New Roman" w:hAnsi="Century Gothic"/>
              </w:rPr>
            </w:pPr>
          </w:p>
        </w:tc>
      </w:tr>
      <w:tr w:rsidR="00512389" w:rsidRPr="0096125E" w14:paraId="0B051FE8" w14:textId="77777777" w:rsidTr="000F3642">
        <w:trPr>
          <w:trHeight w:val="341"/>
        </w:trPr>
        <w:tc>
          <w:tcPr>
            <w:tcW w:w="2500" w:type="pct"/>
            <w:gridSpan w:val="3"/>
            <w:vMerge w:val="restart"/>
            <w:shd w:val="clear" w:color="auto" w:fill="auto"/>
            <w:vAlign w:val="bottom"/>
          </w:tcPr>
          <w:p w14:paraId="30095B5A"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Round 2 Investment</w:t>
            </w:r>
          </w:p>
        </w:tc>
        <w:tc>
          <w:tcPr>
            <w:tcW w:w="944" w:type="pct"/>
            <w:gridSpan w:val="2"/>
            <w:shd w:val="clear" w:color="auto" w:fill="auto"/>
            <w:vAlign w:val="bottom"/>
          </w:tcPr>
          <w:p w14:paraId="72025413" w14:textId="77777777" w:rsidR="00512389" w:rsidRPr="0096125E" w:rsidRDefault="0096125E">
            <w:pPr>
              <w:spacing w:line="0" w:lineRule="atLeast"/>
              <w:ind w:left="120"/>
              <w:rPr>
                <w:rFonts w:ascii="Century Gothic" w:eastAsia="Verdana" w:hAnsi="Century Gothic"/>
                <w:b/>
              </w:rPr>
            </w:pPr>
            <w:r w:rsidRPr="0096125E">
              <w:rPr>
                <w:rFonts w:ascii="Century Gothic" w:eastAsia="Verdana" w:hAnsi="Century Gothic"/>
                <w:b/>
              </w:rPr>
              <w:t>Investment</w:t>
            </w:r>
          </w:p>
        </w:tc>
        <w:tc>
          <w:tcPr>
            <w:tcW w:w="726" w:type="pct"/>
            <w:shd w:val="clear" w:color="auto" w:fill="auto"/>
            <w:vAlign w:val="bottom"/>
          </w:tcPr>
          <w:p w14:paraId="5E604893" w14:textId="77777777" w:rsidR="00512389" w:rsidRPr="0096125E" w:rsidRDefault="0096125E">
            <w:pPr>
              <w:spacing w:line="0" w:lineRule="atLeast"/>
              <w:jc w:val="right"/>
              <w:rPr>
                <w:rFonts w:ascii="Century Gothic" w:eastAsia="Verdana" w:hAnsi="Century Gothic"/>
                <w:b/>
              </w:rPr>
            </w:pPr>
            <w:r w:rsidRPr="0096125E">
              <w:rPr>
                <w:rFonts w:ascii="Century Gothic" w:eastAsia="Verdana" w:hAnsi="Century Gothic"/>
                <w:b/>
              </w:rPr>
              <w:t>Shares</w:t>
            </w:r>
          </w:p>
        </w:tc>
        <w:tc>
          <w:tcPr>
            <w:tcW w:w="830" w:type="pct"/>
            <w:shd w:val="clear" w:color="auto" w:fill="auto"/>
            <w:vAlign w:val="bottom"/>
          </w:tcPr>
          <w:p w14:paraId="2ECD09FE" w14:textId="77777777" w:rsidR="00512389" w:rsidRPr="0096125E" w:rsidRDefault="0096125E">
            <w:pPr>
              <w:spacing w:line="0" w:lineRule="atLeast"/>
              <w:jc w:val="right"/>
              <w:rPr>
                <w:rFonts w:ascii="Century Gothic" w:eastAsia="Verdana" w:hAnsi="Century Gothic"/>
                <w:b/>
              </w:rPr>
            </w:pPr>
            <w:r w:rsidRPr="0096125E">
              <w:rPr>
                <w:rFonts w:ascii="Century Gothic" w:eastAsia="Verdana" w:hAnsi="Century Gothic"/>
                <w:b/>
              </w:rPr>
              <w:t>Ownership</w:t>
            </w:r>
          </w:p>
        </w:tc>
      </w:tr>
      <w:tr w:rsidR="00512389" w:rsidRPr="0096125E" w14:paraId="7238D2B8" w14:textId="77777777" w:rsidTr="000F3642">
        <w:trPr>
          <w:trHeight w:val="269"/>
        </w:trPr>
        <w:tc>
          <w:tcPr>
            <w:tcW w:w="2500" w:type="pct"/>
            <w:gridSpan w:val="3"/>
            <w:vMerge/>
            <w:shd w:val="clear" w:color="auto" w:fill="auto"/>
            <w:vAlign w:val="bottom"/>
          </w:tcPr>
          <w:p w14:paraId="5EA5B775" w14:textId="77777777" w:rsidR="00512389" w:rsidRPr="0096125E" w:rsidRDefault="00512389">
            <w:pPr>
              <w:spacing w:line="0" w:lineRule="atLeast"/>
              <w:rPr>
                <w:rFonts w:ascii="Century Gothic" w:eastAsia="Times New Roman" w:hAnsi="Century Gothic"/>
              </w:rPr>
            </w:pPr>
          </w:p>
        </w:tc>
        <w:tc>
          <w:tcPr>
            <w:tcW w:w="820" w:type="pct"/>
            <w:shd w:val="clear" w:color="auto" w:fill="auto"/>
            <w:vAlign w:val="bottom"/>
          </w:tcPr>
          <w:p w14:paraId="167BFBD7"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$1,000,000</w:t>
            </w:r>
          </w:p>
        </w:tc>
        <w:tc>
          <w:tcPr>
            <w:tcW w:w="124" w:type="pct"/>
            <w:shd w:val="clear" w:color="auto" w:fill="auto"/>
            <w:vAlign w:val="bottom"/>
          </w:tcPr>
          <w:p w14:paraId="2D793602"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1E19A878"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571,429</w:t>
            </w:r>
          </w:p>
        </w:tc>
        <w:tc>
          <w:tcPr>
            <w:tcW w:w="830" w:type="pct"/>
            <w:shd w:val="clear" w:color="auto" w:fill="auto"/>
            <w:vAlign w:val="bottom"/>
          </w:tcPr>
          <w:p w14:paraId="5960D0D8"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7.83%</w:t>
            </w:r>
          </w:p>
        </w:tc>
      </w:tr>
      <w:tr w:rsidR="00512389" w:rsidRPr="0096125E" w14:paraId="560EF4CC" w14:textId="77777777" w:rsidTr="002F244F">
        <w:trPr>
          <w:trHeight w:val="289"/>
        </w:trPr>
        <w:tc>
          <w:tcPr>
            <w:tcW w:w="2500" w:type="pct"/>
            <w:gridSpan w:val="3"/>
            <w:shd w:val="clear" w:color="auto" w:fill="auto"/>
            <w:vAlign w:val="bottom"/>
          </w:tcPr>
          <w:p w14:paraId="08F8DE66"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Warrant coverage</w:t>
            </w:r>
          </w:p>
        </w:tc>
        <w:tc>
          <w:tcPr>
            <w:tcW w:w="820" w:type="pct"/>
            <w:tcBorders>
              <w:bottom w:val="single" w:sz="4" w:space="0" w:color="auto"/>
            </w:tcBorders>
            <w:shd w:val="clear" w:color="auto" w:fill="auto"/>
            <w:vAlign w:val="bottom"/>
          </w:tcPr>
          <w:p w14:paraId="4E78A4C7" w14:textId="77777777" w:rsidR="00512389" w:rsidRPr="0096125E" w:rsidRDefault="00512389">
            <w:pPr>
              <w:spacing w:line="0" w:lineRule="atLeast"/>
              <w:rPr>
                <w:rFonts w:ascii="Century Gothic" w:eastAsia="Times New Roman" w:hAnsi="Century Gothic"/>
              </w:rPr>
            </w:pPr>
          </w:p>
        </w:tc>
        <w:tc>
          <w:tcPr>
            <w:tcW w:w="124" w:type="pct"/>
            <w:tcBorders>
              <w:bottom w:val="single" w:sz="4" w:space="0" w:color="auto"/>
            </w:tcBorders>
            <w:shd w:val="clear" w:color="auto" w:fill="auto"/>
            <w:vAlign w:val="bottom"/>
          </w:tcPr>
          <w:p w14:paraId="05564934" w14:textId="77777777" w:rsidR="00512389" w:rsidRPr="0096125E" w:rsidRDefault="00512389">
            <w:pPr>
              <w:spacing w:line="0" w:lineRule="atLeast"/>
              <w:rPr>
                <w:rFonts w:ascii="Century Gothic" w:eastAsia="Times New Roman" w:hAnsi="Century Gothic"/>
              </w:rPr>
            </w:pPr>
          </w:p>
        </w:tc>
        <w:tc>
          <w:tcPr>
            <w:tcW w:w="726" w:type="pct"/>
            <w:tcBorders>
              <w:bottom w:val="single" w:sz="4" w:space="0" w:color="auto"/>
            </w:tcBorders>
            <w:shd w:val="clear" w:color="auto" w:fill="auto"/>
            <w:vAlign w:val="bottom"/>
          </w:tcPr>
          <w:p w14:paraId="5A42FA60"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571,429</w:t>
            </w:r>
          </w:p>
        </w:tc>
        <w:tc>
          <w:tcPr>
            <w:tcW w:w="830" w:type="pct"/>
            <w:tcBorders>
              <w:bottom w:val="single" w:sz="4" w:space="0" w:color="auto"/>
            </w:tcBorders>
            <w:shd w:val="clear" w:color="auto" w:fill="auto"/>
            <w:vAlign w:val="bottom"/>
          </w:tcPr>
          <w:p w14:paraId="568C0E57"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7.83%</w:t>
            </w:r>
          </w:p>
        </w:tc>
      </w:tr>
      <w:tr w:rsidR="00512389" w:rsidRPr="0096125E" w14:paraId="5558F099" w14:textId="77777777" w:rsidTr="002F244F">
        <w:trPr>
          <w:trHeight w:val="284"/>
        </w:trPr>
        <w:tc>
          <w:tcPr>
            <w:tcW w:w="41" w:type="pct"/>
            <w:shd w:val="clear" w:color="auto" w:fill="auto"/>
            <w:vAlign w:val="bottom"/>
          </w:tcPr>
          <w:p w14:paraId="16D2241B" w14:textId="77777777" w:rsidR="00512389" w:rsidRPr="0096125E" w:rsidRDefault="00512389">
            <w:pPr>
              <w:spacing w:line="0" w:lineRule="atLeast"/>
              <w:rPr>
                <w:rFonts w:ascii="Century Gothic" w:eastAsia="Times New Roman" w:hAnsi="Century Gothic"/>
              </w:rPr>
            </w:pPr>
          </w:p>
        </w:tc>
        <w:tc>
          <w:tcPr>
            <w:tcW w:w="2459" w:type="pct"/>
            <w:gridSpan w:val="2"/>
            <w:tcBorders>
              <w:top w:val="single" w:sz="4" w:space="0" w:color="auto"/>
              <w:bottom w:val="single" w:sz="4" w:space="0" w:color="auto"/>
            </w:tcBorders>
            <w:shd w:val="clear" w:color="auto" w:fill="auto"/>
            <w:vAlign w:val="bottom"/>
          </w:tcPr>
          <w:p w14:paraId="16BFEC2A" w14:textId="77777777" w:rsidR="00512389" w:rsidRPr="0096125E" w:rsidRDefault="0096125E">
            <w:pPr>
              <w:spacing w:line="0" w:lineRule="atLeast"/>
              <w:ind w:left="120"/>
              <w:rPr>
                <w:rFonts w:ascii="Century Gothic" w:eastAsia="Verdana" w:hAnsi="Century Gothic"/>
              </w:rPr>
            </w:pPr>
            <w:r w:rsidRPr="0096125E">
              <w:rPr>
                <w:rFonts w:ascii="Century Gothic" w:eastAsia="Verdana" w:hAnsi="Century Gothic"/>
              </w:rPr>
              <w:t>Total Seed</w:t>
            </w:r>
          </w:p>
        </w:tc>
        <w:tc>
          <w:tcPr>
            <w:tcW w:w="820" w:type="pct"/>
            <w:tcBorders>
              <w:top w:val="single" w:sz="4" w:space="0" w:color="auto"/>
              <w:bottom w:val="single" w:sz="4" w:space="0" w:color="auto"/>
            </w:tcBorders>
            <w:shd w:val="clear" w:color="auto" w:fill="auto"/>
            <w:vAlign w:val="bottom"/>
          </w:tcPr>
          <w:p w14:paraId="5BD3BE41"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$1,000,000</w:t>
            </w:r>
          </w:p>
        </w:tc>
        <w:tc>
          <w:tcPr>
            <w:tcW w:w="124" w:type="pct"/>
            <w:tcBorders>
              <w:top w:val="single" w:sz="4" w:space="0" w:color="auto"/>
              <w:bottom w:val="single" w:sz="4" w:space="0" w:color="auto"/>
            </w:tcBorders>
            <w:shd w:val="clear" w:color="auto" w:fill="auto"/>
            <w:vAlign w:val="bottom"/>
          </w:tcPr>
          <w:p w14:paraId="6536A9E3" w14:textId="77777777" w:rsidR="00512389" w:rsidRPr="0096125E" w:rsidRDefault="00512389">
            <w:pPr>
              <w:spacing w:line="0" w:lineRule="atLeast"/>
              <w:rPr>
                <w:rFonts w:ascii="Century Gothic" w:eastAsia="Times New Roman" w:hAnsi="Century Gothic"/>
              </w:rPr>
            </w:pPr>
          </w:p>
        </w:tc>
        <w:tc>
          <w:tcPr>
            <w:tcW w:w="726" w:type="pct"/>
            <w:tcBorders>
              <w:top w:val="single" w:sz="4" w:space="0" w:color="auto"/>
              <w:bottom w:val="single" w:sz="4" w:space="0" w:color="auto"/>
            </w:tcBorders>
            <w:shd w:val="clear" w:color="auto" w:fill="auto"/>
            <w:vAlign w:val="bottom"/>
          </w:tcPr>
          <w:p w14:paraId="7D206757"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1,142,857</w:t>
            </w:r>
          </w:p>
        </w:tc>
        <w:tc>
          <w:tcPr>
            <w:tcW w:w="830" w:type="pct"/>
            <w:tcBorders>
              <w:top w:val="single" w:sz="4" w:space="0" w:color="auto"/>
              <w:bottom w:val="single" w:sz="4" w:space="0" w:color="auto"/>
            </w:tcBorders>
            <w:shd w:val="clear" w:color="auto" w:fill="auto"/>
            <w:vAlign w:val="bottom"/>
          </w:tcPr>
          <w:p w14:paraId="5F297ACD"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15.67%</w:t>
            </w:r>
          </w:p>
        </w:tc>
      </w:tr>
      <w:tr w:rsidR="00512389" w:rsidRPr="0096125E" w14:paraId="71E04D42" w14:textId="77777777" w:rsidTr="002F244F">
        <w:trPr>
          <w:trHeight w:val="471"/>
        </w:trPr>
        <w:tc>
          <w:tcPr>
            <w:tcW w:w="2500" w:type="pct"/>
            <w:gridSpan w:val="3"/>
            <w:tcBorders>
              <w:top w:val="single" w:sz="4" w:space="0" w:color="auto"/>
            </w:tcBorders>
            <w:shd w:val="clear" w:color="auto" w:fill="auto"/>
            <w:vAlign w:val="bottom"/>
          </w:tcPr>
          <w:p w14:paraId="50130D86"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Common Stock &amp; Pre-Money Options /</w:t>
            </w:r>
          </w:p>
        </w:tc>
        <w:tc>
          <w:tcPr>
            <w:tcW w:w="820" w:type="pct"/>
            <w:tcBorders>
              <w:top w:val="single" w:sz="4" w:space="0" w:color="auto"/>
            </w:tcBorders>
            <w:shd w:val="clear" w:color="auto" w:fill="auto"/>
            <w:vAlign w:val="bottom"/>
          </w:tcPr>
          <w:p w14:paraId="05FAB5C2" w14:textId="77777777" w:rsidR="00512389" w:rsidRPr="0096125E" w:rsidRDefault="00512389">
            <w:pPr>
              <w:spacing w:line="0" w:lineRule="atLeast"/>
              <w:rPr>
                <w:rFonts w:ascii="Century Gothic" w:eastAsia="Times New Roman" w:hAnsi="Century Gothic"/>
              </w:rPr>
            </w:pPr>
          </w:p>
        </w:tc>
        <w:tc>
          <w:tcPr>
            <w:tcW w:w="124" w:type="pct"/>
            <w:tcBorders>
              <w:top w:val="single" w:sz="4" w:space="0" w:color="auto"/>
            </w:tcBorders>
            <w:shd w:val="clear" w:color="auto" w:fill="auto"/>
            <w:vAlign w:val="bottom"/>
          </w:tcPr>
          <w:p w14:paraId="7E1B926A" w14:textId="77777777" w:rsidR="00512389" w:rsidRPr="0096125E" w:rsidRDefault="00512389">
            <w:pPr>
              <w:spacing w:line="0" w:lineRule="atLeast"/>
              <w:rPr>
                <w:rFonts w:ascii="Century Gothic" w:eastAsia="Times New Roman" w:hAnsi="Century Gothic"/>
              </w:rPr>
            </w:pPr>
          </w:p>
        </w:tc>
        <w:tc>
          <w:tcPr>
            <w:tcW w:w="726" w:type="pct"/>
            <w:tcBorders>
              <w:top w:val="single" w:sz="4" w:space="0" w:color="auto"/>
            </w:tcBorders>
            <w:shd w:val="clear" w:color="auto" w:fill="auto"/>
            <w:vAlign w:val="bottom"/>
          </w:tcPr>
          <w:p w14:paraId="02CCDC88" w14:textId="77777777" w:rsidR="00512389" w:rsidRPr="0096125E" w:rsidRDefault="00512389">
            <w:pPr>
              <w:spacing w:line="0" w:lineRule="atLeast"/>
              <w:rPr>
                <w:rFonts w:ascii="Century Gothic" w:eastAsia="Times New Roman" w:hAnsi="Century Gothic"/>
              </w:rPr>
            </w:pPr>
          </w:p>
        </w:tc>
        <w:tc>
          <w:tcPr>
            <w:tcW w:w="830" w:type="pct"/>
            <w:tcBorders>
              <w:top w:val="single" w:sz="4" w:space="0" w:color="auto"/>
            </w:tcBorders>
            <w:shd w:val="clear" w:color="auto" w:fill="auto"/>
            <w:vAlign w:val="bottom"/>
          </w:tcPr>
          <w:p w14:paraId="0834EFCD" w14:textId="77777777" w:rsidR="00512389" w:rsidRPr="0096125E" w:rsidRDefault="00512389">
            <w:pPr>
              <w:spacing w:line="0" w:lineRule="atLeast"/>
              <w:rPr>
                <w:rFonts w:ascii="Century Gothic" w:eastAsia="Times New Roman" w:hAnsi="Century Gothic"/>
              </w:rPr>
            </w:pPr>
          </w:p>
        </w:tc>
      </w:tr>
      <w:tr w:rsidR="00512389" w:rsidRPr="0096125E" w14:paraId="3EF3CD5E" w14:textId="77777777" w:rsidTr="000F3642">
        <w:trPr>
          <w:trHeight w:val="289"/>
        </w:trPr>
        <w:tc>
          <w:tcPr>
            <w:tcW w:w="2500" w:type="pct"/>
            <w:gridSpan w:val="3"/>
            <w:shd w:val="clear" w:color="auto" w:fill="auto"/>
            <w:vAlign w:val="bottom"/>
          </w:tcPr>
          <w:p w14:paraId="4500E03E"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Warrants</w:t>
            </w:r>
          </w:p>
        </w:tc>
        <w:tc>
          <w:tcPr>
            <w:tcW w:w="820" w:type="pct"/>
            <w:shd w:val="clear" w:color="auto" w:fill="auto"/>
            <w:vAlign w:val="bottom"/>
          </w:tcPr>
          <w:p w14:paraId="4DA77E38"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2DA20010"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3AE937DC"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5,151,500</w:t>
            </w:r>
          </w:p>
        </w:tc>
        <w:tc>
          <w:tcPr>
            <w:tcW w:w="830" w:type="pct"/>
            <w:shd w:val="clear" w:color="auto" w:fill="auto"/>
            <w:vAlign w:val="bottom"/>
          </w:tcPr>
          <w:p w14:paraId="2010C8CB"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70.62%</w:t>
            </w:r>
          </w:p>
        </w:tc>
      </w:tr>
      <w:tr w:rsidR="00512389" w:rsidRPr="0096125E" w14:paraId="3CC53959" w14:textId="77777777" w:rsidTr="000F3642">
        <w:trPr>
          <w:trHeight w:val="412"/>
        </w:trPr>
        <w:tc>
          <w:tcPr>
            <w:tcW w:w="2500" w:type="pct"/>
            <w:gridSpan w:val="3"/>
            <w:shd w:val="clear" w:color="auto" w:fill="auto"/>
            <w:vAlign w:val="bottom"/>
          </w:tcPr>
          <w:p w14:paraId="2A1A5CC7"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Post-Money Options Reserves*</w:t>
            </w:r>
          </w:p>
        </w:tc>
        <w:tc>
          <w:tcPr>
            <w:tcW w:w="820" w:type="pct"/>
            <w:shd w:val="clear" w:color="auto" w:fill="auto"/>
            <w:vAlign w:val="bottom"/>
          </w:tcPr>
          <w:p w14:paraId="5065F8A9"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73015856"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15A6DF7E"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1,000,000</w:t>
            </w:r>
          </w:p>
        </w:tc>
        <w:tc>
          <w:tcPr>
            <w:tcW w:w="830" w:type="pct"/>
            <w:shd w:val="clear" w:color="auto" w:fill="auto"/>
            <w:vAlign w:val="bottom"/>
          </w:tcPr>
          <w:p w14:paraId="3DD8AF2D"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13.71%</w:t>
            </w:r>
          </w:p>
        </w:tc>
      </w:tr>
      <w:tr w:rsidR="00512389" w:rsidRPr="0096125E" w14:paraId="6E47C16B" w14:textId="77777777" w:rsidTr="002F244F">
        <w:trPr>
          <w:trHeight w:val="20"/>
        </w:trPr>
        <w:tc>
          <w:tcPr>
            <w:tcW w:w="41" w:type="pct"/>
            <w:shd w:val="clear" w:color="auto" w:fill="auto"/>
            <w:vAlign w:val="bottom"/>
          </w:tcPr>
          <w:p w14:paraId="7535E9AA" w14:textId="77777777" w:rsidR="00512389" w:rsidRPr="0096125E" w:rsidRDefault="00512389">
            <w:pPr>
              <w:spacing w:line="20" w:lineRule="exact"/>
              <w:rPr>
                <w:rFonts w:ascii="Century Gothic" w:eastAsia="Times New Roman" w:hAnsi="Century Gothic"/>
              </w:rPr>
            </w:pPr>
          </w:p>
        </w:tc>
        <w:tc>
          <w:tcPr>
            <w:tcW w:w="2459" w:type="pct"/>
            <w:gridSpan w:val="2"/>
            <w:tcBorders>
              <w:bottom w:val="single" w:sz="4" w:space="0" w:color="auto"/>
            </w:tcBorders>
            <w:shd w:val="clear" w:color="auto" w:fill="auto"/>
            <w:vAlign w:val="bottom"/>
          </w:tcPr>
          <w:p w14:paraId="305212E6" w14:textId="77777777" w:rsidR="00512389" w:rsidRPr="0096125E" w:rsidRDefault="00512389">
            <w:pPr>
              <w:spacing w:line="20" w:lineRule="exact"/>
              <w:rPr>
                <w:rFonts w:ascii="Century Gothic" w:eastAsia="Times New Roman" w:hAnsi="Century Gothic"/>
              </w:rPr>
            </w:pPr>
          </w:p>
        </w:tc>
        <w:tc>
          <w:tcPr>
            <w:tcW w:w="820" w:type="pct"/>
            <w:tcBorders>
              <w:bottom w:val="single" w:sz="4" w:space="0" w:color="auto"/>
            </w:tcBorders>
            <w:shd w:val="clear" w:color="auto" w:fill="auto"/>
            <w:vAlign w:val="bottom"/>
          </w:tcPr>
          <w:p w14:paraId="57ABCA02" w14:textId="77777777" w:rsidR="00512389" w:rsidRPr="0096125E" w:rsidRDefault="00512389">
            <w:pPr>
              <w:spacing w:line="20" w:lineRule="exact"/>
              <w:rPr>
                <w:rFonts w:ascii="Century Gothic" w:eastAsia="Times New Roman" w:hAnsi="Century Gothic"/>
              </w:rPr>
            </w:pPr>
          </w:p>
        </w:tc>
        <w:tc>
          <w:tcPr>
            <w:tcW w:w="124" w:type="pct"/>
            <w:tcBorders>
              <w:bottom w:val="single" w:sz="4" w:space="0" w:color="auto"/>
            </w:tcBorders>
            <w:shd w:val="clear" w:color="auto" w:fill="auto"/>
            <w:vAlign w:val="bottom"/>
          </w:tcPr>
          <w:p w14:paraId="7471A15D" w14:textId="77777777" w:rsidR="00512389" w:rsidRPr="0096125E" w:rsidRDefault="00512389">
            <w:pPr>
              <w:spacing w:line="20" w:lineRule="exact"/>
              <w:rPr>
                <w:rFonts w:ascii="Century Gothic" w:eastAsia="Times New Roman" w:hAnsi="Century Gothic"/>
              </w:rPr>
            </w:pPr>
          </w:p>
        </w:tc>
        <w:tc>
          <w:tcPr>
            <w:tcW w:w="726" w:type="pct"/>
            <w:tcBorders>
              <w:bottom w:val="single" w:sz="4" w:space="0" w:color="auto"/>
            </w:tcBorders>
            <w:shd w:val="clear" w:color="auto" w:fill="auto"/>
            <w:vAlign w:val="bottom"/>
          </w:tcPr>
          <w:p w14:paraId="4648698A" w14:textId="77777777" w:rsidR="00512389" w:rsidRPr="0096125E" w:rsidRDefault="00512389">
            <w:pPr>
              <w:spacing w:line="20" w:lineRule="exact"/>
              <w:rPr>
                <w:rFonts w:ascii="Century Gothic" w:eastAsia="Times New Roman" w:hAnsi="Century Gothic"/>
              </w:rPr>
            </w:pPr>
          </w:p>
        </w:tc>
        <w:tc>
          <w:tcPr>
            <w:tcW w:w="830" w:type="pct"/>
            <w:tcBorders>
              <w:bottom w:val="single" w:sz="4" w:space="0" w:color="auto"/>
            </w:tcBorders>
            <w:shd w:val="clear" w:color="auto" w:fill="auto"/>
            <w:vAlign w:val="bottom"/>
          </w:tcPr>
          <w:p w14:paraId="6305BD9B" w14:textId="77777777" w:rsidR="00512389" w:rsidRPr="0096125E" w:rsidRDefault="00512389">
            <w:pPr>
              <w:spacing w:line="20" w:lineRule="exact"/>
              <w:rPr>
                <w:rFonts w:ascii="Century Gothic" w:eastAsia="Times New Roman" w:hAnsi="Century Gothic"/>
              </w:rPr>
            </w:pPr>
          </w:p>
        </w:tc>
      </w:tr>
      <w:tr w:rsidR="00512389" w:rsidRPr="0096125E" w14:paraId="1F5B98F0" w14:textId="77777777" w:rsidTr="002F244F">
        <w:trPr>
          <w:trHeight w:val="291"/>
        </w:trPr>
        <w:tc>
          <w:tcPr>
            <w:tcW w:w="41" w:type="pct"/>
            <w:shd w:val="clear" w:color="auto" w:fill="auto"/>
            <w:vAlign w:val="bottom"/>
          </w:tcPr>
          <w:p w14:paraId="51D4051B" w14:textId="77777777" w:rsidR="00512389" w:rsidRPr="0096125E" w:rsidRDefault="00512389">
            <w:pPr>
              <w:spacing w:line="0" w:lineRule="atLeast"/>
              <w:rPr>
                <w:rFonts w:ascii="Century Gothic" w:eastAsia="Times New Roman" w:hAnsi="Century Gothic"/>
              </w:rPr>
            </w:pPr>
          </w:p>
        </w:tc>
        <w:tc>
          <w:tcPr>
            <w:tcW w:w="2459" w:type="pct"/>
            <w:gridSpan w:val="2"/>
            <w:tcBorders>
              <w:top w:val="single" w:sz="4" w:space="0" w:color="auto"/>
              <w:bottom w:val="single" w:sz="4" w:space="0" w:color="auto"/>
            </w:tcBorders>
            <w:shd w:val="clear" w:color="auto" w:fill="auto"/>
            <w:vAlign w:val="bottom"/>
          </w:tcPr>
          <w:p w14:paraId="4DD4B18D" w14:textId="77777777" w:rsidR="00512389" w:rsidRPr="0096125E" w:rsidRDefault="0096125E">
            <w:pPr>
              <w:spacing w:line="0" w:lineRule="atLeast"/>
              <w:rPr>
                <w:rFonts w:ascii="Century Gothic" w:eastAsia="Verdana" w:hAnsi="Century Gothic"/>
                <w:b/>
              </w:rPr>
            </w:pPr>
            <w:r w:rsidRPr="0096125E">
              <w:rPr>
                <w:rFonts w:ascii="Century Gothic" w:eastAsia="Verdana" w:hAnsi="Century Gothic"/>
                <w:b/>
              </w:rPr>
              <w:t>Total</w:t>
            </w:r>
          </w:p>
        </w:tc>
        <w:tc>
          <w:tcPr>
            <w:tcW w:w="820" w:type="pct"/>
            <w:tcBorders>
              <w:top w:val="single" w:sz="4" w:space="0" w:color="auto"/>
              <w:bottom w:val="single" w:sz="4" w:space="0" w:color="auto"/>
            </w:tcBorders>
            <w:shd w:val="clear" w:color="auto" w:fill="auto"/>
            <w:vAlign w:val="bottom"/>
          </w:tcPr>
          <w:p w14:paraId="73AC58C5"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$1,000,000</w:t>
            </w:r>
          </w:p>
        </w:tc>
        <w:tc>
          <w:tcPr>
            <w:tcW w:w="124" w:type="pct"/>
            <w:tcBorders>
              <w:top w:val="single" w:sz="4" w:space="0" w:color="auto"/>
              <w:bottom w:val="single" w:sz="4" w:space="0" w:color="auto"/>
            </w:tcBorders>
            <w:shd w:val="clear" w:color="auto" w:fill="auto"/>
            <w:vAlign w:val="bottom"/>
          </w:tcPr>
          <w:p w14:paraId="35D662A5" w14:textId="77777777" w:rsidR="00512389" w:rsidRPr="0096125E" w:rsidRDefault="00512389">
            <w:pPr>
              <w:spacing w:line="0" w:lineRule="atLeast"/>
              <w:rPr>
                <w:rFonts w:ascii="Century Gothic" w:eastAsia="Times New Roman" w:hAnsi="Century Gothic"/>
              </w:rPr>
            </w:pPr>
          </w:p>
        </w:tc>
        <w:tc>
          <w:tcPr>
            <w:tcW w:w="726" w:type="pct"/>
            <w:tcBorders>
              <w:top w:val="single" w:sz="4" w:space="0" w:color="auto"/>
              <w:bottom w:val="single" w:sz="4" w:space="0" w:color="auto"/>
            </w:tcBorders>
            <w:shd w:val="clear" w:color="auto" w:fill="auto"/>
            <w:vAlign w:val="bottom"/>
          </w:tcPr>
          <w:p w14:paraId="7C932F20"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7,294,357</w:t>
            </w:r>
          </w:p>
        </w:tc>
        <w:tc>
          <w:tcPr>
            <w:tcW w:w="830" w:type="pct"/>
            <w:tcBorders>
              <w:top w:val="single" w:sz="4" w:space="0" w:color="auto"/>
              <w:bottom w:val="single" w:sz="4" w:space="0" w:color="auto"/>
            </w:tcBorders>
            <w:shd w:val="clear" w:color="auto" w:fill="auto"/>
            <w:vAlign w:val="bottom"/>
          </w:tcPr>
          <w:p w14:paraId="3583E100"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100.00%</w:t>
            </w:r>
          </w:p>
        </w:tc>
      </w:tr>
      <w:tr w:rsidR="00512389" w:rsidRPr="0096125E" w14:paraId="4036CFE4" w14:textId="77777777" w:rsidTr="002F244F">
        <w:trPr>
          <w:trHeight w:val="262"/>
        </w:trPr>
        <w:tc>
          <w:tcPr>
            <w:tcW w:w="41" w:type="pct"/>
            <w:shd w:val="clear" w:color="auto" w:fill="auto"/>
            <w:vAlign w:val="bottom"/>
          </w:tcPr>
          <w:p w14:paraId="18070429" w14:textId="77777777" w:rsidR="00512389" w:rsidRPr="0096125E" w:rsidRDefault="00512389">
            <w:pPr>
              <w:spacing w:line="0" w:lineRule="atLeast"/>
              <w:rPr>
                <w:rFonts w:ascii="Century Gothic" w:eastAsia="Times New Roman" w:hAnsi="Century Gothic"/>
              </w:rPr>
            </w:pPr>
          </w:p>
        </w:tc>
        <w:tc>
          <w:tcPr>
            <w:tcW w:w="2459" w:type="pct"/>
            <w:gridSpan w:val="2"/>
            <w:tcBorders>
              <w:top w:val="single" w:sz="4" w:space="0" w:color="auto"/>
            </w:tcBorders>
            <w:shd w:val="clear" w:color="auto" w:fill="auto"/>
            <w:vAlign w:val="bottom"/>
          </w:tcPr>
          <w:p w14:paraId="60374B9F" w14:textId="77777777" w:rsidR="00512389" w:rsidRPr="0096125E" w:rsidRDefault="00512389">
            <w:pPr>
              <w:spacing w:line="0" w:lineRule="atLeast"/>
              <w:rPr>
                <w:rFonts w:ascii="Century Gothic" w:eastAsia="Times New Roman" w:hAnsi="Century Gothic"/>
              </w:rPr>
            </w:pPr>
          </w:p>
        </w:tc>
        <w:tc>
          <w:tcPr>
            <w:tcW w:w="820" w:type="pct"/>
            <w:tcBorders>
              <w:top w:val="single" w:sz="4" w:space="0" w:color="auto"/>
            </w:tcBorders>
            <w:shd w:val="clear" w:color="auto" w:fill="auto"/>
            <w:vAlign w:val="bottom"/>
          </w:tcPr>
          <w:p w14:paraId="445CEB7A" w14:textId="77777777" w:rsidR="00512389" w:rsidRPr="0096125E" w:rsidRDefault="00512389">
            <w:pPr>
              <w:spacing w:line="0" w:lineRule="atLeast"/>
              <w:rPr>
                <w:rFonts w:ascii="Century Gothic" w:eastAsia="Times New Roman" w:hAnsi="Century Gothic"/>
              </w:rPr>
            </w:pPr>
          </w:p>
        </w:tc>
        <w:tc>
          <w:tcPr>
            <w:tcW w:w="124" w:type="pct"/>
            <w:tcBorders>
              <w:top w:val="single" w:sz="4" w:space="0" w:color="auto"/>
            </w:tcBorders>
            <w:shd w:val="clear" w:color="auto" w:fill="auto"/>
            <w:vAlign w:val="bottom"/>
          </w:tcPr>
          <w:p w14:paraId="3BC2838F" w14:textId="77777777" w:rsidR="00512389" w:rsidRPr="0096125E" w:rsidRDefault="00512389">
            <w:pPr>
              <w:spacing w:line="0" w:lineRule="atLeast"/>
              <w:rPr>
                <w:rFonts w:ascii="Century Gothic" w:eastAsia="Times New Roman" w:hAnsi="Century Gothic"/>
              </w:rPr>
            </w:pPr>
          </w:p>
        </w:tc>
        <w:tc>
          <w:tcPr>
            <w:tcW w:w="726" w:type="pct"/>
            <w:tcBorders>
              <w:top w:val="single" w:sz="4" w:space="0" w:color="auto"/>
            </w:tcBorders>
            <w:shd w:val="clear" w:color="auto" w:fill="auto"/>
            <w:vAlign w:val="bottom"/>
          </w:tcPr>
          <w:p w14:paraId="303DCF6E" w14:textId="77777777" w:rsidR="00512389" w:rsidRPr="0096125E" w:rsidRDefault="00512389">
            <w:pPr>
              <w:spacing w:line="0" w:lineRule="atLeast"/>
              <w:rPr>
                <w:rFonts w:ascii="Century Gothic" w:eastAsia="Times New Roman" w:hAnsi="Century Gothic"/>
              </w:rPr>
            </w:pPr>
          </w:p>
        </w:tc>
        <w:tc>
          <w:tcPr>
            <w:tcW w:w="830" w:type="pct"/>
            <w:tcBorders>
              <w:top w:val="single" w:sz="4" w:space="0" w:color="auto"/>
            </w:tcBorders>
            <w:shd w:val="clear" w:color="auto" w:fill="auto"/>
            <w:vAlign w:val="bottom"/>
          </w:tcPr>
          <w:p w14:paraId="4E4B7791" w14:textId="77777777" w:rsidR="00512389" w:rsidRPr="0096125E" w:rsidRDefault="00512389">
            <w:pPr>
              <w:spacing w:line="0" w:lineRule="atLeast"/>
              <w:rPr>
                <w:rFonts w:ascii="Century Gothic" w:eastAsia="Times New Roman" w:hAnsi="Century Gothic"/>
              </w:rPr>
            </w:pPr>
          </w:p>
        </w:tc>
      </w:tr>
      <w:tr w:rsidR="00512389" w:rsidRPr="0096125E" w14:paraId="65C74FD9" w14:textId="77777777" w:rsidTr="000F3642">
        <w:trPr>
          <w:trHeight w:val="306"/>
        </w:trPr>
        <w:tc>
          <w:tcPr>
            <w:tcW w:w="41" w:type="pct"/>
            <w:shd w:val="clear" w:color="auto" w:fill="auto"/>
            <w:vAlign w:val="bottom"/>
          </w:tcPr>
          <w:p w14:paraId="11D22BFB" w14:textId="77777777" w:rsidR="00512389" w:rsidRPr="0096125E" w:rsidRDefault="00512389">
            <w:pPr>
              <w:spacing w:line="0" w:lineRule="atLeast"/>
              <w:rPr>
                <w:rFonts w:ascii="Century Gothic" w:eastAsia="Times New Roman" w:hAnsi="Century Gothic"/>
              </w:rPr>
            </w:pPr>
          </w:p>
        </w:tc>
        <w:tc>
          <w:tcPr>
            <w:tcW w:w="2459" w:type="pct"/>
            <w:gridSpan w:val="2"/>
            <w:shd w:val="clear" w:color="auto" w:fill="auto"/>
            <w:vAlign w:val="bottom"/>
          </w:tcPr>
          <w:p w14:paraId="46EE00F8" w14:textId="77777777" w:rsidR="00512389" w:rsidRPr="0096125E" w:rsidRDefault="0096125E">
            <w:pPr>
              <w:spacing w:line="0" w:lineRule="atLeast"/>
              <w:rPr>
                <w:rFonts w:ascii="Century Gothic" w:eastAsia="Verdana" w:hAnsi="Century Gothic"/>
                <w:b/>
              </w:rPr>
            </w:pPr>
            <w:r w:rsidRPr="0096125E">
              <w:rPr>
                <w:rFonts w:ascii="Century Gothic" w:eastAsia="Verdana" w:hAnsi="Century Gothic"/>
                <w:b/>
              </w:rPr>
              <w:t>Summary: Fully Diluted Basis</w:t>
            </w:r>
          </w:p>
        </w:tc>
        <w:tc>
          <w:tcPr>
            <w:tcW w:w="820" w:type="pct"/>
            <w:shd w:val="clear" w:color="auto" w:fill="auto"/>
            <w:vAlign w:val="bottom"/>
          </w:tcPr>
          <w:p w14:paraId="33A7FA31"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4E360A4F"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0A3650BE"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60C44CE8" w14:textId="77777777" w:rsidR="00512389" w:rsidRPr="0096125E" w:rsidRDefault="00512389">
            <w:pPr>
              <w:spacing w:line="0" w:lineRule="atLeast"/>
              <w:rPr>
                <w:rFonts w:ascii="Century Gothic" w:eastAsia="Times New Roman" w:hAnsi="Century Gothic"/>
              </w:rPr>
            </w:pPr>
          </w:p>
        </w:tc>
      </w:tr>
      <w:tr w:rsidR="00512389" w:rsidRPr="0096125E" w14:paraId="4F1D9211" w14:textId="77777777" w:rsidTr="000F3642">
        <w:trPr>
          <w:trHeight w:val="359"/>
        </w:trPr>
        <w:tc>
          <w:tcPr>
            <w:tcW w:w="41" w:type="pct"/>
            <w:shd w:val="clear" w:color="auto" w:fill="auto"/>
            <w:vAlign w:val="bottom"/>
          </w:tcPr>
          <w:p w14:paraId="2A4F236E" w14:textId="77777777" w:rsidR="00512389" w:rsidRPr="0096125E" w:rsidRDefault="00512389">
            <w:pPr>
              <w:spacing w:line="0" w:lineRule="atLeast"/>
              <w:rPr>
                <w:rFonts w:ascii="Century Gothic" w:eastAsia="Times New Roman" w:hAnsi="Century Gothic"/>
              </w:rPr>
            </w:pPr>
          </w:p>
        </w:tc>
        <w:tc>
          <w:tcPr>
            <w:tcW w:w="1629" w:type="pct"/>
            <w:shd w:val="clear" w:color="auto" w:fill="auto"/>
            <w:vAlign w:val="bottom"/>
          </w:tcPr>
          <w:p w14:paraId="390F0682"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10797103" w14:textId="77777777" w:rsidR="00512389" w:rsidRPr="0096125E" w:rsidRDefault="00512389">
            <w:pPr>
              <w:spacing w:line="0" w:lineRule="atLeast"/>
              <w:rPr>
                <w:rFonts w:ascii="Century Gothic" w:eastAsia="Times New Roman" w:hAnsi="Century Gothic"/>
              </w:rPr>
            </w:pPr>
          </w:p>
        </w:tc>
        <w:tc>
          <w:tcPr>
            <w:tcW w:w="1670" w:type="pct"/>
            <w:gridSpan w:val="3"/>
            <w:shd w:val="clear" w:color="auto" w:fill="auto"/>
            <w:vAlign w:val="bottom"/>
          </w:tcPr>
          <w:p w14:paraId="1DF13404" w14:textId="77777777" w:rsidR="00512389" w:rsidRPr="0096125E" w:rsidRDefault="0096125E">
            <w:pPr>
              <w:spacing w:line="0" w:lineRule="atLeast"/>
              <w:jc w:val="right"/>
              <w:rPr>
                <w:rFonts w:ascii="Century Gothic" w:eastAsia="Verdana" w:hAnsi="Century Gothic"/>
                <w:b/>
              </w:rPr>
            </w:pPr>
            <w:r w:rsidRPr="0096125E">
              <w:rPr>
                <w:rFonts w:ascii="Century Gothic" w:eastAsia="Verdana" w:hAnsi="Century Gothic"/>
                <w:b/>
              </w:rPr>
              <w:t>Pre-Money Post-Money</w:t>
            </w:r>
          </w:p>
        </w:tc>
        <w:tc>
          <w:tcPr>
            <w:tcW w:w="830" w:type="pct"/>
            <w:shd w:val="clear" w:color="auto" w:fill="auto"/>
            <w:vAlign w:val="bottom"/>
          </w:tcPr>
          <w:p w14:paraId="49655292" w14:textId="77777777" w:rsidR="00512389" w:rsidRPr="0096125E" w:rsidRDefault="0096125E">
            <w:pPr>
              <w:spacing w:line="0" w:lineRule="atLeast"/>
              <w:jc w:val="right"/>
              <w:rPr>
                <w:rFonts w:ascii="Century Gothic" w:eastAsia="Verdana" w:hAnsi="Century Gothic"/>
                <w:b/>
              </w:rPr>
            </w:pPr>
            <w:r w:rsidRPr="0096125E">
              <w:rPr>
                <w:rFonts w:ascii="Century Gothic" w:eastAsia="Verdana" w:hAnsi="Century Gothic"/>
                <w:b/>
              </w:rPr>
              <w:t>Share Value</w:t>
            </w:r>
          </w:p>
        </w:tc>
      </w:tr>
      <w:tr w:rsidR="00512389" w:rsidRPr="0096125E" w14:paraId="54D4ED67" w14:textId="77777777" w:rsidTr="000F3642">
        <w:trPr>
          <w:trHeight w:val="375"/>
        </w:trPr>
        <w:tc>
          <w:tcPr>
            <w:tcW w:w="2500" w:type="pct"/>
            <w:gridSpan w:val="3"/>
            <w:shd w:val="clear" w:color="auto" w:fill="auto"/>
            <w:vAlign w:val="bottom"/>
          </w:tcPr>
          <w:p w14:paraId="3C7966A6"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Founder/Seed Investors</w:t>
            </w:r>
          </w:p>
        </w:tc>
        <w:tc>
          <w:tcPr>
            <w:tcW w:w="820" w:type="pct"/>
            <w:shd w:val="clear" w:color="auto" w:fill="auto"/>
            <w:vAlign w:val="bottom"/>
          </w:tcPr>
          <w:p w14:paraId="1863CB4B"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82.58%</w:t>
            </w:r>
          </w:p>
        </w:tc>
        <w:tc>
          <w:tcPr>
            <w:tcW w:w="124" w:type="pct"/>
            <w:shd w:val="clear" w:color="auto" w:fill="auto"/>
            <w:vAlign w:val="bottom"/>
          </w:tcPr>
          <w:p w14:paraId="477ABFAE"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4B186255"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58.32%</w:t>
            </w:r>
          </w:p>
        </w:tc>
        <w:tc>
          <w:tcPr>
            <w:tcW w:w="830" w:type="pct"/>
            <w:shd w:val="clear" w:color="auto" w:fill="auto"/>
            <w:vAlign w:val="bottom"/>
          </w:tcPr>
          <w:p w14:paraId="018134D8"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$7,444,500</w:t>
            </w:r>
          </w:p>
        </w:tc>
      </w:tr>
      <w:tr w:rsidR="00512389" w:rsidRPr="0096125E" w14:paraId="4216928B" w14:textId="77777777" w:rsidTr="000F3642">
        <w:trPr>
          <w:trHeight w:val="234"/>
        </w:trPr>
        <w:tc>
          <w:tcPr>
            <w:tcW w:w="2500" w:type="pct"/>
            <w:gridSpan w:val="3"/>
            <w:shd w:val="clear" w:color="auto" w:fill="auto"/>
            <w:vAlign w:val="bottom"/>
          </w:tcPr>
          <w:p w14:paraId="07A46555" w14:textId="77777777" w:rsidR="00512389" w:rsidRPr="0096125E" w:rsidRDefault="0096125E">
            <w:pPr>
              <w:spacing w:line="234" w:lineRule="exact"/>
              <w:ind w:left="60"/>
              <w:rPr>
                <w:rFonts w:ascii="Century Gothic" w:eastAsia="Verdana" w:hAnsi="Century Gothic"/>
              </w:rPr>
            </w:pPr>
            <w:r w:rsidRPr="0096125E">
              <w:rPr>
                <w:rFonts w:ascii="Century Gothic" w:eastAsia="Verdana" w:hAnsi="Century Gothic"/>
              </w:rPr>
              <w:t>Round 2 Investment</w:t>
            </w:r>
          </w:p>
        </w:tc>
        <w:tc>
          <w:tcPr>
            <w:tcW w:w="820" w:type="pct"/>
            <w:shd w:val="clear" w:color="auto" w:fill="auto"/>
            <w:vAlign w:val="bottom"/>
          </w:tcPr>
          <w:p w14:paraId="48D035CF"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76AD2E6C"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6CDAD879" w14:textId="77777777" w:rsidR="00512389" w:rsidRPr="0096125E" w:rsidRDefault="0096125E">
            <w:pPr>
              <w:spacing w:line="234" w:lineRule="exact"/>
              <w:jc w:val="right"/>
              <w:rPr>
                <w:rFonts w:ascii="Century Gothic" w:eastAsia="Verdana" w:hAnsi="Century Gothic"/>
              </w:rPr>
            </w:pPr>
            <w:r w:rsidRPr="0096125E">
              <w:rPr>
                <w:rFonts w:ascii="Century Gothic" w:eastAsia="Verdana" w:hAnsi="Century Gothic"/>
              </w:rPr>
              <w:t>15.67%</w:t>
            </w:r>
          </w:p>
        </w:tc>
        <w:tc>
          <w:tcPr>
            <w:tcW w:w="830" w:type="pct"/>
            <w:shd w:val="clear" w:color="auto" w:fill="auto"/>
            <w:vAlign w:val="bottom"/>
          </w:tcPr>
          <w:p w14:paraId="22AF81E2" w14:textId="77777777" w:rsidR="00512389" w:rsidRPr="0096125E" w:rsidRDefault="0096125E">
            <w:pPr>
              <w:spacing w:line="234" w:lineRule="exact"/>
              <w:jc w:val="right"/>
              <w:rPr>
                <w:rFonts w:ascii="Century Gothic" w:eastAsia="Verdana" w:hAnsi="Century Gothic"/>
              </w:rPr>
            </w:pPr>
            <w:r w:rsidRPr="0096125E">
              <w:rPr>
                <w:rFonts w:ascii="Century Gothic" w:eastAsia="Verdana" w:hAnsi="Century Gothic"/>
              </w:rPr>
              <w:t>$2,000,000</w:t>
            </w:r>
          </w:p>
        </w:tc>
      </w:tr>
      <w:tr w:rsidR="00512389" w:rsidRPr="0096125E" w14:paraId="753B18EE" w14:textId="77777777" w:rsidTr="000F3642">
        <w:trPr>
          <w:trHeight w:val="327"/>
        </w:trPr>
        <w:tc>
          <w:tcPr>
            <w:tcW w:w="2500" w:type="pct"/>
            <w:gridSpan w:val="3"/>
            <w:shd w:val="clear" w:color="auto" w:fill="auto"/>
            <w:vAlign w:val="bottom"/>
          </w:tcPr>
          <w:p w14:paraId="7700B75C" w14:textId="77777777" w:rsidR="00512389" w:rsidRPr="0096125E" w:rsidRDefault="0096125E">
            <w:pPr>
              <w:spacing w:line="0" w:lineRule="atLeast"/>
              <w:ind w:left="60"/>
              <w:rPr>
                <w:rFonts w:ascii="Century Gothic" w:eastAsia="Verdana" w:hAnsi="Century Gothic"/>
              </w:rPr>
            </w:pPr>
            <w:r w:rsidRPr="0096125E">
              <w:rPr>
                <w:rFonts w:ascii="Century Gothic" w:eastAsia="Verdana" w:hAnsi="Century Gothic"/>
              </w:rPr>
              <w:t>All Options/Warrants</w:t>
            </w:r>
          </w:p>
        </w:tc>
        <w:tc>
          <w:tcPr>
            <w:tcW w:w="820" w:type="pct"/>
            <w:shd w:val="clear" w:color="auto" w:fill="auto"/>
            <w:vAlign w:val="bottom"/>
          </w:tcPr>
          <w:p w14:paraId="71872E98"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11.60%</w:t>
            </w:r>
          </w:p>
        </w:tc>
        <w:tc>
          <w:tcPr>
            <w:tcW w:w="124" w:type="pct"/>
            <w:shd w:val="clear" w:color="auto" w:fill="auto"/>
            <w:vAlign w:val="bottom"/>
          </w:tcPr>
          <w:p w14:paraId="6A1365E4"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0538D298"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26.01%</w:t>
            </w:r>
          </w:p>
        </w:tc>
        <w:tc>
          <w:tcPr>
            <w:tcW w:w="830" w:type="pct"/>
            <w:shd w:val="clear" w:color="auto" w:fill="auto"/>
            <w:vAlign w:val="bottom"/>
          </w:tcPr>
          <w:p w14:paraId="6FF3C0DF"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$3,320,625</w:t>
            </w:r>
          </w:p>
        </w:tc>
      </w:tr>
      <w:tr w:rsidR="00512389" w:rsidRPr="0096125E" w14:paraId="63CE9AFB" w14:textId="77777777" w:rsidTr="000F3642">
        <w:trPr>
          <w:trHeight w:val="322"/>
        </w:trPr>
        <w:tc>
          <w:tcPr>
            <w:tcW w:w="41" w:type="pct"/>
            <w:shd w:val="clear" w:color="auto" w:fill="auto"/>
            <w:vAlign w:val="bottom"/>
          </w:tcPr>
          <w:p w14:paraId="77384E48" w14:textId="77777777" w:rsidR="00512389" w:rsidRPr="0096125E" w:rsidRDefault="00512389">
            <w:pPr>
              <w:spacing w:line="0" w:lineRule="atLeast"/>
              <w:rPr>
                <w:rFonts w:ascii="Century Gothic" w:eastAsia="Times New Roman" w:hAnsi="Century Gothic"/>
              </w:rPr>
            </w:pPr>
          </w:p>
        </w:tc>
        <w:tc>
          <w:tcPr>
            <w:tcW w:w="2459" w:type="pct"/>
            <w:gridSpan w:val="2"/>
            <w:shd w:val="clear" w:color="auto" w:fill="auto"/>
            <w:vAlign w:val="bottom"/>
          </w:tcPr>
          <w:p w14:paraId="462008AE" w14:textId="77777777" w:rsidR="00512389" w:rsidRPr="0096125E" w:rsidRDefault="00512389">
            <w:pPr>
              <w:spacing w:line="0" w:lineRule="atLeast"/>
              <w:rPr>
                <w:rFonts w:ascii="Century Gothic" w:eastAsia="Times New Roman" w:hAnsi="Century Gothic"/>
              </w:rPr>
            </w:pPr>
          </w:p>
        </w:tc>
        <w:tc>
          <w:tcPr>
            <w:tcW w:w="820" w:type="pct"/>
            <w:shd w:val="clear" w:color="auto" w:fill="auto"/>
            <w:vAlign w:val="bottom"/>
          </w:tcPr>
          <w:p w14:paraId="55F9E409" w14:textId="77777777" w:rsidR="00512389" w:rsidRPr="0096125E" w:rsidRDefault="00512389">
            <w:pPr>
              <w:spacing w:line="0" w:lineRule="atLeast"/>
              <w:rPr>
                <w:rFonts w:ascii="Century Gothic" w:eastAsia="Times New Roman" w:hAnsi="Century Gothic"/>
              </w:rPr>
            </w:pPr>
          </w:p>
        </w:tc>
        <w:tc>
          <w:tcPr>
            <w:tcW w:w="124" w:type="pct"/>
            <w:shd w:val="clear" w:color="auto" w:fill="auto"/>
            <w:vAlign w:val="bottom"/>
          </w:tcPr>
          <w:p w14:paraId="6EAE0B87" w14:textId="77777777" w:rsidR="00512389" w:rsidRPr="0096125E" w:rsidRDefault="00512389">
            <w:pPr>
              <w:spacing w:line="0" w:lineRule="atLeast"/>
              <w:rPr>
                <w:rFonts w:ascii="Century Gothic" w:eastAsia="Times New Roman" w:hAnsi="Century Gothic"/>
              </w:rPr>
            </w:pPr>
          </w:p>
        </w:tc>
        <w:tc>
          <w:tcPr>
            <w:tcW w:w="726" w:type="pct"/>
            <w:shd w:val="clear" w:color="auto" w:fill="auto"/>
            <w:vAlign w:val="bottom"/>
          </w:tcPr>
          <w:p w14:paraId="25FD2737" w14:textId="77777777" w:rsidR="00512389" w:rsidRPr="0096125E" w:rsidRDefault="00512389">
            <w:pPr>
              <w:spacing w:line="0" w:lineRule="atLeast"/>
              <w:rPr>
                <w:rFonts w:ascii="Century Gothic" w:eastAsia="Times New Roman" w:hAnsi="Century Gothic"/>
              </w:rPr>
            </w:pPr>
          </w:p>
        </w:tc>
        <w:tc>
          <w:tcPr>
            <w:tcW w:w="830" w:type="pct"/>
            <w:shd w:val="clear" w:color="auto" w:fill="auto"/>
            <w:vAlign w:val="bottom"/>
          </w:tcPr>
          <w:p w14:paraId="7BD6357B" w14:textId="77777777" w:rsidR="00512389" w:rsidRPr="0096125E" w:rsidRDefault="00512389">
            <w:pPr>
              <w:spacing w:line="0" w:lineRule="atLeast"/>
              <w:rPr>
                <w:rFonts w:ascii="Century Gothic" w:eastAsia="Times New Roman" w:hAnsi="Century Gothic"/>
              </w:rPr>
            </w:pPr>
          </w:p>
        </w:tc>
      </w:tr>
      <w:tr w:rsidR="00512389" w:rsidRPr="0096125E" w14:paraId="5096327B" w14:textId="77777777" w:rsidTr="002F244F">
        <w:trPr>
          <w:trHeight w:val="20"/>
        </w:trPr>
        <w:tc>
          <w:tcPr>
            <w:tcW w:w="41" w:type="pct"/>
            <w:shd w:val="clear" w:color="auto" w:fill="auto"/>
            <w:vAlign w:val="bottom"/>
          </w:tcPr>
          <w:p w14:paraId="081C6D39" w14:textId="77777777" w:rsidR="00512389" w:rsidRPr="0096125E" w:rsidRDefault="00512389">
            <w:pPr>
              <w:spacing w:line="20" w:lineRule="exact"/>
              <w:rPr>
                <w:rFonts w:ascii="Century Gothic" w:eastAsia="Times New Roman" w:hAnsi="Century Gothic"/>
              </w:rPr>
            </w:pPr>
          </w:p>
        </w:tc>
        <w:tc>
          <w:tcPr>
            <w:tcW w:w="2459" w:type="pct"/>
            <w:gridSpan w:val="2"/>
            <w:tcBorders>
              <w:bottom w:val="single" w:sz="4" w:space="0" w:color="auto"/>
            </w:tcBorders>
            <w:shd w:val="clear" w:color="auto" w:fill="auto"/>
            <w:vAlign w:val="bottom"/>
          </w:tcPr>
          <w:p w14:paraId="4596D59C" w14:textId="77777777" w:rsidR="00512389" w:rsidRPr="0096125E" w:rsidRDefault="00512389">
            <w:pPr>
              <w:spacing w:line="20" w:lineRule="exact"/>
              <w:rPr>
                <w:rFonts w:ascii="Century Gothic" w:eastAsia="Times New Roman" w:hAnsi="Century Gothic"/>
              </w:rPr>
            </w:pPr>
          </w:p>
        </w:tc>
        <w:tc>
          <w:tcPr>
            <w:tcW w:w="820" w:type="pct"/>
            <w:tcBorders>
              <w:bottom w:val="single" w:sz="4" w:space="0" w:color="auto"/>
            </w:tcBorders>
            <w:shd w:val="clear" w:color="auto" w:fill="auto"/>
            <w:vAlign w:val="bottom"/>
          </w:tcPr>
          <w:p w14:paraId="468D9A76" w14:textId="77777777" w:rsidR="00512389" w:rsidRPr="0096125E" w:rsidRDefault="00512389">
            <w:pPr>
              <w:spacing w:line="20" w:lineRule="exact"/>
              <w:rPr>
                <w:rFonts w:ascii="Century Gothic" w:eastAsia="Times New Roman" w:hAnsi="Century Gothic"/>
              </w:rPr>
            </w:pPr>
          </w:p>
        </w:tc>
        <w:tc>
          <w:tcPr>
            <w:tcW w:w="124" w:type="pct"/>
            <w:tcBorders>
              <w:bottom w:val="single" w:sz="4" w:space="0" w:color="auto"/>
            </w:tcBorders>
            <w:shd w:val="clear" w:color="auto" w:fill="auto"/>
            <w:vAlign w:val="bottom"/>
          </w:tcPr>
          <w:p w14:paraId="416B8413" w14:textId="77777777" w:rsidR="00512389" w:rsidRPr="0096125E" w:rsidRDefault="00512389">
            <w:pPr>
              <w:spacing w:line="20" w:lineRule="exact"/>
              <w:rPr>
                <w:rFonts w:ascii="Century Gothic" w:eastAsia="Times New Roman" w:hAnsi="Century Gothic"/>
              </w:rPr>
            </w:pPr>
          </w:p>
        </w:tc>
        <w:tc>
          <w:tcPr>
            <w:tcW w:w="726" w:type="pct"/>
            <w:tcBorders>
              <w:bottom w:val="single" w:sz="4" w:space="0" w:color="auto"/>
            </w:tcBorders>
            <w:shd w:val="clear" w:color="auto" w:fill="auto"/>
            <w:vAlign w:val="bottom"/>
          </w:tcPr>
          <w:p w14:paraId="54B69342" w14:textId="77777777" w:rsidR="00512389" w:rsidRPr="0096125E" w:rsidRDefault="00512389">
            <w:pPr>
              <w:spacing w:line="20" w:lineRule="exact"/>
              <w:rPr>
                <w:rFonts w:ascii="Century Gothic" w:eastAsia="Times New Roman" w:hAnsi="Century Gothic"/>
              </w:rPr>
            </w:pPr>
          </w:p>
        </w:tc>
        <w:tc>
          <w:tcPr>
            <w:tcW w:w="830" w:type="pct"/>
            <w:tcBorders>
              <w:bottom w:val="single" w:sz="4" w:space="0" w:color="auto"/>
            </w:tcBorders>
            <w:shd w:val="clear" w:color="auto" w:fill="auto"/>
            <w:vAlign w:val="bottom"/>
          </w:tcPr>
          <w:p w14:paraId="7B3C3A51" w14:textId="77777777" w:rsidR="00512389" w:rsidRPr="0096125E" w:rsidRDefault="00512389">
            <w:pPr>
              <w:spacing w:line="20" w:lineRule="exact"/>
              <w:rPr>
                <w:rFonts w:ascii="Century Gothic" w:eastAsia="Times New Roman" w:hAnsi="Century Gothic"/>
              </w:rPr>
            </w:pPr>
          </w:p>
        </w:tc>
      </w:tr>
      <w:tr w:rsidR="00512389" w:rsidRPr="0096125E" w14:paraId="14D1A400" w14:textId="77777777" w:rsidTr="002F244F">
        <w:trPr>
          <w:trHeight w:val="291"/>
        </w:trPr>
        <w:tc>
          <w:tcPr>
            <w:tcW w:w="41" w:type="pct"/>
            <w:shd w:val="clear" w:color="auto" w:fill="auto"/>
            <w:vAlign w:val="bottom"/>
          </w:tcPr>
          <w:p w14:paraId="2D1B78AB" w14:textId="77777777" w:rsidR="00512389" w:rsidRPr="0096125E" w:rsidRDefault="00512389">
            <w:pPr>
              <w:spacing w:line="0" w:lineRule="atLeast"/>
              <w:rPr>
                <w:rFonts w:ascii="Century Gothic" w:eastAsia="Times New Roman" w:hAnsi="Century Gothic"/>
              </w:rPr>
            </w:pPr>
          </w:p>
        </w:tc>
        <w:tc>
          <w:tcPr>
            <w:tcW w:w="2459" w:type="pct"/>
            <w:gridSpan w:val="2"/>
            <w:tcBorders>
              <w:top w:val="single" w:sz="4" w:space="0" w:color="auto"/>
              <w:bottom w:val="single" w:sz="4" w:space="0" w:color="auto"/>
            </w:tcBorders>
            <w:shd w:val="clear" w:color="auto" w:fill="auto"/>
            <w:vAlign w:val="bottom"/>
          </w:tcPr>
          <w:p w14:paraId="11F105C0" w14:textId="77777777" w:rsidR="00512389" w:rsidRPr="0096125E" w:rsidRDefault="0096125E">
            <w:pPr>
              <w:spacing w:line="0" w:lineRule="atLeast"/>
              <w:rPr>
                <w:rFonts w:ascii="Century Gothic" w:eastAsia="Verdana" w:hAnsi="Century Gothic"/>
                <w:b/>
              </w:rPr>
            </w:pPr>
            <w:r w:rsidRPr="0096125E">
              <w:rPr>
                <w:rFonts w:ascii="Century Gothic" w:eastAsia="Verdana" w:hAnsi="Century Gothic"/>
                <w:b/>
              </w:rPr>
              <w:t>Total</w:t>
            </w:r>
          </w:p>
        </w:tc>
        <w:tc>
          <w:tcPr>
            <w:tcW w:w="820" w:type="pct"/>
            <w:tcBorders>
              <w:top w:val="single" w:sz="4" w:space="0" w:color="auto"/>
              <w:bottom w:val="single" w:sz="4" w:space="0" w:color="auto"/>
            </w:tcBorders>
            <w:shd w:val="clear" w:color="auto" w:fill="auto"/>
            <w:vAlign w:val="bottom"/>
          </w:tcPr>
          <w:p w14:paraId="6676511E"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94.18%</w:t>
            </w:r>
          </w:p>
        </w:tc>
        <w:tc>
          <w:tcPr>
            <w:tcW w:w="124" w:type="pct"/>
            <w:tcBorders>
              <w:top w:val="single" w:sz="4" w:space="0" w:color="auto"/>
              <w:bottom w:val="single" w:sz="4" w:space="0" w:color="auto"/>
            </w:tcBorders>
            <w:shd w:val="clear" w:color="auto" w:fill="auto"/>
            <w:vAlign w:val="bottom"/>
          </w:tcPr>
          <w:p w14:paraId="6412D8D8" w14:textId="77777777" w:rsidR="00512389" w:rsidRPr="0096125E" w:rsidRDefault="00512389">
            <w:pPr>
              <w:spacing w:line="0" w:lineRule="atLeast"/>
              <w:rPr>
                <w:rFonts w:ascii="Century Gothic" w:eastAsia="Times New Roman" w:hAnsi="Century Gothic"/>
              </w:rPr>
            </w:pPr>
          </w:p>
        </w:tc>
        <w:tc>
          <w:tcPr>
            <w:tcW w:w="726" w:type="pct"/>
            <w:tcBorders>
              <w:top w:val="single" w:sz="4" w:space="0" w:color="auto"/>
              <w:bottom w:val="single" w:sz="4" w:space="0" w:color="auto"/>
            </w:tcBorders>
            <w:shd w:val="clear" w:color="auto" w:fill="auto"/>
            <w:vAlign w:val="bottom"/>
          </w:tcPr>
          <w:p w14:paraId="4215B45B"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100.00%</w:t>
            </w:r>
          </w:p>
        </w:tc>
        <w:tc>
          <w:tcPr>
            <w:tcW w:w="830" w:type="pct"/>
            <w:tcBorders>
              <w:top w:val="single" w:sz="4" w:space="0" w:color="auto"/>
              <w:bottom w:val="single" w:sz="4" w:space="0" w:color="auto"/>
            </w:tcBorders>
            <w:shd w:val="clear" w:color="auto" w:fill="auto"/>
            <w:vAlign w:val="bottom"/>
          </w:tcPr>
          <w:p w14:paraId="55B4D163" w14:textId="77777777" w:rsidR="00512389" w:rsidRPr="0096125E" w:rsidRDefault="0096125E">
            <w:pPr>
              <w:spacing w:line="0" w:lineRule="atLeast"/>
              <w:jc w:val="right"/>
              <w:rPr>
                <w:rFonts w:ascii="Century Gothic" w:eastAsia="Verdana" w:hAnsi="Century Gothic"/>
              </w:rPr>
            </w:pPr>
            <w:r w:rsidRPr="0096125E">
              <w:rPr>
                <w:rFonts w:ascii="Century Gothic" w:eastAsia="Verdana" w:hAnsi="Century Gothic"/>
              </w:rPr>
              <w:t>$12,765,125</w:t>
            </w:r>
          </w:p>
        </w:tc>
      </w:tr>
    </w:tbl>
    <w:p w14:paraId="498D5018" w14:textId="77777777" w:rsidR="00512389" w:rsidRPr="00CD1729" w:rsidRDefault="00512389">
      <w:pPr>
        <w:spacing w:line="20" w:lineRule="exact"/>
        <w:rPr>
          <w:rFonts w:ascii="Century Gothic" w:eastAsia="Times New Roman" w:hAnsi="Century Gothic"/>
        </w:rPr>
      </w:pPr>
    </w:p>
    <w:p w14:paraId="4D46761F" w14:textId="77777777" w:rsidR="00512389" w:rsidRPr="00CD1729" w:rsidRDefault="00512389" w:rsidP="00CD1729">
      <w:pPr>
        <w:tabs>
          <w:tab w:val="left" w:pos="209"/>
        </w:tabs>
        <w:spacing w:line="405" w:lineRule="auto"/>
        <w:ind w:right="2620"/>
        <w:rPr>
          <w:rFonts w:ascii="Century Gothic" w:eastAsia="Verdana" w:hAnsi="Century Gothic"/>
          <w:i/>
          <w:sz w:val="15"/>
        </w:rPr>
      </w:pPr>
    </w:p>
    <w:sectPr w:rsidR="00512389" w:rsidRPr="00CD1729" w:rsidSect="00BE31A8">
      <w:footerReference w:type="default" r:id="rId8"/>
      <w:pgSz w:w="12240" w:h="15840"/>
      <w:pgMar w:top="1440" w:right="1080" w:bottom="1440" w:left="1080" w:header="720" w:footer="72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CE84" w14:textId="77777777" w:rsidR="00402EC1" w:rsidRDefault="00402EC1" w:rsidP="000F3642">
      <w:r>
        <w:separator/>
      </w:r>
    </w:p>
  </w:endnote>
  <w:endnote w:type="continuationSeparator" w:id="0">
    <w:p w14:paraId="1F493E6D" w14:textId="77777777" w:rsidR="00402EC1" w:rsidRDefault="00402EC1" w:rsidP="000F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33149709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4CFB63D" w14:textId="40E19E21" w:rsidR="000F3642" w:rsidRPr="000F3642" w:rsidRDefault="000F3642" w:rsidP="000F3642">
            <w:pPr>
              <w:pStyle w:val="Footer"/>
              <w:jc w:val="right"/>
              <w:rPr>
                <w:rFonts w:ascii="Century Gothic" w:hAnsi="Century Gothic"/>
                <w:sz w:val="16"/>
                <w:szCs w:val="16"/>
              </w:rPr>
            </w:pPr>
            <w:r w:rsidRPr="000F3642">
              <w:rPr>
                <w:rFonts w:ascii="Century Gothic" w:hAnsi="Century Gothic"/>
                <w:sz w:val="16"/>
                <w:szCs w:val="16"/>
              </w:rPr>
              <w:t xml:space="preserve">Page </w:t>
            </w:r>
            <w:r w:rsidRPr="000F3642">
              <w:rPr>
                <w:rFonts w:ascii="Century Gothic" w:hAnsi="Century Gothic"/>
                <w:b/>
                <w:bCs/>
                <w:sz w:val="16"/>
                <w:szCs w:val="16"/>
              </w:rPr>
              <w:fldChar w:fldCharType="begin"/>
            </w:r>
            <w:r w:rsidRPr="000F3642">
              <w:rPr>
                <w:rFonts w:ascii="Century Gothic" w:hAnsi="Century Gothic"/>
                <w:b/>
                <w:bCs/>
                <w:sz w:val="16"/>
                <w:szCs w:val="16"/>
              </w:rPr>
              <w:instrText xml:space="preserve"> PAGE </w:instrText>
            </w:r>
            <w:r w:rsidRPr="000F3642">
              <w:rPr>
                <w:rFonts w:ascii="Century Gothic" w:hAnsi="Century Gothic"/>
                <w:b/>
                <w:bCs/>
                <w:sz w:val="16"/>
                <w:szCs w:val="16"/>
              </w:rPr>
              <w:fldChar w:fldCharType="separate"/>
            </w:r>
            <w:r w:rsidRPr="000F3642">
              <w:rPr>
                <w:rFonts w:ascii="Century Gothic" w:hAnsi="Century Gothic"/>
                <w:b/>
                <w:bCs/>
                <w:noProof/>
                <w:sz w:val="16"/>
                <w:szCs w:val="16"/>
              </w:rPr>
              <w:t>2</w:t>
            </w:r>
            <w:r w:rsidRPr="000F3642">
              <w:rPr>
                <w:rFonts w:ascii="Century Gothic" w:hAnsi="Century Gothic"/>
                <w:b/>
                <w:bCs/>
                <w:sz w:val="16"/>
                <w:szCs w:val="16"/>
              </w:rPr>
              <w:fldChar w:fldCharType="end"/>
            </w:r>
            <w:r w:rsidRPr="000F3642">
              <w:rPr>
                <w:rFonts w:ascii="Century Gothic" w:hAnsi="Century Gothic"/>
                <w:sz w:val="16"/>
                <w:szCs w:val="16"/>
              </w:rPr>
              <w:t xml:space="preserve"> of </w:t>
            </w:r>
            <w:r w:rsidRPr="000F3642">
              <w:rPr>
                <w:rFonts w:ascii="Century Gothic" w:hAnsi="Century Gothic"/>
                <w:b/>
                <w:bCs/>
                <w:sz w:val="16"/>
                <w:szCs w:val="16"/>
              </w:rPr>
              <w:fldChar w:fldCharType="begin"/>
            </w:r>
            <w:r w:rsidRPr="000F3642">
              <w:rPr>
                <w:rFonts w:ascii="Century Gothic" w:hAnsi="Century Gothic"/>
                <w:b/>
                <w:bCs/>
                <w:sz w:val="16"/>
                <w:szCs w:val="16"/>
              </w:rPr>
              <w:instrText xml:space="preserve"> NUMPAGES  </w:instrText>
            </w:r>
            <w:r w:rsidRPr="000F3642">
              <w:rPr>
                <w:rFonts w:ascii="Century Gothic" w:hAnsi="Century Gothic"/>
                <w:b/>
                <w:bCs/>
                <w:sz w:val="16"/>
                <w:szCs w:val="16"/>
              </w:rPr>
              <w:fldChar w:fldCharType="separate"/>
            </w:r>
            <w:r w:rsidRPr="000F3642">
              <w:rPr>
                <w:rFonts w:ascii="Century Gothic" w:hAnsi="Century Gothic"/>
                <w:b/>
                <w:bCs/>
                <w:noProof/>
                <w:sz w:val="16"/>
                <w:szCs w:val="16"/>
              </w:rPr>
              <w:t>2</w:t>
            </w:r>
            <w:r w:rsidRPr="000F364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3658" w14:textId="77777777" w:rsidR="00402EC1" w:rsidRDefault="00402EC1" w:rsidP="000F3642">
      <w:r>
        <w:separator/>
      </w:r>
    </w:p>
  </w:footnote>
  <w:footnote w:type="continuationSeparator" w:id="0">
    <w:p w14:paraId="47AAEEF0" w14:textId="77777777" w:rsidR="00402EC1" w:rsidRDefault="00402EC1" w:rsidP="000F3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6C64BED0">
      <w:start w:val="1"/>
      <w:numFmt w:val="bullet"/>
      <w:lvlText w:val="*"/>
      <w:lvlJc w:val="left"/>
    </w:lvl>
    <w:lvl w:ilvl="1" w:tplc="B7A49510">
      <w:start w:val="1"/>
      <w:numFmt w:val="bullet"/>
      <w:lvlText w:val=""/>
      <w:lvlJc w:val="left"/>
    </w:lvl>
    <w:lvl w:ilvl="2" w:tplc="2980A226">
      <w:start w:val="1"/>
      <w:numFmt w:val="bullet"/>
      <w:lvlText w:val=""/>
      <w:lvlJc w:val="left"/>
    </w:lvl>
    <w:lvl w:ilvl="3" w:tplc="2C504546">
      <w:start w:val="1"/>
      <w:numFmt w:val="bullet"/>
      <w:lvlText w:val=""/>
      <w:lvlJc w:val="left"/>
    </w:lvl>
    <w:lvl w:ilvl="4" w:tplc="1F623C10">
      <w:start w:val="1"/>
      <w:numFmt w:val="bullet"/>
      <w:lvlText w:val=""/>
      <w:lvlJc w:val="left"/>
    </w:lvl>
    <w:lvl w:ilvl="5" w:tplc="8AA676EE">
      <w:start w:val="1"/>
      <w:numFmt w:val="bullet"/>
      <w:lvlText w:val=""/>
      <w:lvlJc w:val="left"/>
    </w:lvl>
    <w:lvl w:ilvl="6" w:tplc="0F964240">
      <w:start w:val="1"/>
      <w:numFmt w:val="bullet"/>
      <w:lvlText w:val=""/>
      <w:lvlJc w:val="left"/>
    </w:lvl>
    <w:lvl w:ilvl="7" w:tplc="1420723A">
      <w:start w:val="1"/>
      <w:numFmt w:val="bullet"/>
      <w:lvlText w:val=""/>
      <w:lvlJc w:val="left"/>
    </w:lvl>
    <w:lvl w:ilvl="8" w:tplc="BB181AB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29"/>
    <w:rsid w:val="000F3642"/>
    <w:rsid w:val="002F244F"/>
    <w:rsid w:val="00402EC1"/>
    <w:rsid w:val="00512389"/>
    <w:rsid w:val="00646E8A"/>
    <w:rsid w:val="006A6E6A"/>
    <w:rsid w:val="0096125E"/>
    <w:rsid w:val="00BE31A8"/>
    <w:rsid w:val="00CD1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B6415"/>
  <w15:chartTrackingRefBased/>
  <w15:docId w15:val="{01A79916-11E5-445C-9E2D-C0C6BE65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642"/>
    <w:pPr>
      <w:tabs>
        <w:tab w:val="center" w:pos="4680"/>
        <w:tab w:val="right" w:pos="9360"/>
      </w:tabs>
    </w:pPr>
  </w:style>
  <w:style w:type="character" w:customStyle="1" w:styleId="HeaderChar">
    <w:name w:val="Header Char"/>
    <w:basedOn w:val="DefaultParagraphFont"/>
    <w:link w:val="Header"/>
    <w:uiPriority w:val="99"/>
    <w:rsid w:val="000F3642"/>
  </w:style>
  <w:style w:type="paragraph" w:styleId="Footer">
    <w:name w:val="footer"/>
    <w:basedOn w:val="Normal"/>
    <w:link w:val="FooterChar"/>
    <w:uiPriority w:val="99"/>
    <w:unhideWhenUsed/>
    <w:rsid w:val="000F3642"/>
    <w:pPr>
      <w:tabs>
        <w:tab w:val="center" w:pos="4680"/>
        <w:tab w:val="right" w:pos="9360"/>
      </w:tabs>
    </w:pPr>
  </w:style>
  <w:style w:type="character" w:customStyle="1" w:styleId="FooterChar">
    <w:name w:val="Footer Char"/>
    <w:basedOn w:val="DefaultParagraphFont"/>
    <w:link w:val="Footer"/>
    <w:uiPriority w:val="99"/>
    <w:rsid w:val="000F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5</cp:revision>
  <dcterms:created xsi:type="dcterms:W3CDTF">2022-08-08T18:21:00Z</dcterms:created>
  <dcterms:modified xsi:type="dcterms:W3CDTF">2022-10-13T17:20:00Z</dcterms:modified>
</cp:coreProperties>
</file>