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3976" w14:textId="77777777" w:rsidR="00A60437" w:rsidRDefault="00A60437" w:rsidP="00A6043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Segoe UI"/>
          <w:b/>
          <w:bCs/>
          <w:color w:val="292929"/>
          <w:sz w:val="36"/>
          <w:szCs w:val="36"/>
          <w:u w:val="single"/>
        </w:rPr>
      </w:pPr>
      <w:r w:rsidRPr="00A60437">
        <w:rPr>
          <w:rFonts w:ascii="Century Gothic" w:eastAsia="Times New Roman" w:hAnsi="Century Gothic" w:cs="Segoe UI"/>
          <w:b/>
          <w:bCs/>
          <w:color w:val="292929"/>
          <w:sz w:val="36"/>
          <w:szCs w:val="36"/>
          <w:u w:val="single"/>
        </w:rPr>
        <w:t>FORCE MAJEURE CLAUSE</w:t>
      </w:r>
    </w:p>
    <w:p w14:paraId="06E226EF" w14:textId="77777777" w:rsidR="00A60437" w:rsidRPr="00A60437" w:rsidRDefault="00A60437" w:rsidP="00A6043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Segoe UI"/>
          <w:b/>
          <w:bCs/>
          <w:color w:val="292929"/>
          <w:sz w:val="36"/>
          <w:szCs w:val="36"/>
          <w:u w:val="single"/>
        </w:rPr>
      </w:pPr>
    </w:p>
    <w:p w14:paraId="2CFC41BE" w14:textId="77777777" w:rsidR="00A60437" w:rsidRDefault="00A60437" w:rsidP="00A6043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292929"/>
          <w:sz w:val="24"/>
          <w:szCs w:val="24"/>
        </w:rPr>
      </w:pPr>
      <w:r w:rsidRPr="00A60437">
        <w:rPr>
          <w:rFonts w:ascii="Century Gothic" w:eastAsia="Times New Roman" w:hAnsi="Century Gothic" w:cs="Segoe UI"/>
          <w:color w:val="292929"/>
          <w:sz w:val="24"/>
          <w:szCs w:val="24"/>
        </w:rPr>
        <w:t>According to general law, a </w:t>
      </w:r>
      <w:r w:rsidRPr="00A60437">
        <w:rPr>
          <w:rFonts w:ascii="Century Gothic" w:eastAsia="Times New Roman" w:hAnsi="Century Gothic" w:cs="Segoe UI"/>
          <w:b/>
          <w:bCs/>
          <w:color w:val="292929"/>
          <w:sz w:val="24"/>
          <w:szCs w:val="24"/>
        </w:rPr>
        <w:t>force majeure</w:t>
      </w:r>
      <w:r w:rsidRPr="00A60437">
        <w:rPr>
          <w:rFonts w:ascii="Century Gothic" w:eastAsia="Times New Roman" w:hAnsi="Century Gothic" w:cs="Segoe UI"/>
          <w:b/>
          <w:bCs/>
          <w:i/>
          <w:iCs/>
          <w:color w:val="292929"/>
          <w:sz w:val="24"/>
          <w:szCs w:val="24"/>
        </w:rPr>
        <w:t> </w:t>
      </w:r>
      <w:r w:rsidRPr="00A60437">
        <w:rPr>
          <w:rFonts w:ascii="Century Gothic" w:eastAsia="Times New Roman" w:hAnsi="Century Gothic" w:cs="Segoe UI"/>
          <w:color w:val="292929"/>
          <w:sz w:val="24"/>
          <w:szCs w:val="24"/>
        </w:rPr>
        <w:t>legal clause protects all the parties involved from natural disasters that may prevent the tenant from engaging in their contractual duties, such as paying a late fee on a particular day.</w:t>
      </w:r>
    </w:p>
    <w:p w14:paraId="6472E239" w14:textId="77777777" w:rsidR="00A60437" w:rsidRPr="00A60437" w:rsidRDefault="00A60437" w:rsidP="00A6043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292929"/>
          <w:sz w:val="24"/>
          <w:szCs w:val="24"/>
        </w:rPr>
      </w:pPr>
    </w:p>
    <w:p w14:paraId="265D9A7F" w14:textId="77777777" w:rsidR="00A60437" w:rsidRPr="00A60437" w:rsidRDefault="00A60437" w:rsidP="00A6043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292929"/>
          <w:sz w:val="24"/>
          <w:szCs w:val="24"/>
        </w:rPr>
      </w:pPr>
      <w:r w:rsidRPr="00A60437">
        <w:rPr>
          <w:rFonts w:ascii="Century Gothic" w:eastAsia="Times New Roman" w:hAnsi="Century Gothic" w:cs="Segoe UI"/>
          <w:color w:val="292929"/>
          <w:sz w:val="24"/>
          <w:szCs w:val="24"/>
        </w:rPr>
        <w:t>Keep in mind that these natural disasters are required to be specified in the lease term document. When this event is over, the involved parties can resume their responsibilities.</w:t>
      </w:r>
    </w:p>
    <w:p w14:paraId="6FFCC24A" w14:textId="77777777" w:rsidR="00A60437" w:rsidRPr="00A60437" w:rsidRDefault="00A60437" w:rsidP="00A60437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60437" w:rsidRPr="00A60437" w:rsidSect="00A604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37"/>
    <w:rsid w:val="00A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ACE7"/>
  <w15:chartTrackingRefBased/>
  <w15:docId w15:val="{266969FB-F89B-4579-9171-CC862D0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0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0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2022-10-17T16:54:00Z</dcterms:created>
  <dcterms:modified xsi:type="dcterms:W3CDTF">2022-10-17T16:56:00Z</dcterms:modified>
</cp:coreProperties>
</file>