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7EF3F" w14:textId="39B3CD41" w:rsidR="00636A36" w:rsidRDefault="00636A36" w:rsidP="00B64A24">
      <w:pPr>
        <w:spacing w:line="276" w:lineRule="auto"/>
        <w:jc w:val="center"/>
        <w:rPr>
          <w:rFonts w:ascii="Century Gothic" w:eastAsia="Arial Narrow" w:hAnsi="Century Gothic"/>
          <w:b/>
          <w:sz w:val="36"/>
          <w:szCs w:val="36"/>
          <w:u w:val="single"/>
        </w:rPr>
      </w:pPr>
      <w:r w:rsidRPr="00636A36">
        <w:rPr>
          <w:rFonts w:ascii="Century Gothic" w:eastAsia="Arial Narrow" w:hAnsi="Century Gothic"/>
          <w:b/>
          <w:sz w:val="36"/>
          <w:szCs w:val="36"/>
          <w:u w:val="single"/>
        </w:rPr>
        <w:t>TERM SHEET – LOAN FACILITY</w:t>
      </w:r>
      <w:bookmarkStart w:id="0" w:name="page2"/>
      <w:bookmarkEnd w:id="0"/>
    </w:p>
    <w:p w14:paraId="41D5FF72" w14:textId="77777777" w:rsidR="00B64A24" w:rsidRPr="00B64A24" w:rsidRDefault="00B64A24" w:rsidP="00B64A24">
      <w:pPr>
        <w:spacing w:line="276" w:lineRule="auto"/>
        <w:jc w:val="center"/>
        <w:rPr>
          <w:rFonts w:ascii="Century Gothic" w:eastAsia="Arial Narrow" w:hAnsi="Century Gothic"/>
          <w:b/>
          <w:sz w:val="36"/>
          <w:szCs w:val="36"/>
          <w:u w:val="single"/>
        </w:rPr>
      </w:pPr>
    </w:p>
    <w:p w14:paraId="7D2DFF27" w14:textId="4EE6E185" w:rsidR="00595B72" w:rsidRPr="00636A36" w:rsidRDefault="00595B72" w:rsidP="00B64A24">
      <w:pPr>
        <w:spacing w:line="276" w:lineRule="auto"/>
        <w:rPr>
          <w:rFonts w:ascii="Century Gothic" w:eastAsia="Arial Narrow" w:hAnsi="Century Gothic"/>
          <w:b/>
          <w:sz w:val="24"/>
          <w:szCs w:val="24"/>
        </w:rPr>
      </w:pPr>
      <w:r w:rsidRPr="00636A36">
        <w:rPr>
          <w:rFonts w:ascii="Century Gothic" w:eastAsia="Arial Narrow" w:hAnsi="Century Gothic"/>
          <w:b/>
          <w:sz w:val="24"/>
          <w:szCs w:val="24"/>
        </w:rPr>
        <w:t>Agreed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885"/>
        <w:gridCol w:w="7625"/>
      </w:tblGrid>
      <w:tr w:rsidR="009C3BE3" w:rsidRPr="00B11368" w14:paraId="39B7BEC8" w14:textId="77777777" w:rsidTr="00B64A24">
        <w:trPr>
          <w:trHeight w:val="1330"/>
        </w:trPr>
        <w:tc>
          <w:tcPr>
            <w:tcW w:w="991" w:type="pct"/>
            <w:shd w:val="clear" w:color="auto" w:fill="auto"/>
            <w:vAlign w:val="center"/>
          </w:tcPr>
          <w:p w14:paraId="68A27E11"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Nature and</w:t>
            </w:r>
          </w:p>
          <w:p w14:paraId="3CCB4424"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purpose of the</w:t>
            </w:r>
          </w:p>
          <w:p w14:paraId="5D01FD7B"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facility</w:t>
            </w:r>
          </w:p>
        </w:tc>
        <w:tc>
          <w:tcPr>
            <w:tcW w:w="4009" w:type="pct"/>
            <w:shd w:val="clear" w:color="auto" w:fill="auto"/>
            <w:vAlign w:val="center"/>
          </w:tcPr>
          <w:p w14:paraId="306640CF"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 xml:space="preserve">The Lender has agreed to provide the Borrower with an </w:t>
            </w:r>
            <w:proofErr w:type="gramStart"/>
            <w:r w:rsidRPr="00B11368">
              <w:rPr>
                <w:rFonts w:ascii="Century Gothic" w:eastAsia="Arial Narrow" w:hAnsi="Century Gothic"/>
              </w:rPr>
              <w:t>interest bearing</w:t>
            </w:r>
            <w:proofErr w:type="gramEnd"/>
            <w:r w:rsidRPr="00B11368">
              <w:rPr>
                <w:rFonts w:ascii="Century Gothic" w:eastAsia="Arial Narrow" w:hAnsi="Century Gothic"/>
              </w:rPr>
              <w:t xml:space="preserve"> loan facility</w:t>
            </w:r>
          </w:p>
          <w:p w14:paraId="5DD118F8"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w:t>
            </w:r>
            <w:r w:rsidRPr="00B11368">
              <w:rPr>
                <w:rFonts w:ascii="Century Gothic" w:eastAsia="Arial Narrow" w:hAnsi="Century Gothic"/>
                <w:b/>
              </w:rPr>
              <w:t>Facility</w:t>
            </w:r>
            <w:r w:rsidRPr="00B11368">
              <w:rPr>
                <w:rFonts w:ascii="Century Gothic" w:eastAsia="Arial Narrow" w:hAnsi="Century Gothic"/>
              </w:rPr>
              <w:t>) for the purpose of providing the Borrower with short term funding.</w:t>
            </w:r>
          </w:p>
        </w:tc>
      </w:tr>
      <w:tr w:rsidR="009C3BE3" w:rsidRPr="00B11368" w14:paraId="651863B6" w14:textId="77777777" w:rsidTr="00B64A24">
        <w:trPr>
          <w:trHeight w:val="3994"/>
        </w:trPr>
        <w:tc>
          <w:tcPr>
            <w:tcW w:w="991" w:type="pct"/>
            <w:shd w:val="clear" w:color="auto" w:fill="auto"/>
            <w:vAlign w:val="center"/>
          </w:tcPr>
          <w:p w14:paraId="591ECC95"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Use of funds</w:t>
            </w:r>
          </w:p>
        </w:tc>
        <w:tc>
          <w:tcPr>
            <w:tcW w:w="4009" w:type="pct"/>
            <w:shd w:val="clear" w:color="auto" w:fill="auto"/>
            <w:vAlign w:val="center"/>
          </w:tcPr>
          <w:p w14:paraId="0D9B4660" w14:textId="77777777" w:rsidR="009C3BE3" w:rsidRPr="00B11368" w:rsidRDefault="009C3BE3" w:rsidP="00B64A24">
            <w:pPr>
              <w:spacing w:line="276" w:lineRule="auto"/>
              <w:rPr>
                <w:rFonts w:ascii="Century Gothic" w:eastAsia="Arial Narrow" w:hAnsi="Century Gothic"/>
              </w:rPr>
            </w:pPr>
            <w:r w:rsidRPr="00B11368">
              <w:rPr>
                <w:rFonts w:ascii="Century Gothic" w:eastAsia="Arial Narrow" w:hAnsi="Century Gothic"/>
              </w:rPr>
              <w:t>The use of funds will be limited to:</w:t>
            </w:r>
          </w:p>
          <w:p w14:paraId="18E786FA" w14:textId="77777777" w:rsidR="009C3BE3" w:rsidRPr="00B11368" w:rsidRDefault="009C3BE3" w:rsidP="00B64A24">
            <w:pPr>
              <w:spacing w:line="276" w:lineRule="auto"/>
              <w:rPr>
                <w:rFonts w:ascii="Century Gothic" w:eastAsia="Arial Narrow" w:hAnsi="Century Gothic"/>
              </w:rPr>
            </w:pPr>
            <w:r w:rsidRPr="00B11368">
              <w:rPr>
                <w:rFonts w:ascii="Century Gothic" w:eastAsia="Arial Narrow" w:hAnsi="Century Gothic"/>
              </w:rPr>
              <w:t>the Borrower’s ordinary course of business expenditures (which for the avoidance of</w:t>
            </w:r>
          </w:p>
          <w:p w14:paraId="0531DDD8" w14:textId="77777777" w:rsidR="009C3BE3" w:rsidRPr="00B11368" w:rsidRDefault="009C3BE3" w:rsidP="00B64A24">
            <w:pPr>
              <w:spacing w:line="276" w:lineRule="auto"/>
              <w:rPr>
                <w:rFonts w:ascii="Century Gothic" w:eastAsia="Arial Narrow" w:hAnsi="Century Gothic"/>
              </w:rPr>
            </w:pPr>
            <w:r w:rsidRPr="00B11368">
              <w:rPr>
                <w:rFonts w:ascii="Century Gothic" w:eastAsia="Arial Narrow" w:hAnsi="Century Gothic"/>
              </w:rPr>
              <w:t>doubt must be arms-length expenditures owing to unrelated third parties, and</w:t>
            </w:r>
            <w:r w:rsidR="00B11368">
              <w:rPr>
                <w:rFonts w:ascii="Century Gothic" w:eastAsia="Arial Narrow" w:hAnsi="Century Gothic"/>
              </w:rPr>
              <w:t xml:space="preserve"> </w:t>
            </w:r>
            <w:r w:rsidRPr="00B11368">
              <w:rPr>
                <w:rFonts w:ascii="Century Gothic" w:eastAsia="Arial Narrow" w:hAnsi="Century Gothic"/>
              </w:rPr>
              <w:t>expressly excludes any related party transactions, distributions to shareholders,</w:t>
            </w:r>
            <w:r w:rsidR="00B11368">
              <w:rPr>
                <w:rFonts w:ascii="Century Gothic" w:eastAsia="Arial Narrow" w:hAnsi="Century Gothic"/>
              </w:rPr>
              <w:t xml:space="preserve"> </w:t>
            </w:r>
            <w:r w:rsidRPr="00B11368">
              <w:rPr>
                <w:rFonts w:ascii="Century Gothic" w:eastAsia="Arial Narrow" w:hAnsi="Century Gothic"/>
              </w:rPr>
              <w:t>payments of the Borrower’s Board and senior management salaries and/or bonuses</w:t>
            </w:r>
            <w:r w:rsidR="00B11368">
              <w:rPr>
                <w:rFonts w:ascii="Century Gothic" w:eastAsia="Arial Narrow" w:hAnsi="Century Gothic"/>
              </w:rPr>
              <w:t xml:space="preserve"> </w:t>
            </w:r>
            <w:r w:rsidRPr="00B11368">
              <w:rPr>
                <w:rFonts w:ascii="Century Gothic" w:eastAsia="Arial Narrow" w:hAnsi="Century Gothic"/>
              </w:rPr>
              <w:t>and the like) approved in writing by the Lender (acting reasonably and in good faith);</w:t>
            </w:r>
            <w:r w:rsidR="00B11368">
              <w:rPr>
                <w:rFonts w:ascii="Century Gothic" w:eastAsia="Arial Narrow" w:hAnsi="Century Gothic"/>
              </w:rPr>
              <w:t xml:space="preserve"> </w:t>
            </w:r>
            <w:r w:rsidRPr="00B11368">
              <w:rPr>
                <w:rFonts w:ascii="Century Gothic" w:eastAsia="Arial Narrow" w:hAnsi="Century Gothic"/>
              </w:rPr>
              <w:t>and</w:t>
            </w:r>
            <w:r w:rsidR="00B11368">
              <w:rPr>
                <w:rFonts w:ascii="Century Gothic" w:eastAsia="Arial Narrow" w:hAnsi="Century Gothic"/>
              </w:rPr>
              <w:t xml:space="preserve"> </w:t>
            </w:r>
            <w:r w:rsidRPr="00B11368">
              <w:rPr>
                <w:rFonts w:ascii="Century Gothic" w:eastAsia="Arial Narrow" w:hAnsi="Century Gothic"/>
              </w:rPr>
              <w:t>the Lender’s costs associated with the preparation of this Facility and associated</w:t>
            </w:r>
            <w:r w:rsidR="00B11368">
              <w:rPr>
                <w:rFonts w:ascii="Century Gothic" w:eastAsia="Arial Narrow" w:hAnsi="Century Gothic"/>
              </w:rPr>
              <w:t xml:space="preserve"> </w:t>
            </w:r>
            <w:r w:rsidRPr="00B11368">
              <w:rPr>
                <w:rFonts w:ascii="Century Gothic" w:eastAsia="Arial Narrow" w:hAnsi="Century Gothic"/>
              </w:rPr>
              <w:t>securities.</w:t>
            </w:r>
          </w:p>
        </w:tc>
      </w:tr>
      <w:tr w:rsidR="00335451" w:rsidRPr="00B11368" w14:paraId="260ABA34" w14:textId="77777777" w:rsidTr="00B64A24">
        <w:trPr>
          <w:trHeight w:val="310"/>
        </w:trPr>
        <w:tc>
          <w:tcPr>
            <w:tcW w:w="991" w:type="pct"/>
            <w:shd w:val="clear" w:color="auto" w:fill="auto"/>
            <w:vAlign w:val="center"/>
          </w:tcPr>
          <w:p w14:paraId="73B61874" w14:textId="77777777" w:rsidR="00335451" w:rsidRPr="00B11368" w:rsidRDefault="00595B72" w:rsidP="00B64A24">
            <w:pPr>
              <w:spacing w:line="276" w:lineRule="auto"/>
              <w:ind w:left="100"/>
              <w:rPr>
                <w:rFonts w:ascii="Century Gothic" w:eastAsia="Arial Narrow" w:hAnsi="Century Gothic"/>
                <w:b/>
              </w:rPr>
            </w:pPr>
            <w:r w:rsidRPr="00B11368">
              <w:rPr>
                <w:rFonts w:ascii="Century Gothic" w:eastAsia="Arial Narrow" w:hAnsi="Century Gothic"/>
                <w:b/>
              </w:rPr>
              <w:t>Amount of facility</w:t>
            </w:r>
          </w:p>
        </w:tc>
        <w:tc>
          <w:tcPr>
            <w:tcW w:w="4009" w:type="pct"/>
            <w:shd w:val="clear" w:color="auto" w:fill="auto"/>
            <w:vAlign w:val="center"/>
          </w:tcPr>
          <w:p w14:paraId="2BD50417" w14:textId="77777777" w:rsidR="00335451" w:rsidRPr="00B11368" w:rsidRDefault="00595B72" w:rsidP="00B64A24">
            <w:pPr>
              <w:spacing w:line="276" w:lineRule="auto"/>
              <w:ind w:left="120"/>
              <w:rPr>
                <w:rFonts w:ascii="Century Gothic" w:eastAsia="Arial Narrow" w:hAnsi="Century Gothic"/>
              </w:rPr>
            </w:pPr>
            <w:r w:rsidRPr="00B11368">
              <w:rPr>
                <w:rFonts w:ascii="Century Gothic" w:eastAsia="Arial Narrow" w:hAnsi="Century Gothic"/>
              </w:rPr>
              <w:t>ZAR 65 million.</w:t>
            </w:r>
          </w:p>
        </w:tc>
      </w:tr>
      <w:tr w:rsidR="009C3BE3" w:rsidRPr="00B11368" w14:paraId="5A8660C5" w14:textId="77777777" w:rsidTr="00B64A24">
        <w:trPr>
          <w:trHeight w:val="1841"/>
        </w:trPr>
        <w:tc>
          <w:tcPr>
            <w:tcW w:w="991" w:type="pct"/>
            <w:shd w:val="clear" w:color="auto" w:fill="auto"/>
            <w:vAlign w:val="center"/>
          </w:tcPr>
          <w:p w14:paraId="04961A30"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Interest Rate</w:t>
            </w:r>
          </w:p>
        </w:tc>
        <w:tc>
          <w:tcPr>
            <w:tcW w:w="4009" w:type="pct"/>
            <w:shd w:val="clear" w:color="auto" w:fill="auto"/>
            <w:vAlign w:val="center"/>
          </w:tcPr>
          <w:p w14:paraId="0D7746E2"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 xml:space="preserve">Interest will accrue and be paid or </w:t>
            </w:r>
            <w:proofErr w:type="spellStart"/>
            <w:r w:rsidRPr="00B11368">
              <w:rPr>
                <w:rFonts w:ascii="Century Gothic" w:eastAsia="Arial Narrow" w:hAnsi="Century Gothic"/>
              </w:rPr>
              <w:t>capitalised</w:t>
            </w:r>
            <w:proofErr w:type="spellEnd"/>
            <w:r w:rsidRPr="00B11368">
              <w:rPr>
                <w:rFonts w:ascii="Century Gothic" w:eastAsia="Arial Narrow" w:hAnsi="Century Gothic"/>
              </w:rPr>
              <w:t xml:space="preserve"> monthly on the outstanding principal from the</w:t>
            </w:r>
          </w:p>
          <w:p w14:paraId="33E6FC5B"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date of the relevant advance or advances until the date of repayment at the prime rate</w:t>
            </w:r>
          </w:p>
          <w:p w14:paraId="3F6C0800"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published by the Standard Bank of South Africa at the start of the relevant monthly interest</w:t>
            </w:r>
          </w:p>
          <w:p w14:paraId="2E7BB2C8" w14:textId="77777777" w:rsidR="009C3BE3" w:rsidRPr="00B11368" w:rsidRDefault="009C3BE3" w:rsidP="00B64A24">
            <w:pPr>
              <w:spacing w:line="276" w:lineRule="auto"/>
              <w:ind w:left="120"/>
              <w:rPr>
                <w:rFonts w:ascii="Century Gothic" w:eastAsia="Arial Narrow" w:hAnsi="Century Gothic"/>
              </w:rPr>
            </w:pPr>
            <w:r w:rsidRPr="00B11368">
              <w:rPr>
                <w:rFonts w:ascii="Century Gothic" w:eastAsia="Arial Narrow" w:hAnsi="Century Gothic"/>
              </w:rPr>
              <w:t>period plus 200 basis points.</w:t>
            </w:r>
          </w:p>
        </w:tc>
      </w:tr>
      <w:tr w:rsidR="009C3BE3" w:rsidRPr="00B11368" w14:paraId="50FFC699" w14:textId="77777777" w:rsidTr="00B64A24">
        <w:trPr>
          <w:trHeight w:val="1841"/>
        </w:trPr>
        <w:tc>
          <w:tcPr>
            <w:tcW w:w="991" w:type="pct"/>
            <w:shd w:val="clear" w:color="auto" w:fill="auto"/>
            <w:vAlign w:val="center"/>
          </w:tcPr>
          <w:p w14:paraId="703B55A8"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t>Pre-conditions to availability of Facility</w:t>
            </w:r>
          </w:p>
          <w:p w14:paraId="2F52040B" w14:textId="77777777" w:rsidR="009C3BE3" w:rsidRPr="00B11368" w:rsidRDefault="009C3BE3" w:rsidP="00B64A24">
            <w:pPr>
              <w:spacing w:line="276" w:lineRule="auto"/>
              <w:ind w:left="100"/>
              <w:rPr>
                <w:rFonts w:ascii="Century Gothic" w:eastAsia="Arial Narrow" w:hAnsi="Century Gothic"/>
                <w:b/>
              </w:rPr>
            </w:pPr>
          </w:p>
        </w:tc>
        <w:tc>
          <w:tcPr>
            <w:tcW w:w="4009" w:type="pct"/>
            <w:shd w:val="clear" w:color="auto" w:fill="auto"/>
            <w:vAlign w:val="center"/>
          </w:tcPr>
          <w:p w14:paraId="7871F721" w14:textId="77777777" w:rsidR="009C3BE3" w:rsidRPr="00B11368" w:rsidRDefault="009C3BE3" w:rsidP="00B64A24">
            <w:pPr>
              <w:spacing w:line="276" w:lineRule="auto"/>
              <w:ind w:left="4"/>
              <w:rPr>
                <w:rFonts w:ascii="Century Gothic" w:eastAsia="Arial Narrow" w:hAnsi="Century Gothic"/>
              </w:rPr>
            </w:pPr>
            <w:r w:rsidRPr="00B11368">
              <w:rPr>
                <w:rFonts w:ascii="Century Gothic" w:eastAsia="Arial Narrow" w:hAnsi="Century Gothic"/>
              </w:rPr>
              <w:t>The Lender is not obliged to provide the Facility to the Borrower until:</w:t>
            </w:r>
          </w:p>
          <w:p w14:paraId="4722A4B9" w14:textId="77777777" w:rsidR="009C3BE3" w:rsidRPr="00B11368" w:rsidRDefault="009C3BE3" w:rsidP="00B64A24">
            <w:pPr>
              <w:spacing w:line="276" w:lineRule="auto"/>
              <w:rPr>
                <w:rFonts w:ascii="Century Gothic" w:eastAsia="Times New Roman" w:hAnsi="Century Gothic"/>
              </w:rPr>
            </w:pPr>
          </w:p>
          <w:p w14:paraId="1716313D" w14:textId="77777777" w:rsidR="009C3BE3" w:rsidRPr="00B11368" w:rsidRDefault="009C3BE3" w:rsidP="00B64A24">
            <w:pPr>
              <w:tabs>
                <w:tab w:val="left" w:pos="344"/>
              </w:tabs>
              <w:spacing w:line="276" w:lineRule="auto"/>
              <w:ind w:right="380"/>
              <w:rPr>
                <w:rFonts w:ascii="Century Gothic" w:eastAsia="Arial" w:hAnsi="Century Gothic"/>
              </w:rPr>
            </w:pPr>
            <w:r w:rsidRPr="00B11368">
              <w:rPr>
                <w:rFonts w:ascii="Century Gothic" w:eastAsia="Arial Narrow" w:hAnsi="Century Gothic"/>
              </w:rPr>
              <w:t>to the extent required to permit the Facility to be made available in South Africa, the Lender receives the approval of the South African Reserve Bank on terms satisfactory to the Lender;</w:t>
            </w:r>
          </w:p>
          <w:p w14:paraId="496BB771" w14:textId="77777777" w:rsidR="009C3BE3" w:rsidRPr="00B11368" w:rsidRDefault="009C3BE3" w:rsidP="00B64A24">
            <w:pPr>
              <w:tabs>
                <w:tab w:val="left" w:pos="344"/>
              </w:tabs>
              <w:spacing w:line="276" w:lineRule="auto"/>
              <w:ind w:right="460"/>
              <w:rPr>
                <w:rFonts w:ascii="Century Gothic" w:eastAsia="Arial" w:hAnsi="Century Gothic"/>
              </w:rPr>
            </w:pPr>
            <w:r w:rsidRPr="00B11368">
              <w:rPr>
                <w:rFonts w:ascii="Century Gothic" w:eastAsia="Arial Narrow" w:hAnsi="Century Gothic"/>
              </w:rPr>
              <w:t>on or before 12 December 2008 (or such later date as the parties may agree in writing), the Lender is satisfied, in its sole discretion, with its due diligence investigations in respect of the assets and liabilities, financial position, profit and loss, operational performance and prospects of the Borrower and each of the Borrower’s subsidiaries (</w:t>
            </w:r>
            <w:r w:rsidRPr="00B11368">
              <w:rPr>
                <w:rFonts w:ascii="Century Gothic" w:eastAsia="Arial Narrow" w:hAnsi="Century Gothic"/>
                <w:b/>
              </w:rPr>
              <w:t>Borrower’s Group</w:t>
            </w:r>
            <w:r w:rsidRPr="00B11368">
              <w:rPr>
                <w:rFonts w:ascii="Century Gothic" w:eastAsia="Arial Narrow" w:hAnsi="Century Gothic"/>
              </w:rPr>
              <w:t>) and the security which the Borrower is able to provide in respect of any moneys advanced under the Facility;</w:t>
            </w:r>
          </w:p>
          <w:p w14:paraId="4469526D" w14:textId="77777777" w:rsidR="009C3BE3" w:rsidRPr="00B11368" w:rsidRDefault="009C3BE3" w:rsidP="00B64A24">
            <w:pPr>
              <w:spacing w:line="276" w:lineRule="auto"/>
              <w:rPr>
                <w:rFonts w:ascii="Century Gothic" w:eastAsia="Arial" w:hAnsi="Century Gothic"/>
              </w:rPr>
            </w:pPr>
          </w:p>
          <w:p w14:paraId="178BFA6A" w14:textId="77777777" w:rsidR="009C3BE3" w:rsidRPr="00B11368" w:rsidRDefault="009C3BE3" w:rsidP="00B64A24">
            <w:pPr>
              <w:tabs>
                <w:tab w:val="left" w:pos="344"/>
              </w:tabs>
              <w:spacing w:line="276" w:lineRule="auto"/>
              <w:ind w:right="380"/>
              <w:rPr>
                <w:rFonts w:ascii="Century Gothic" w:eastAsia="Arial" w:hAnsi="Century Gothic"/>
              </w:rPr>
            </w:pPr>
            <w:r w:rsidRPr="00B11368">
              <w:rPr>
                <w:rFonts w:ascii="Century Gothic" w:eastAsia="Arial Narrow" w:hAnsi="Century Gothic"/>
              </w:rPr>
              <w:lastRenderedPageBreak/>
              <w:t xml:space="preserve">the Borrower has granted in fav </w:t>
            </w:r>
            <w:proofErr w:type="spellStart"/>
            <w:r w:rsidRPr="00B11368">
              <w:rPr>
                <w:rFonts w:ascii="Century Gothic" w:eastAsia="Arial Narrow" w:hAnsi="Century Gothic"/>
              </w:rPr>
              <w:t>our</w:t>
            </w:r>
            <w:proofErr w:type="spellEnd"/>
            <w:r w:rsidRPr="00B11368">
              <w:rPr>
                <w:rFonts w:ascii="Century Gothic" w:eastAsia="Arial Narrow" w:hAnsi="Century Gothic"/>
              </w:rPr>
              <w:t xml:space="preserve"> of the Lender first ranking security in a form acceptable to the Lender (in its absolute discretion) over the interest that the Borrower and any members of the Borrower’s Group holds in the </w:t>
            </w:r>
            <w:proofErr w:type="spellStart"/>
            <w:r w:rsidRPr="00B11368">
              <w:rPr>
                <w:rFonts w:ascii="Century Gothic" w:eastAsia="Arial Narrow" w:hAnsi="Century Gothic"/>
              </w:rPr>
              <w:t>Elsburg</w:t>
            </w:r>
            <w:proofErr w:type="spellEnd"/>
            <w:r w:rsidRPr="00B11368">
              <w:rPr>
                <w:rFonts w:ascii="Century Gothic" w:eastAsia="Arial Narrow" w:hAnsi="Century Gothic"/>
              </w:rPr>
              <w:t xml:space="preserve"> Gold Mining Joint </w:t>
            </w:r>
            <w:proofErr w:type="gramStart"/>
            <w:r w:rsidRPr="00B11368">
              <w:rPr>
                <w:rFonts w:ascii="Century Gothic" w:eastAsia="Arial Narrow" w:hAnsi="Century Gothic"/>
              </w:rPr>
              <w:t>Venture(</w:t>
            </w:r>
            <w:proofErr w:type="spellStart"/>
            <w:proofErr w:type="gramEnd"/>
            <w:r w:rsidRPr="00B11368">
              <w:rPr>
                <w:rFonts w:ascii="Century Gothic" w:eastAsia="Arial Narrow" w:hAnsi="Century Gothic"/>
                <w:b/>
              </w:rPr>
              <w:t>Elsburg</w:t>
            </w:r>
            <w:proofErr w:type="spellEnd"/>
            <w:r w:rsidRPr="00B11368">
              <w:rPr>
                <w:rFonts w:ascii="Century Gothic" w:eastAsia="Arial Narrow" w:hAnsi="Century Gothic"/>
                <w:b/>
              </w:rPr>
              <w:t xml:space="preserve"> JV</w:t>
            </w:r>
            <w:r w:rsidRPr="00B11368">
              <w:rPr>
                <w:rFonts w:ascii="Century Gothic" w:eastAsia="Arial Narrow" w:hAnsi="Century Gothic"/>
              </w:rPr>
              <w:t>) between East Rand Proprietary Mines Limited (</w:t>
            </w:r>
            <w:r w:rsidRPr="00B11368">
              <w:rPr>
                <w:rFonts w:ascii="Century Gothic" w:eastAsia="Arial Narrow" w:hAnsi="Century Gothic"/>
                <w:b/>
              </w:rPr>
              <w:t>ERPM</w:t>
            </w:r>
            <w:r w:rsidRPr="00B11368">
              <w:rPr>
                <w:rFonts w:ascii="Century Gothic" w:eastAsia="Arial Narrow" w:hAnsi="Century Gothic"/>
              </w:rPr>
              <w:t>) and Mogale Gold (Pty) Limited (</w:t>
            </w:r>
            <w:r w:rsidRPr="00B11368">
              <w:rPr>
                <w:rFonts w:ascii="Century Gothic" w:eastAsia="Arial Narrow" w:hAnsi="Century Gothic"/>
                <w:b/>
              </w:rPr>
              <w:t>Mogale Gold</w:t>
            </w:r>
            <w:r w:rsidRPr="00B11368">
              <w:rPr>
                <w:rFonts w:ascii="Century Gothic" w:eastAsia="Arial Narrow" w:hAnsi="Century Gothic"/>
              </w:rPr>
              <w:t>) and Ergo Mining (Pty) Limited (Company No 2007/004886/07) (</w:t>
            </w:r>
            <w:r w:rsidRPr="00B11368">
              <w:rPr>
                <w:rFonts w:ascii="Century Gothic" w:eastAsia="Arial Narrow" w:hAnsi="Century Gothic"/>
                <w:b/>
              </w:rPr>
              <w:t>Ergo Mining</w:t>
            </w:r>
            <w:r w:rsidRPr="00B11368">
              <w:rPr>
                <w:rFonts w:ascii="Century Gothic" w:eastAsia="Arial Narrow" w:hAnsi="Century Gothic"/>
              </w:rPr>
              <w:t>); and</w:t>
            </w:r>
          </w:p>
          <w:p w14:paraId="70126DAD" w14:textId="77777777" w:rsidR="009C3BE3" w:rsidRPr="00B11368" w:rsidRDefault="009C3BE3" w:rsidP="00B64A24">
            <w:pPr>
              <w:spacing w:line="276" w:lineRule="auto"/>
              <w:rPr>
                <w:rFonts w:ascii="Century Gothic" w:eastAsia="Arial" w:hAnsi="Century Gothic"/>
              </w:rPr>
            </w:pPr>
          </w:p>
          <w:p w14:paraId="0E067665" w14:textId="77777777" w:rsidR="009C3BE3" w:rsidRPr="00B11368" w:rsidRDefault="009C3BE3" w:rsidP="00B64A24">
            <w:pPr>
              <w:spacing w:line="276" w:lineRule="auto"/>
              <w:rPr>
                <w:rFonts w:ascii="Century Gothic" w:eastAsia="Times New Roman" w:hAnsi="Century Gothic"/>
              </w:rPr>
            </w:pPr>
            <w:r w:rsidRPr="00B11368">
              <w:rPr>
                <w:rFonts w:ascii="Century Gothic" w:eastAsia="Arial Narrow" w:hAnsi="Century Gothic"/>
              </w:rPr>
              <w:t>the Lender has received a certified copy of a resolution of the directors of the Borrower:</w:t>
            </w:r>
            <w:r w:rsidRPr="00B11368">
              <w:rPr>
                <w:rFonts w:ascii="Century Gothic" w:eastAsia="Arial" w:hAnsi="Century Gothic"/>
              </w:rPr>
              <w:t xml:space="preserve"> </w:t>
            </w:r>
            <w:r w:rsidRPr="00B11368">
              <w:rPr>
                <w:rFonts w:ascii="Century Gothic" w:eastAsia="Arial Narrow" w:hAnsi="Century Gothic"/>
              </w:rPr>
              <w:t>confirming the solvency of the Borrower and each member of the Borrower’s</w:t>
            </w:r>
            <w:r w:rsidRPr="00B11368">
              <w:rPr>
                <w:rFonts w:ascii="Century Gothic" w:eastAsia="Courier New" w:hAnsi="Century Gothic"/>
              </w:rPr>
              <w:t xml:space="preserve"> </w:t>
            </w:r>
            <w:r w:rsidRPr="00B11368">
              <w:rPr>
                <w:rFonts w:ascii="Century Gothic" w:eastAsia="Arial Narrow" w:hAnsi="Century Gothic"/>
              </w:rPr>
              <w:t>Group,</w:t>
            </w:r>
            <w:r w:rsidRPr="00B11368">
              <w:rPr>
                <w:rFonts w:ascii="Century Gothic" w:eastAsia="Arial" w:hAnsi="Century Gothic"/>
              </w:rPr>
              <w:t xml:space="preserve"> </w:t>
            </w:r>
            <w:r w:rsidRPr="00B11368">
              <w:rPr>
                <w:rFonts w:ascii="Century Gothic" w:eastAsia="Arial Narrow" w:hAnsi="Century Gothic"/>
              </w:rPr>
              <w:t>certifying that as at the date of that resolution, no fact or circumstance has</w:t>
            </w:r>
            <w:r w:rsidRPr="00B11368">
              <w:rPr>
                <w:rFonts w:ascii="Century Gothic" w:eastAsia="Courier New" w:hAnsi="Century Gothic"/>
              </w:rPr>
              <w:t xml:space="preserve"> </w:t>
            </w:r>
            <w:r w:rsidRPr="00B11368">
              <w:rPr>
                <w:rFonts w:ascii="Century Gothic" w:eastAsia="Arial Narrow" w:hAnsi="Century Gothic"/>
              </w:rPr>
              <w:t>occurred, or in the reasonable opinion of the board of the Borrower, is likely to occur on or before the date of the first drawdown which has or would have a material adverse effect on the ability of the Borrower to comply with its payment obligations in terms of the Facility</w:t>
            </w:r>
            <w:r w:rsidRPr="00B11368">
              <w:rPr>
                <w:rFonts w:ascii="Century Gothic" w:eastAsia="Times New Roman" w:hAnsi="Century Gothic"/>
              </w:rPr>
              <w:t xml:space="preserve"> </w:t>
            </w:r>
            <w:r w:rsidRPr="00B11368">
              <w:rPr>
                <w:rFonts w:ascii="Century Gothic" w:eastAsia="Arial Narrow" w:hAnsi="Century Gothic"/>
              </w:rPr>
              <w:t>approving the terms and conditions of this Term Sheet; and</w:t>
            </w:r>
          </w:p>
          <w:p w14:paraId="28F8AD93" w14:textId="77777777" w:rsidR="009C3BE3" w:rsidRPr="00B11368" w:rsidRDefault="009C3BE3" w:rsidP="00B64A24">
            <w:pPr>
              <w:tabs>
                <w:tab w:val="left" w:pos="2520"/>
              </w:tabs>
              <w:spacing w:line="276" w:lineRule="auto"/>
              <w:ind w:right="700"/>
              <w:rPr>
                <w:rFonts w:ascii="Century Gothic" w:eastAsia="Courier New" w:hAnsi="Century Gothic"/>
              </w:rPr>
            </w:pPr>
            <w:proofErr w:type="spellStart"/>
            <w:r w:rsidRPr="00B11368">
              <w:rPr>
                <w:rFonts w:ascii="Century Gothic" w:eastAsia="Arial Narrow" w:hAnsi="Century Gothic"/>
              </w:rPr>
              <w:t>authorising</w:t>
            </w:r>
            <w:proofErr w:type="spellEnd"/>
            <w:r w:rsidRPr="00B11368">
              <w:rPr>
                <w:rFonts w:ascii="Century Gothic" w:eastAsia="Arial Narrow" w:hAnsi="Century Gothic"/>
              </w:rPr>
              <w:t xml:space="preserve"> a director or other </w:t>
            </w:r>
            <w:proofErr w:type="spellStart"/>
            <w:r w:rsidRPr="00B11368">
              <w:rPr>
                <w:rFonts w:ascii="Century Gothic" w:eastAsia="Arial Narrow" w:hAnsi="Century Gothic"/>
              </w:rPr>
              <w:t>authorised</w:t>
            </w:r>
            <w:proofErr w:type="spellEnd"/>
            <w:r w:rsidRPr="00B11368">
              <w:rPr>
                <w:rFonts w:ascii="Century Gothic" w:eastAsia="Arial Narrow" w:hAnsi="Century Gothic"/>
              </w:rPr>
              <w:t xml:space="preserve"> representative to execute this Term Sheet on behalf of the Borrower.</w:t>
            </w:r>
          </w:p>
          <w:p w14:paraId="6727B2AC" w14:textId="77777777" w:rsidR="009C3BE3" w:rsidRPr="00B11368" w:rsidRDefault="009C3BE3" w:rsidP="00B64A24">
            <w:pPr>
              <w:tabs>
                <w:tab w:val="left" w:pos="344"/>
              </w:tabs>
              <w:spacing w:line="276" w:lineRule="auto"/>
              <w:ind w:left="344" w:right="1100"/>
              <w:rPr>
                <w:rFonts w:ascii="Century Gothic" w:eastAsia="Arial" w:hAnsi="Century Gothic"/>
              </w:rPr>
            </w:pPr>
          </w:p>
          <w:p w14:paraId="78FE5B41" w14:textId="77777777" w:rsidR="009C3BE3" w:rsidRPr="00B11368" w:rsidRDefault="009C3BE3" w:rsidP="00B64A24">
            <w:pPr>
              <w:spacing w:line="276" w:lineRule="auto"/>
              <w:ind w:left="120"/>
              <w:rPr>
                <w:rFonts w:ascii="Century Gothic" w:eastAsia="Arial Narrow" w:hAnsi="Century Gothic"/>
              </w:rPr>
            </w:pPr>
          </w:p>
        </w:tc>
      </w:tr>
      <w:tr w:rsidR="009C3BE3" w:rsidRPr="00B11368" w14:paraId="439EEE0D" w14:textId="77777777" w:rsidTr="00B64A24">
        <w:trPr>
          <w:trHeight w:val="1841"/>
        </w:trPr>
        <w:tc>
          <w:tcPr>
            <w:tcW w:w="991" w:type="pct"/>
            <w:shd w:val="clear" w:color="auto" w:fill="auto"/>
            <w:vAlign w:val="center"/>
          </w:tcPr>
          <w:p w14:paraId="7F72AA54" w14:textId="77777777" w:rsidR="009C3BE3" w:rsidRPr="00B11368" w:rsidRDefault="009C3BE3" w:rsidP="00B64A24">
            <w:pPr>
              <w:spacing w:line="276" w:lineRule="auto"/>
              <w:ind w:left="100"/>
              <w:rPr>
                <w:rFonts w:ascii="Century Gothic" w:eastAsia="Arial Narrow" w:hAnsi="Century Gothic"/>
                <w:b/>
              </w:rPr>
            </w:pPr>
            <w:r w:rsidRPr="00B11368">
              <w:rPr>
                <w:rFonts w:ascii="Century Gothic" w:eastAsia="Arial Narrow" w:hAnsi="Century Gothic"/>
                <w:b/>
              </w:rPr>
              <w:lastRenderedPageBreak/>
              <w:t>Drawdown procedure</w:t>
            </w:r>
          </w:p>
        </w:tc>
        <w:tc>
          <w:tcPr>
            <w:tcW w:w="4009" w:type="pct"/>
            <w:shd w:val="clear" w:color="auto" w:fill="auto"/>
            <w:vAlign w:val="center"/>
          </w:tcPr>
          <w:p w14:paraId="6CFD550B" w14:textId="77777777" w:rsidR="00864261" w:rsidRPr="00B11368" w:rsidRDefault="00864261" w:rsidP="00B64A24">
            <w:pPr>
              <w:tabs>
                <w:tab w:val="left" w:pos="1800"/>
              </w:tabs>
              <w:spacing w:line="276" w:lineRule="auto"/>
              <w:ind w:left="120"/>
              <w:rPr>
                <w:rFonts w:ascii="Century Gothic" w:eastAsia="Arial Narrow" w:hAnsi="Century Gothic"/>
              </w:rPr>
            </w:pPr>
            <w:r w:rsidRPr="00B11368">
              <w:rPr>
                <w:rFonts w:ascii="Century Gothic" w:eastAsia="Arial Narrow" w:hAnsi="Century Gothic"/>
              </w:rPr>
              <w:t xml:space="preserve">Drawdowns are conditional on the Lender’s approval which can be withheld in the Lender’s discretion (acting reasonably and in good faith) which discretion shall be confined to assessing whether or not the amount provided under the Facility will be used in accordance with the </w:t>
            </w:r>
            <w:proofErr w:type="spellStart"/>
            <w:r w:rsidRPr="00B11368">
              <w:rPr>
                <w:rFonts w:ascii="Century Gothic" w:eastAsia="Arial Narrow" w:hAnsi="Century Gothic"/>
              </w:rPr>
              <w:t>authorised</w:t>
            </w:r>
            <w:proofErr w:type="spellEnd"/>
            <w:r w:rsidRPr="00B11368">
              <w:rPr>
                <w:rFonts w:ascii="Century Gothic" w:eastAsia="Arial Narrow" w:hAnsi="Century Gothic"/>
              </w:rPr>
              <w:t xml:space="preserve"> use of the funds set out above and assessing and confirming that the Borrower and each member of the Borrower’s Group is not in breach of any of the representations and warranties set out in this Term Sheet. All amounts will be provided in (and must be requested in) ZAR in tranches of ZAR 10 million, except the last tranche which must represent the balance of the Facility.</w:t>
            </w:r>
          </w:p>
          <w:p w14:paraId="4DB48300" w14:textId="77777777" w:rsidR="00864261" w:rsidRPr="00B11368" w:rsidRDefault="00864261" w:rsidP="00B64A24">
            <w:pPr>
              <w:spacing w:line="276" w:lineRule="auto"/>
              <w:ind w:right="420"/>
              <w:rPr>
                <w:rFonts w:ascii="Century Gothic" w:eastAsia="Arial Narrow" w:hAnsi="Century Gothic"/>
              </w:rPr>
            </w:pPr>
            <w:r w:rsidRPr="00B11368">
              <w:rPr>
                <w:rFonts w:ascii="Century Gothic" w:eastAsia="Arial Narrow" w:hAnsi="Century Gothic"/>
              </w:rPr>
              <w:t>Prior to drawing down on the Facility, the Borrower must provide the Lender with a written drawdown request:</w:t>
            </w:r>
          </w:p>
          <w:p w14:paraId="21128885" w14:textId="77777777" w:rsidR="00864261" w:rsidRPr="00B11368" w:rsidRDefault="00864261" w:rsidP="00B64A24">
            <w:pPr>
              <w:spacing w:line="276" w:lineRule="auto"/>
              <w:rPr>
                <w:rFonts w:ascii="Century Gothic" w:eastAsia="Times New Roman" w:hAnsi="Century Gothic"/>
              </w:rPr>
            </w:pPr>
          </w:p>
          <w:p w14:paraId="5F0C10E9" w14:textId="77777777" w:rsidR="00864261" w:rsidRPr="00B11368" w:rsidRDefault="00864261" w:rsidP="00B64A24">
            <w:pPr>
              <w:tabs>
                <w:tab w:val="left" w:pos="2140"/>
              </w:tabs>
              <w:spacing w:line="276" w:lineRule="auto"/>
              <w:rPr>
                <w:rFonts w:ascii="Century Gothic" w:eastAsia="Arial Narrow" w:hAnsi="Century Gothic"/>
              </w:rPr>
            </w:pPr>
            <w:r w:rsidRPr="00B11368">
              <w:rPr>
                <w:rFonts w:ascii="Century Gothic" w:eastAsia="Arial Narrow" w:hAnsi="Century Gothic"/>
              </w:rPr>
              <w:t>specifying the amount required and the use of those funds;</w:t>
            </w:r>
          </w:p>
          <w:p w14:paraId="6CF19621" w14:textId="77777777" w:rsidR="00864261" w:rsidRPr="00B11368" w:rsidRDefault="00864261" w:rsidP="00B64A24">
            <w:pPr>
              <w:spacing w:line="276" w:lineRule="auto"/>
              <w:rPr>
                <w:rFonts w:ascii="Century Gothic" w:eastAsia="Times New Roman" w:hAnsi="Century Gothic"/>
              </w:rPr>
            </w:pPr>
          </w:p>
          <w:p w14:paraId="0B1967E1" w14:textId="77777777" w:rsidR="00864261" w:rsidRPr="00B11368" w:rsidRDefault="00864261" w:rsidP="00B64A24">
            <w:pPr>
              <w:tabs>
                <w:tab w:val="left" w:pos="2140"/>
              </w:tabs>
              <w:spacing w:line="276" w:lineRule="auto"/>
              <w:rPr>
                <w:rFonts w:ascii="Century Gothic" w:eastAsia="Arial Narrow" w:hAnsi="Century Gothic"/>
              </w:rPr>
            </w:pPr>
            <w:r w:rsidRPr="00B11368">
              <w:rPr>
                <w:rFonts w:ascii="Century Gothic" w:eastAsia="Arial Narrow" w:hAnsi="Century Gothic"/>
              </w:rPr>
              <w:t>confirming that the Borrower and each members of the Borrower’s Group is not in breach of any of the representation and warranties set out in this Term Sheet; and</w:t>
            </w:r>
          </w:p>
          <w:p w14:paraId="68B2C7D3" w14:textId="77777777" w:rsidR="00864261" w:rsidRPr="00B11368" w:rsidRDefault="00864261" w:rsidP="00B64A24">
            <w:pPr>
              <w:tabs>
                <w:tab w:val="left" w:pos="2140"/>
              </w:tabs>
              <w:spacing w:line="276" w:lineRule="auto"/>
              <w:rPr>
                <w:rFonts w:ascii="Century Gothic" w:eastAsia="Arial Narrow" w:hAnsi="Century Gothic"/>
              </w:rPr>
            </w:pPr>
            <w:r w:rsidRPr="00B11368">
              <w:rPr>
                <w:rFonts w:ascii="Century Gothic" w:eastAsia="Arial Narrow" w:hAnsi="Century Gothic"/>
              </w:rPr>
              <w:t xml:space="preserve">signed by two </w:t>
            </w:r>
            <w:proofErr w:type="spellStart"/>
            <w:r w:rsidRPr="00B11368">
              <w:rPr>
                <w:rFonts w:ascii="Century Gothic" w:eastAsia="Arial Narrow" w:hAnsi="Century Gothic"/>
              </w:rPr>
              <w:t>authorised</w:t>
            </w:r>
            <w:proofErr w:type="spellEnd"/>
            <w:r w:rsidRPr="00B11368">
              <w:rPr>
                <w:rFonts w:ascii="Century Gothic" w:eastAsia="Arial Narrow" w:hAnsi="Century Gothic"/>
              </w:rPr>
              <w:t xml:space="preserve"> signatories (one of whom must be the CEO of the Borrower and the other, any of the independent directors of the Borrower). The Borrower must provide any other information which the Lender requires in respect of the proposed draw down (including, without limitation budgets, quotes, estimates, invoices </w:t>
            </w:r>
            <w:proofErr w:type="spellStart"/>
            <w:r w:rsidRPr="00B11368">
              <w:rPr>
                <w:rFonts w:ascii="Century Gothic" w:eastAsia="Arial Narrow" w:hAnsi="Century Gothic"/>
              </w:rPr>
              <w:t>etc</w:t>
            </w:r>
            <w:proofErr w:type="spellEnd"/>
            <w:r w:rsidRPr="00B11368">
              <w:rPr>
                <w:rFonts w:ascii="Century Gothic" w:eastAsia="Arial Narrow" w:hAnsi="Century Gothic"/>
              </w:rPr>
              <w:t xml:space="preserve"> relating to the amount and intended use of those funds) to verify that the purposes of the drawdown is within the approved use of funds for moneys drawn down under the Facility.</w:t>
            </w:r>
          </w:p>
          <w:p w14:paraId="2DA8E67C" w14:textId="77777777" w:rsidR="009C3BE3" w:rsidRPr="00B11368" w:rsidRDefault="009C3BE3" w:rsidP="00B64A24">
            <w:pPr>
              <w:spacing w:line="276" w:lineRule="auto"/>
              <w:ind w:left="4"/>
              <w:rPr>
                <w:rFonts w:ascii="Century Gothic" w:eastAsia="Arial Narrow" w:hAnsi="Century Gothic"/>
              </w:rPr>
            </w:pPr>
          </w:p>
        </w:tc>
      </w:tr>
      <w:tr w:rsidR="00864261" w:rsidRPr="00B11368" w14:paraId="1179D3FA" w14:textId="77777777" w:rsidTr="00B64A24">
        <w:trPr>
          <w:trHeight w:val="1841"/>
        </w:trPr>
        <w:tc>
          <w:tcPr>
            <w:tcW w:w="991" w:type="pct"/>
            <w:shd w:val="clear" w:color="auto" w:fill="auto"/>
            <w:vAlign w:val="center"/>
          </w:tcPr>
          <w:p w14:paraId="431F3BBE" w14:textId="77777777" w:rsidR="00864261" w:rsidRPr="00B11368" w:rsidRDefault="00864261" w:rsidP="00B64A24">
            <w:pPr>
              <w:spacing w:line="276" w:lineRule="auto"/>
              <w:ind w:left="100"/>
              <w:rPr>
                <w:rFonts w:ascii="Century Gothic" w:eastAsia="Arial Narrow" w:hAnsi="Century Gothic"/>
                <w:b/>
              </w:rPr>
            </w:pPr>
            <w:r w:rsidRPr="00B11368">
              <w:rPr>
                <w:rFonts w:ascii="Century Gothic" w:eastAsia="Arial Narrow" w:hAnsi="Century Gothic"/>
                <w:b/>
              </w:rPr>
              <w:lastRenderedPageBreak/>
              <w:t>Repayment Term</w:t>
            </w:r>
          </w:p>
        </w:tc>
        <w:tc>
          <w:tcPr>
            <w:tcW w:w="4009" w:type="pct"/>
            <w:shd w:val="clear" w:color="auto" w:fill="auto"/>
            <w:vAlign w:val="center"/>
          </w:tcPr>
          <w:p w14:paraId="2043CBC1" w14:textId="77777777" w:rsidR="00864261" w:rsidRPr="00B11368" w:rsidRDefault="00864261" w:rsidP="00B64A24">
            <w:pPr>
              <w:spacing w:line="276" w:lineRule="auto"/>
              <w:ind w:left="30" w:right="440" w:firstLine="10"/>
              <w:rPr>
                <w:rFonts w:ascii="Century Gothic" w:eastAsia="Arial Narrow" w:hAnsi="Century Gothic"/>
              </w:rPr>
            </w:pPr>
            <w:r w:rsidRPr="00B11368">
              <w:rPr>
                <w:rFonts w:ascii="Century Gothic" w:eastAsia="Arial Narrow" w:hAnsi="Century Gothic"/>
              </w:rPr>
              <w:t>Any amounts outstanding under the Facility becomes immediately repayable in full on the earlier of:</w:t>
            </w:r>
          </w:p>
          <w:p w14:paraId="63EC7BE2" w14:textId="77777777" w:rsidR="00864261" w:rsidRPr="00B11368" w:rsidRDefault="00864261" w:rsidP="00B64A24">
            <w:pPr>
              <w:spacing w:line="276" w:lineRule="auto"/>
              <w:rPr>
                <w:rFonts w:ascii="Century Gothic" w:eastAsia="Times New Roman" w:hAnsi="Century Gothic"/>
              </w:rPr>
            </w:pPr>
          </w:p>
          <w:p w14:paraId="025985F7"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 xml:space="preserve">the termination of this Term </w:t>
            </w:r>
            <w:proofErr w:type="gramStart"/>
            <w:r w:rsidRPr="00B11368">
              <w:rPr>
                <w:rFonts w:ascii="Century Gothic" w:eastAsia="Arial Narrow" w:hAnsi="Century Gothic"/>
              </w:rPr>
              <w:t>Sheet(</w:t>
            </w:r>
            <w:proofErr w:type="gramEnd"/>
            <w:r w:rsidRPr="00B11368">
              <w:rPr>
                <w:rFonts w:ascii="Century Gothic" w:eastAsia="Arial Narrow" w:hAnsi="Century Gothic"/>
              </w:rPr>
              <w:t xml:space="preserve">other than termination resulting from the conclusion of a formal agreement), or if a formal agreement was entered into incorporating the provisions of this Term Sheet, the formal agreement; the Borrower ceasing to have any interest (whether direct or indirect, or whether the nature of that interest is legal, beneficial, economic or otherwise) in the </w:t>
            </w:r>
            <w:proofErr w:type="spellStart"/>
            <w:r w:rsidRPr="00B11368">
              <w:rPr>
                <w:rFonts w:ascii="Century Gothic" w:eastAsia="Arial Narrow" w:hAnsi="Century Gothic"/>
              </w:rPr>
              <w:t>Elsburg</w:t>
            </w:r>
            <w:proofErr w:type="spellEnd"/>
            <w:r w:rsidRPr="00B11368">
              <w:rPr>
                <w:rFonts w:ascii="Century Gothic" w:eastAsia="Arial Narrow" w:hAnsi="Century Gothic"/>
              </w:rPr>
              <w:t xml:space="preserve"> JV or</w:t>
            </w:r>
          </w:p>
          <w:p w14:paraId="3F7507AF"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Ergo Mining;</w:t>
            </w:r>
          </w:p>
          <w:p w14:paraId="07B48BD6"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12 months from the date of entering into this Term Sheet;</w:t>
            </w:r>
          </w:p>
          <w:p w14:paraId="34655142"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the occurrence of an Event of Default (which is not remedied within the time period required to remedy such a default after notice to that effect from the Lender).</w:t>
            </w:r>
          </w:p>
          <w:p w14:paraId="2DEB1384" w14:textId="77777777" w:rsidR="00864261" w:rsidRPr="00B11368" w:rsidRDefault="00864261" w:rsidP="00B64A24">
            <w:pPr>
              <w:tabs>
                <w:tab w:val="left" w:pos="2140"/>
              </w:tabs>
              <w:spacing w:line="276" w:lineRule="auto"/>
              <w:ind w:right="320"/>
              <w:rPr>
                <w:rFonts w:ascii="Century Gothic" w:eastAsia="Arial Narrow" w:hAnsi="Century Gothic"/>
              </w:rPr>
            </w:pPr>
            <w:r w:rsidRPr="00B11368">
              <w:rPr>
                <w:rFonts w:ascii="Century Gothic" w:eastAsia="Arial Narrow" w:hAnsi="Century Gothic"/>
              </w:rPr>
              <w:t>Amounts outstanding under the Facility may be repaid earlier without any penalty.</w:t>
            </w:r>
          </w:p>
          <w:p w14:paraId="2E586DD2" w14:textId="77777777" w:rsidR="00864261" w:rsidRPr="00B11368" w:rsidRDefault="00864261" w:rsidP="00B64A24">
            <w:pPr>
              <w:tabs>
                <w:tab w:val="left" w:pos="1800"/>
              </w:tabs>
              <w:spacing w:line="276" w:lineRule="auto"/>
              <w:ind w:left="120"/>
              <w:rPr>
                <w:rFonts w:ascii="Century Gothic" w:eastAsia="Arial Narrow" w:hAnsi="Century Gothic"/>
              </w:rPr>
            </w:pPr>
          </w:p>
        </w:tc>
      </w:tr>
      <w:tr w:rsidR="00864261" w:rsidRPr="00B11368" w14:paraId="4A56CC97" w14:textId="77777777" w:rsidTr="00B64A24">
        <w:trPr>
          <w:trHeight w:val="1841"/>
        </w:trPr>
        <w:tc>
          <w:tcPr>
            <w:tcW w:w="991" w:type="pct"/>
            <w:shd w:val="clear" w:color="auto" w:fill="auto"/>
            <w:vAlign w:val="center"/>
          </w:tcPr>
          <w:p w14:paraId="09C5EAA0" w14:textId="77777777" w:rsidR="00864261" w:rsidRPr="00B11368" w:rsidRDefault="00864261" w:rsidP="00B64A24">
            <w:pPr>
              <w:spacing w:line="276" w:lineRule="auto"/>
              <w:ind w:left="100"/>
              <w:rPr>
                <w:rFonts w:ascii="Century Gothic" w:eastAsia="Arial Narrow" w:hAnsi="Century Gothic"/>
                <w:b/>
              </w:rPr>
            </w:pPr>
            <w:r w:rsidRPr="00B11368">
              <w:rPr>
                <w:rFonts w:ascii="Century Gothic" w:eastAsia="Arial Narrow" w:hAnsi="Century Gothic"/>
                <w:b/>
              </w:rPr>
              <w:t>Set-Off</w:t>
            </w:r>
          </w:p>
        </w:tc>
        <w:tc>
          <w:tcPr>
            <w:tcW w:w="4009" w:type="pct"/>
            <w:shd w:val="clear" w:color="auto" w:fill="auto"/>
            <w:vAlign w:val="center"/>
          </w:tcPr>
          <w:p w14:paraId="08C6B693"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The Lender may set off any amounts payable by the Lender (or a related body corporate of</w:t>
            </w:r>
            <w:r w:rsidR="00595B72">
              <w:rPr>
                <w:rFonts w:ascii="Century Gothic" w:eastAsia="Arial Narrow" w:hAnsi="Century Gothic"/>
              </w:rPr>
              <w:t xml:space="preserve"> </w:t>
            </w:r>
            <w:r w:rsidRPr="00B11368">
              <w:rPr>
                <w:rFonts w:ascii="Century Gothic" w:eastAsia="Arial Narrow" w:hAnsi="Century Gothic"/>
              </w:rPr>
              <w:t>the Lender) in respect of the sale and purchase of the Sale Interest against the moneys</w:t>
            </w:r>
            <w:r w:rsidR="00595B72">
              <w:rPr>
                <w:rFonts w:ascii="Century Gothic" w:eastAsia="Arial Narrow" w:hAnsi="Century Gothic"/>
              </w:rPr>
              <w:t xml:space="preserve"> </w:t>
            </w:r>
            <w:r w:rsidRPr="00B11368">
              <w:rPr>
                <w:rFonts w:ascii="Century Gothic" w:eastAsia="Arial Narrow" w:hAnsi="Century Gothic"/>
              </w:rPr>
              <w:t>owed to the Lender under the Facility.</w:t>
            </w:r>
          </w:p>
        </w:tc>
      </w:tr>
      <w:tr w:rsidR="00864261" w:rsidRPr="00B11368" w14:paraId="216B3D18" w14:textId="77777777" w:rsidTr="00B64A24">
        <w:trPr>
          <w:trHeight w:val="1841"/>
        </w:trPr>
        <w:tc>
          <w:tcPr>
            <w:tcW w:w="991" w:type="pct"/>
            <w:shd w:val="clear" w:color="auto" w:fill="auto"/>
            <w:vAlign w:val="center"/>
          </w:tcPr>
          <w:p w14:paraId="7EF3969E" w14:textId="77777777" w:rsidR="00864261" w:rsidRPr="00B11368" w:rsidRDefault="00864261" w:rsidP="00B64A24">
            <w:pPr>
              <w:spacing w:line="276" w:lineRule="auto"/>
              <w:ind w:left="100"/>
              <w:rPr>
                <w:rFonts w:ascii="Century Gothic" w:eastAsia="Arial Narrow" w:hAnsi="Century Gothic"/>
                <w:b/>
              </w:rPr>
            </w:pPr>
            <w:r w:rsidRPr="00B11368">
              <w:rPr>
                <w:rFonts w:ascii="Century Gothic" w:eastAsia="Arial Narrow" w:hAnsi="Century Gothic"/>
                <w:b/>
              </w:rPr>
              <w:t>Security</w:t>
            </w:r>
          </w:p>
        </w:tc>
        <w:tc>
          <w:tcPr>
            <w:tcW w:w="4009" w:type="pct"/>
            <w:shd w:val="clear" w:color="auto" w:fill="auto"/>
            <w:vAlign w:val="center"/>
          </w:tcPr>
          <w:p w14:paraId="61E61C77"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 xml:space="preserve">The Borrower will procure the grant in </w:t>
            </w:r>
            <w:proofErr w:type="spellStart"/>
            <w:r w:rsidRPr="00B11368">
              <w:rPr>
                <w:rFonts w:ascii="Century Gothic" w:eastAsia="Arial Narrow" w:hAnsi="Century Gothic"/>
              </w:rPr>
              <w:t>favour</w:t>
            </w:r>
            <w:proofErr w:type="spellEnd"/>
            <w:r w:rsidRPr="00B11368">
              <w:rPr>
                <w:rFonts w:ascii="Century Gothic" w:eastAsia="Arial Narrow" w:hAnsi="Century Gothic"/>
              </w:rPr>
              <w:t xml:space="preserve"> of the Lender first ranking security in a form acceptable to the Lender over</w:t>
            </w:r>
          </w:p>
          <w:p w14:paraId="53DEDED1" w14:textId="77777777" w:rsidR="00864261" w:rsidRPr="00B11368" w:rsidRDefault="00864261" w:rsidP="00B64A24">
            <w:pPr>
              <w:spacing w:line="276" w:lineRule="auto"/>
              <w:rPr>
                <w:rFonts w:ascii="Century Gothic" w:eastAsia="Arial Narrow" w:hAnsi="Century Gothic"/>
              </w:rPr>
            </w:pPr>
            <w:r w:rsidRPr="00B11368">
              <w:rPr>
                <w:rFonts w:ascii="Century Gothic" w:eastAsia="Arial Narrow" w:hAnsi="Century Gothic"/>
              </w:rPr>
              <w:t xml:space="preserve">the Percentage Interest held by the Borrower or any member of the Borrower’s Group in the </w:t>
            </w:r>
            <w:proofErr w:type="spellStart"/>
            <w:r w:rsidRPr="00B11368">
              <w:rPr>
                <w:rFonts w:ascii="Century Gothic" w:eastAsia="Arial Narrow" w:hAnsi="Century Gothic"/>
              </w:rPr>
              <w:t>Elsburg</w:t>
            </w:r>
            <w:proofErr w:type="spellEnd"/>
            <w:r w:rsidRPr="00B11368">
              <w:rPr>
                <w:rFonts w:ascii="Century Gothic" w:eastAsia="Arial Narrow" w:hAnsi="Century Gothic"/>
              </w:rPr>
              <w:t xml:space="preserve"> JV; and the interest held by the Borrower and any member of the Borrower’s Group in Ergo Mining.</w:t>
            </w:r>
          </w:p>
          <w:p w14:paraId="2816CCBF" w14:textId="77777777" w:rsidR="00864261" w:rsidRPr="00B11368" w:rsidRDefault="00864261" w:rsidP="00B64A24">
            <w:pPr>
              <w:spacing w:line="276" w:lineRule="auto"/>
              <w:rPr>
                <w:rFonts w:ascii="Century Gothic" w:eastAsia="Times New Roman" w:hAnsi="Century Gothic"/>
              </w:rPr>
            </w:pPr>
          </w:p>
          <w:p w14:paraId="0DB9868B" w14:textId="77777777" w:rsidR="00864261" w:rsidRPr="00B11368" w:rsidRDefault="00864261" w:rsidP="00B64A24">
            <w:pPr>
              <w:spacing w:line="276" w:lineRule="auto"/>
              <w:ind w:right="400"/>
              <w:rPr>
                <w:rFonts w:ascii="Century Gothic" w:eastAsia="Arial Narrow" w:hAnsi="Century Gothic"/>
              </w:rPr>
            </w:pPr>
            <w:r w:rsidRPr="00B11368">
              <w:rPr>
                <w:rFonts w:ascii="Century Gothic" w:eastAsia="Arial Narrow" w:hAnsi="Century Gothic"/>
              </w:rPr>
              <w:t>Each of Mogale Gold and Ergo Uranium consent to, and the Borrower must procure that any other member of the Borrower’s Group consents to, granting security over these interests, as the provision of the Facility to the Borrower enhances the financial position of the Borrower’s Group (including, without limitation, each of Mogale Gold and Ergo Uranium).</w:t>
            </w:r>
          </w:p>
        </w:tc>
      </w:tr>
      <w:tr w:rsidR="00864261" w:rsidRPr="00B11368" w14:paraId="65B49D86" w14:textId="77777777" w:rsidTr="00B64A24">
        <w:trPr>
          <w:trHeight w:val="1841"/>
        </w:trPr>
        <w:tc>
          <w:tcPr>
            <w:tcW w:w="991" w:type="pct"/>
            <w:shd w:val="clear" w:color="auto" w:fill="auto"/>
            <w:vAlign w:val="center"/>
          </w:tcPr>
          <w:p w14:paraId="2A1376D8" w14:textId="77777777" w:rsidR="00864261" w:rsidRPr="00B11368" w:rsidRDefault="00864261" w:rsidP="00B64A24">
            <w:pPr>
              <w:spacing w:line="276" w:lineRule="auto"/>
              <w:rPr>
                <w:rFonts w:ascii="Century Gothic" w:eastAsia="Times New Roman" w:hAnsi="Century Gothic"/>
              </w:rPr>
            </w:pPr>
          </w:p>
          <w:p w14:paraId="47C30DFE" w14:textId="77777777" w:rsidR="00864261" w:rsidRPr="00B11368" w:rsidRDefault="00864261" w:rsidP="00B64A24">
            <w:pPr>
              <w:spacing w:line="276" w:lineRule="auto"/>
              <w:ind w:left="100"/>
              <w:rPr>
                <w:rFonts w:ascii="Century Gothic" w:eastAsia="Arial Narrow" w:hAnsi="Century Gothic"/>
                <w:b/>
              </w:rPr>
            </w:pPr>
            <w:r w:rsidRPr="00B11368">
              <w:rPr>
                <w:rFonts w:ascii="Century Gothic" w:eastAsia="Arial Narrow" w:hAnsi="Century Gothic"/>
                <w:b/>
              </w:rPr>
              <w:t>Negative Pledge</w:t>
            </w:r>
          </w:p>
        </w:tc>
        <w:tc>
          <w:tcPr>
            <w:tcW w:w="4009" w:type="pct"/>
            <w:shd w:val="clear" w:color="auto" w:fill="auto"/>
            <w:vAlign w:val="center"/>
          </w:tcPr>
          <w:p w14:paraId="20FC94BA" w14:textId="77777777" w:rsidR="00864261" w:rsidRPr="00B11368" w:rsidRDefault="00864261" w:rsidP="00B64A24">
            <w:pPr>
              <w:spacing w:line="276" w:lineRule="auto"/>
              <w:ind w:left="120" w:right="280" w:hanging="50"/>
              <w:rPr>
                <w:rFonts w:ascii="Century Gothic" w:eastAsia="Arial Narrow" w:hAnsi="Century Gothic"/>
              </w:rPr>
            </w:pPr>
            <w:r w:rsidRPr="00B11368">
              <w:rPr>
                <w:rFonts w:ascii="Century Gothic" w:eastAsia="Arial Narrow" w:hAnsi="Century Gothic"/>
              </w:rPr>
              <w:t>Except in relation to proposed asset sales by the Borrower and members of the Borrower’s Group which have been fairly disclosed in writing to the Lender before execution of this Term Sheet, the Borrower undertakes not to, without the Lender’s consent (which will not be unreasonably withheld or delayed) to:</w:t>
            </w:r>
          </w:p>
          <w:p w14:paraId="14E27A0A" w14:textId="77777777" w:rsidR="00864261" w:rsidRPr="00B11368" w:rsidRDefault="00864261" w:rsidP="00B64A24">
            <w:pPr>
              <w:spacing w:line="276" w:lineRule="auto"/>
              <w:rPr>
                <w:rFonts w:ascii="Century Gothic" w:eastAsia="Times New Roman" w:hAnsi="Century Gothic"/>
              </w:rPr>
            </w:pPr>
          </w:p>
          <w:p w14:paraId="4F709CA3" w14:textId="77777777" w:rsidR="00864261" w:rsidRPr="00B11368" w:rsidRDefault="00864261" w:rsidP="00B64A24">
            <w:pPr>
              <w:tabs>
                <w:tab w:val="left" w:pos="2040"/>
              </w:tabs>
              <w:spacing w:line="276" w:lineRule="auto"/>
              <w:rPr>
                <w:rFonts w:ascii="Century Gothic" w:eastAsia="Arial" w:hAnsi="Century Gothic"/>
              </w:rPr>
            </w:pPr>
            <w:r w:rsidRPr="00B11368">
              <w:rPr>
                <w:rFonts w:ascii="Century Gothic" w:eastAsia="Arial Narrow" w:hAnsi="Century Gothic"/>
              </w:rPr>
              <w:t>dispose of any of its major assets; and</w:t>
            </w:r>
            <w:r w:rsidRPr="00B11368">
              <w:rPr>
                <w:rFonts w:ascii="Century Gothic" w:eastAsia="Arial" w:hAnsi="Century Gothic"/>
              </w:rPr>
              <w:t xml:space="preserve"> </w:t>
            </w:r>
            <w:r w:rsidRPr="00B11368">
              <w:rPr>
                <w:rFonts w:ascii="Century Gothic" w:eastAsia="Arial Narrow" w:hAnsi="Century Gothic"/>
              </w:rPr>
              <w:t>grant any encumbrances over any of its major assets, including any assets comprising the Sale Interest.</w:t>
            </w:r>
          </w:p>
          <w:p w14:paraId="2E35EC3D" w14:textId="77777777" w:rsidR="00864261" w:rsidRPr="00B11368" w:rsidRDefault="00864261" w:rsidP="00B64A24">
            <w:pPr>
              <w:spacing w:line="276" w:lineRule="auto"/>
              <w:ind w:left="500"/>
              <w:rPr>
                <w:rFonts w:ascii="Century Gothic" w:eastAsia="Arial Narrow" w:hAnsi="Century Gothic"/>
              </w:rPr>
            </w:pPr>
          </w:p>
        </w:tc>
      </w:tr>
    </w:tbl>
    <w:p w14:paraId="5D0C14D0" w14:textId="77777777" w:rsidR="00335451" w:rsidRPr="009C3BE3" w:rsidRDefault="00335451" w:rsidP="00B64A24">
      <w:pPr>
        <w:spacing w:line="276" w:lineRule="auto"/>
        <w:rPr>
          <w:rFonts w:ascii="Century Gothic" w:eastAsia="Times New Roman" w:hAnsi="Century Gothic"/>
        </w:rPr>
      </w:pPr>
    </w:p>
    <w:p w14:paraId="3387686C" w14:textId="77777777" w:rsidR="00335451" w:rsidRPr="009C3BE3" w:rsidRDefault="00335451" w:rsidP="00B64A24">
      <w:pPr>
        <w:spacing w:line="276" w:lineRule="auto"/>
        <w:rPr>
          <w:rFonts w:ascii="Century Gothic" w:eastAsia="Times New Roman" w:hAnsi="Century Gothic"/>
        </w:rPr>
        <w:sectPr w:rsidR="00335451" w:rsidRPr="009C3BE3" w:rsidSect="00B64A24">
          <w:footerReference w:type="default" r:id="rId7"/>
          <w:pgSz w:w="11900" w:h="16840"/>
          <w:pgMar w:top="1440" w:right="1080" w:bottom="1440" w:left="1080" w:header="0" w:footer="720" w:gutter="0"/>
          <w:cols w:space="0" w:equalWidth="0">
            <w:col w:w="9520"/>
          </w:cols>
          <w:docGrid w:linePitch="360"/>
        </w:sectPr>
      </w:pPr>
    </w:p>
    <w:p w14:paraId="6CBDD08C" w14:textId="77777777" w:rsidR="00335451" w:rsidRPr="009C3BE3" w:rsidRDefault="00335451" w:rsidP="00B64A24">
      <w:pPr>
        <w:spacing w:line="276" w:lineRule="auto"/>
        <w:rPr>
          <w:rFonts w:ascii="Century Gothic" w:eastAsia="Times New Roman" w:hAnsi="Century Gothic"/>
        </w:rPr>
      </w:pPr>
    </w:p>
    <w:p w14:paraId="48F6787B" w14:textId="77777777" w:rsidR="00335451" w:rsidRPr="009C3BE3" w:rsidRDefault="00595B72" w:rsidP="00B64A24">
      <w:pPr>
        <w:spacing w:line="276" w:lineRule="auto"/>
        <w:rPr>
          <w:rFonts w:ascii="Century Gothic" w:eastAsia="Times New Roman" w:hAnsi="Century Gothic"/>
        </w:rPr>
      </w:pPr>
      <w:r w:rsidRPr="009C3BE3">
        <w:rPr>
          <w:rFonts w:ascii="Century Gothic" w:eastAsia="Arial Narrow" w:hAnsi="Century Gothic"/>
          <w:b/>
          <w:sz w:val="21"/>
        </w:rPr>
        <w:br w:type="column"/>
      </w:r>
    </w:p>
    <w:p w14:paraId="3278D6A2" w14:textId="77777777" w:rsidR="00335451" w:rsidRPr="009C3BE3" w:rsidRDefault="00335451" w:rsidP="00B64A24">
      <w:pPr>
        <w:spacing w:line="276" w:lineRule="auto"/>
        <w:rPr>
          <w:rFonts w:ascii="Century Gothic" w:eastAsia="Times New Roman" w:hAnsi="Century Gothic"/>
        </w:rPr>
      </w:pPr>
    </w:p>
    <w:p w14:paraId="60CED76C" w14:textId="77777777" w:rsidR="00335451" w:rsidRPr="009C3BE3" w:rsidRDefault="00335451" w:rsidP="00B64A24">
      <w:pPr>
        <w:spacing w:line="276" w:lineRule="auto"/>
        <w:rPr>
          <w:rFonts w:ascii="Century Gothic" w:eastAsia="Times New Roman" w:hAnsi="Century Gothic"/>
        </w:rPr>
        <w:sectPr w:rsidR="00335451" w:rsidRPr="009C3BE3" w:rsidSect="00B64A24">
          <w:type w:val="continuous"/>
          <w:pgSz w:w="11900" w:h="16840"/>
          <w:pgMar w:top="1440" w:right="1080" w:bottom="1440" w:left="1080" w:header="0" w:footer="0" w:gutter="0"/>
          <w:cols w:num="2" w:space="0" w:equalWidth="0">
            <w:col w:w="1760" w:space="256"/>
            <w:col w:w="7724"/>
          </w:cols>
          <w:docGrid w:linePitch="360"/>
        </w:sectPr>
      </w:pPr>
    </w:p>
    <w:p w14:paraId="7A2B2A84" w14:textId="77777777" w:rsidR="00335451" w:rsidRPr="009C3BE3" w:rsidRDefault="00335451" w:rsidP="00B64A24">
      <w:pPr>
        <w:spacing w:line="276" w:lineRule="auto"/>
        <w:rPr>
          <w:rFonts w:ascii="Century Gothic" w:eastAsia="Times New Roman" w:hAnsi="Century Gothic"/>
        </w:rPr>
      </w:pPr>
    </w:p>
    <w:tbl>
      <w:tblPr>
        <w:tblStyle w:val="TableGrid"/>
        <w:tblW w:w="5000" w:type="pct"/>
        <w:tblLook w:val="04A0" w:firstRow="1" w:lastRow="0" w:firstColumn="1" w:lastColumn="0" w:noHBand="0" w:noVBand="1"/>
      </w:tblPr>
      <w:tblGrid>
        <w:gridCol w:w="1885"/>
        <w:gridCol w:w="7645"/>
      </w:tblGrid>
      <w:tr w:rsidR="00B11368" w14:paraId="057E9FAA" w14:textId="77777777" w:rsidTr="00B64A24">
        <w:trPr>
          <w:trHeight w:val="1843"/>
        </w:trPr>
        <w:tc>
          <w:tcPr>
            <w:tcW w:w="989" w:type="pct"/>
            <w:vAlign w:val="center"/>
          </w:tcPr>
          <w:p w14:paraId="650AF373" w14:textId="77777777" w:rsidR="00B11368" w:rsidRPr="00595B72" w:rsidRDefault="00B11368" w:rsidP="00B64A24">
            <w:pPr>
              <w:tabs>
                <w:tab w:val="left" w:pos="7860"/>
              </w:tabs>
              <w:spacing w:line="276" w:lineRule="auto"/>
              <w:rPr>
                <w:rFonts w:ascii="Century Gothic" w:eastAsia="Arial Narrow" w:hAnsi="Century Gothic"/>
              </w:rPr>
            </w:pPr>
            <w:r w:rsidRPr="00595B72">
              <w:rPr>
                <w:rFonts w:ascii="Century Gothic" w:eastAsia="Arial Narrow" w:hAnsi="Century Gothic"/>
                <w:b/>
              </w:rPr>
              <w:t>Event of Default</w:t>
            </w:r>
          </w:p>
        </w:tc>
        <w:tc>
          <w:tcPr>
            <w:tcW w:w="4011" w:type="pct"/>
            <w:vAlign w:val="center"/>
          </w:tcPr>
          <w:p w14:paraId="702A7963" w14:textId="77777777" w:rsidR="00B11368" w:rsidRPr="00595B72" w:rsidRDefault="00B11368" w:rsidP="00B64A24">
            <w:pPr>
              <w:tabs>
                <w:tab w:val="left" w:pos="1680"/>
              </w:tabs>
              <w:spacing w:line="276" w:lineRule="auto"/>
              <w:rPr>
                <w:rFonts w:ascii="Century Gothic" w:eastAsia="Arial Narrow" w:hAnsi="Century Gothic"/>
              </w:rPr>
            </w:pPr>
            <w:r w:rsidRPr="00595B72">
              <w:rPr>
                <w:rFonts w:ascii="Century Gothic" w:eastAsia="Arial Narrow" w:hAnsi="Century Gothic"/>
              </w:rPr>
              <w:t>An event of default will occur where:</w:t>
            </w:r>
          </w:p>
          <w:p w14:paraId="287FB969" w14:textId="77777777" w:rsidR="00B11368" w:rsidRPr="00595B72" w:rsidRDefault="00B11368" w:rsidP="00B64A24">
            <w:pPr>
              <w:spacing w:line="276" w:lineRule="auto"/>
              <w:rPr>
                <w:rFonts w:ascii="Century Gothic" w:eastAsia="Times New Roman" w:hAnsi="Century Gothic"/>
              </w:rPr>
            </w:pPr>
          </w:p>
          <w:p w14:paraId="46F8C118" w14:textId="77777777" w:rsidR="00B11368" w:rsidRPr="00595B72" w:rsidRDefault="00B11368" w:rsidP="00B64A24">
            <w:pPr>
              <w:tabs>
                <w:tab w:val="left" w:pos="2040"/>
              </w:tabs>
              <w:spacing w:line="276" w:lineRule="auto"/>
              <w:rPr>
                <w:rFonts w:ascii="Century Gothic" w:eastAsia="Arial" w:hAnsi="Century Gothic"/>
              </w:rPr>
            </w:pPr>
            <w:r w:rsidRPr="00595B72">
              <w:rPr>
                <w:rFonts w:ascii="Century Gothic" w:eastAsia="Arial Narrow" w:hAnsi="Century Gothic"/>
              </w:rPr>
              <w:t>the Borrower fails to pay any amounts owing under the Facility as and when due;</w:t>
            </w:r>
          </w:p>
          <w:p w14:paraId="5014884A" w14:textId="77777777" w:rsidR="00B11368" w:rsidRPr="00595B72" w:rsidRDefault="00B11368" w:rsidP="00B64A24">
            <w:pPr>
              <w:tabs>
                <w:tab w:val="left" w:pos="2040"/>
              </w:tabs>
              <w:spacing w:line="276" w:lineRule="auto"/>
              <w:ind w:right="340"/>
              <w:rPr>
                <w:rFonts w:ascii="Century Gothic" w:eastAsia="Arial" w:hAnsi="Century Gothic"/>
              </w:rPr>
            </w:pPr>
            <w:r w:rsidRPr="00595B72">
              <w:rPr>
                <w:rFonts w:ascii="Century Gothic" w:eastAsia="Arial Narrow" w:hAnsi="Century Gothic"/>
              </w:rPr>
              <w:t>the Borrower fails to perform or observe any obligation under the Facility and does not remedy the failure within 5 Business Days after receipt of a notice;</w:t>
            </w:r>
          </w:p>
          <w:p w14:paraId="3EBD5F2B" w14:textId="77777777" w:rsidR="00B11368" w:rsidRPr="00595B72" w:rsidRDefault="00B11368" w:rsidP="00B64A24">
            <w:pPr>
              <w:spacing w:line="276" w:lineRule="auto"/>
              <w:rPr>
                <w:rFonts w:ascii="Century Gothic" w:eastAsia="Arial" w:hAnsi="Century Gothic"/>
              </w:rPr>
            </w:pPr>
          </w:p>
          <w:p w14:paraId="01F8B7C3" w14:textId="77777777" w:rsidR="00B11368" w:rsidRPr="00595B72" w:rsidRDefault="00B11368" w:rsidP="00B64A24">
            <w:pPr>
              <w:tabs>
                <w:tab w:val="left" w:pos="2040"/>
              </w:tabs>
              <w:spacing w:line="276" w:lineRule="auto"/>
              <w:ind w:right="600"/>
              <w:rPr>
                <w:rFonts w:ascii="Century Gothic" w:eastAsia="Arial" w:hAnsi="Century Gothic"/>
              </w:rPr>
            </w:pPr>
            <w:r w:rsidRPr="00595B72">
              <w:rPr>
                <w:rFonts w:ascii="Century Gothic" w:eastAsia="Arial Narrow" w:hAnsi="Century Gothic"/>
              </w:rPr>
              <w:t>any present or future, or actual, prospective or contingent, indebtedness of the Borrower or members of the Borrower’s Group in respect of any financial accommodation is or becomes due and payable or is or becomes capable of being declared due and payable before the due date for payment;</w:t>
            </w:r>
          </w:p>
          <w:p w14:paraId="3DAE5DBA" w14:textId="77777777" w:rsidR="00B11368" w:rsidRPr="00595B72" w:rsidRDefault="00B11368" w:rsidP="00B64A24">
            <w:pPr>
              <w:spacing w:line="276" w:lineRule="auto"/>
              <w:rPr>
                <w:rFonts w:ascii="Century Gothic" w:eastAsia="Arial" w:hAnsi="Century Gothic"/>
              </w:rPr>
            </w:pPr>
          </w:p>
          <w:p w14:paraId="654E70A7" w14:textId="77777777" w:rsidR="00B11368" w:rsidRPr="00595B72" w:rsidRDefault="00B11368" w:rsidP="00B64A24">
            <w:pPr>
              <w:tabs>
                <w:tab w:val="left" w:pos="2040"/>
              </w:tabs>
              <w:spacing w:line="276" w:lineRule="auto"/>
              <w:ind w:right="780"/>
              <w:rPr>
                <w:rFonts w:ascii="Century Gothic" w:eastAsia="Arial" w:hAnsi="Century Gothic"/>
              </w:rPr>
            </w:pPr>
            <w:r w:rsidRPr="00595B72">
              <w:rPr>
                <w:rFonts w:ascii="Century Gothic" w:eastAsia="Arial Narrow" w:hAnsi="Century Gothic"/>
              </w:rPr>
              <w:t>any warranty, representation or statement by the Borrower is or becomes false, misleading or incorrect when made or regarded as made under this Term Sheet;</w:t>
            </w:r>
          </w:p>
          <w:p w14:paraId="0D449D79" w14:textId="77777777" w:rsidR="00B11368" w:rsidRPr="00595B72" w:rsidRDefault="00B11368" w:rsidP="00B64A24">
            <w:pPr>
              <w:spacing w:line="276" w:lineRule="auto"/>
              <w:rPr>
                <w:rFonts w:ascii="Century Gothic" w:eastAsia="Arial" w:hAnsi="Century Gothic"/>
              </w:rPr>
            </w:pPr>
          </w:p>
          <w:p w14:paraId="1C59E687" w14:textId="77777777" w:rsidR="00B11368" w:rsidRPr="00595B72" w:rsidRDefault="00B11368" w:rsidP="00B64A24">
            <w:pPr>
              <w:tabs>
                <w:tab w:val="left" w:pos="2040"/>
              </w:tabs>
              <w:spacing w:line="276" w:lineRule="auto"/>
              <w:ind w:right="360"/>
              <w:rPr>
                <w:rFonts w:ascii="Century Gothic" w:eastAsia="Arial" w:hAnsi="Century Gothic"/>
              </w:rPr>
            </w:pPr>
            <w:r w:rsidRPr="00595B72">
              <w:rPr>
                <w:rFonts w:ascii="Century Gothic" w:eastAsia="Arial Narrow" w:hAnsi="Century Gothic"/>
              </w:rPr>
              <w:t>there is a material adverse change in the Borrower’s or any member of the Borrower’s Group assets, liabilities, financial position or prospects; and</w:t>
            </w:r>
          </w:p>
          <w:p w14:paraId="3FED8C07" w14:textId="77777777" w:rsidR="00B11368" w:rsidRPr="00595B72" w:rsidRDefault="00B11368" w:rsidP="00B64A24">
            <w:pPr>
              <w:spacing w:line="276" w:lineRule="auto"/>
              <w:rPr>
                <w:rFonts w:ascii="Century Gothic" w:eastAsia="Arial" w:hAnsi="Century Gothic"/>
              </w:rPr>
            </w:pPr>
          </w:p>
          <w:p w14:paraId="1721D138" w14:textId="77777777" w:rsidR="00B11368" w:rsidRPr="00595B72" w:rsidRDefault="00B11368" w:rsidP="00B64A24">
            <w:pPr>
              <w:tabs>
                <w:tab w:val="left" w:pos="2040"/>
              </w:tabs>
              <w:spacing w:line="276" w:lineRule="auto"/>
              <w:ind w:right="420"/>
              <w:rPr>
                <w:rFonts w:ascii="Century Gothic" w:eastAsia="Arial" w:hAnsi="Century Gothic"/>
              </w:rPr>
            </w:pPr>
            <w:r w:rsidRPr="00595B72">
              <w:rPr>
                <w:rFonts w:ascii="Century Gothic" w:eastAsia="Arial Narrow" w:hAnsi="Century Gothic"/>
              </w:rPr>
              <w:t>other customary events of default relating to the Borrower’s solvency, or any member of the Borrower’s Group solvency occur.</w:t>
            </w:r>
          </w:p>
          <w:p w14:paraId="076421AC" w14:textId="77777777" w:rsidR="00B11368" w:rsidRPr="00595B72" w:rsidRDefault="00B11368" w:rsidP="00B64A24">
            <w:pPr>
              <w:spacing w:line="276" w:lineRule="auto"/>
              <w:ind w:right="580"/>
              <w:rPr>
                <w:rFonts w:ascii="Century Gothic" w:eastAsia="Arial Narrow" w:hAnsi="Century Gothic"/>
              </w:rPr>
            </w:pPr>
            <w:r w:rsidRPr="00595B72">
              <w:rPr>
                <w:rFonts w:ascii="Century Gothic" w:eastAsia="Arial Narrow" w:hAnsi="Century Gothic"/>
              </w:rPr>
              <w:t>The Borrower will be given 5 Business Days to remedy an event of default for failure to pay an amount owing to the Lender and 10 Business Days to remedy any other default (other than insolvency type defaults).</w:t>
            </w:r>
          </w:p>
          <w:p w14:paraId="276C6C2C" w14:textId="77777777" w:rsidR="00B11368" w:rsidRPr="00595B72" w:rsidRDefault="00B11368" w:rsidP="00B64A24">
            <w:pPr>
              <w:tabs>
                <w:tab w:val="left" w:pos="7860"/>
              </w:tabs>
              <w:spacing w:line="276" w:lineRule="auto"/>
              <w:rPr>
                <w:rFonts w:ascii="Century Gothic" w:eastAsia="Arial Narrow" w:hAnsi="Century Gothic"/>
              </w:rPr>
            </w:pPr>
          </w:p>
        </w:tc>
      </w:tr>
      <w:tr w:rsidR="00B11368" w14:paraId="1BD11C39" w14:textId="77777777" w:rsidTr="00B64A24">
        <w:trPr>
          <w:trHeight w:val="1843"/>
        </w:trPr>
        <w:tc>
          <w:tcPr>
            <w:tcW w:w="989" w:type="pct"/>
            <w:vAlign w:val="center"/>
          </w:tcPr>
          <w:p w14:paraId="65C001C4" w14:textId="77777777" w:rsidR="00B11368" w:rsidRPr="00595B72" w:rsidRDefault="00B11368" w:rsidP="00B64A24">
            <w:pPr>
              <w:spacing w:line="276" w:lineRule="auto"/>
              <w:rPr>
                <w:rFonts w:ascii="Century Gothic" w:eastAsia="Times New Roman" w:hAnsi="Century Gothic"/>
              </w:rPr>
            </w:pPr>
            <w:r w:rsidRPr="00595B72">
              <w:rPr>
                <w:rFonts w:ascii="Century Gothic" w:eastAsia="Arial Narrow" w:hAnsi="Century Gothic"/>
                <w:b/>
              </w:rPr>
              <w:t>Indemnity</w:t>
            </w:r>
          </w:p>
        </w:tc>
        <w:tc>
          <w:tcPr>
            <w:tcW w:w="4011" w:type="pct"/>
            <w:vAlign w:val="center"/>
          </w:tcPr>
          <w:p w14:paraId="1210A136"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Borrower will indemnify the Lender for all loss that it suffers occurring as a result of an</w:t>
            </w:r>
          </w:p>
          <w:p w14:paraId="23054267"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Event of Default or the Lender exercising its powers as a result of an Event of Default.</w:t>
            </w:r>
          </w:p>
        </w:tc>
      </w:tr>
      <w:tr w:rsidR="00B11368" w14:paraId="2C45CC99" w14:textId="77777777" w:rsidTr="00B64A24">
        <w:trPr>
          <w:trHeight w:val="1843"/>
        </w:trPr>
        <w:tc>
          <w:tcPr>
            <w:tcW w:w="989" w:type="pct"/>
            <w:vAlign w:val="center"/>
          </w:tcPr>
          <w:p w14:paraId="40347007" w14:textId="77777777" w:rsidR="00B11368" w:rsidRPr="00595B72" w:rsidRDefault="00B11368" w:rsidP="00B64A24">
            <w:pPr>
              <w:spacing w:line="276" w:lineRule="auto"/>
              <w:rPr>
                <w:rFonts w:ascii="Century Gothic" w:eastAsia="Arial Narrow" w:hAnsi="Century Gothic"/>
                <w:b/>
              </w:rPr>
            </w:pPr>
            <w:r w:rsidRPr="00595B72">
              <w:rPr>
                <w:rFonts w:ascii="Century Gothic" w:eastAsia="Arial Narrow" w:hAnsi="Century Gothic"/>
                <w:b/>
              </w:rPr>
              <w:t>Guarantee:</w:t>
            </w:r>
          </w:p>
        </w:tc>
        <w:tc>
          <w:tcPr>
            <w:tcW w:w="4011" w:type="pct"/>
            <w:vAlign w:val="center"/>
          </w:tcPr>
          <w:p w14:paraId="36BA94A9"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Borrower’s Guarantor unconditionally and irrevocably guarantees to the Lender the</w:t>
            </w:r>
          </w:p>
          <w:p w14:paraId="2EE5E240"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due and punctual performance by the Borrower of its obligations under this Term Sheet.</w:t>
            </w:r>
          </w:p>
          <w:p w14:paraId="44257655"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Borrower’s Guarantor waives any rights it has of first requiring the Lender to</w:t>
            </w:r>
          </w:p>
          <w:p w14:paraId="6C3986D9"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commence proceeding or enforce any other right against the Borrower or any other person</w:t>
            </w:r>
          </w:p>
          <w:p w14:paraId="75F72937"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before claiming under this guarantee.</w:t>
            </w:r>
          </w:p>
          <w:p w14:paraId="25F522E3"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Lender may treat the Borrower’s Guarantor as a principal debtor jointly and severally</w:t>
            </w:r>
          </w:p>
          <w:p w14:paraId="48481457"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with the Borrower.</w:t>
            </w:r>
          </w:p>
          <w:p w14:paraId="10411816"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guarantee is a continuing security and is not discharged by any one payment.</w:t>
            </w:r>
          </w:p>
        </w:tc>
      </w:tr>
      <w:tr w:rsidR="00B11368" w14:paraId="29E71E86" w14:textId="77777777" w:rsidTr="00B64A24">
        <w:trPr>
          <w:trHeight w:val="1843"/>
        </w:trPr>
        <w:tc>
          <w:tcPr>
            <w:tcW w:w="989" w:type="pct"/>
            <w:vAlign w:val="center"/>
          </w:tcPr>
          <w:p w14:paraId="0CC6E3CD"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lastRenderedPageBreak/>
              <w:t>Costs and</w:t>
            </w:r>
          </w:p>
          <w:p w14:paraId="451DD742"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expenses</w:t>
            </w:r>
          </w:p>
        </w:tc>
        <w:tc>
          <w:tcPr>
            <w:tcW w:w="4011" w:type="pct"/>
            <w:vAlign w:val="center"/>
          </w:tcPr>
          <w:p w14:paraId="24D7EA20"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costs associated with the preparation of the Facility (including any formal agreements</w:t>
            </w:r>
          </w:p>
          <w:p w14:paraId="0A3D9DBA"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required by the Lender) and associated securities is to be paid by the Borrower by way of a</w:t>
            </w:r>
          </w:p>
          <w:p w14:paraId="78D8A2B6"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drawdown of funds under the Facility. Otherwise, each party bears its own costs.</w:t>
            </w:r>
          </w:p>
        </w:tc>
      </w:tr>
      <w:tr w:rsidR="00B11368" w14:paraId="6AD7AA88" w14:textId="77777777" w:rsidTr="00B64A24">
        <w:trPr>
          <w:trHeight w:val="1843"/>
        </w:trPr>
        <w:tc>
          <w:tcPr>
            <w:tcW w:w="989" w:type="pct"/>
            <w:vAlign w:val="center"/>
          </w:tcPr>
          <w:p w14:paraId="228ABEA4"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Confidentiality</w:t>
            </w:r>
          </w:p>
        </w:tc>
        <w:tc>
          <w:tcPr>
            <w:tcW w:w="4011" w:type="pct"/>
            <w:vAlign w:val="center"/>
          </w:tcPr>
          <w:p w14:paraId="3FC069C0"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The parties must keep confidential the terms and conditions of the Facility and will only</w:t>
            </w:r>
          </w:p>
          <w:p w14:paraId="53A5D23A"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discuss or disclosure the terms and conditions of that loan facility if required by law or as</w:t>
            </w:r>
          </w:p>
          <w:p w14:paraId="1B7ECEFE"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 xml:space="preserve">otherwise </w:t>
            </w:r>
            <w:proofErr w:type="spellStart"/>
            <w:r w:rsidRPr="00595B72">
              <w:rPr>
                <w:rFonts w:ascii="Century Gothic" w:eastAsia="Arial Narrow" w:hAnsi="Century Gothic"/>
              </w:rPr>
              <w:t>authorised</w:t>
            </w:r>
            <w:proofErr w:type="spellEnd"/>
            <w:r w:rsidRPr="00595B72">
              <w:rPr>
                <w:rFonts w:ascii="Century Gothic" w:eastAsia="Arial Narrow" w:hAnsi="Century Gothic"/>
              </w:rPr>
              <w:t xml:space="preserve"> by the other party.</w:t>
            </w:r>
          </w:p>
        </w:tc>
      </w:tr>
      <w:tr w:rsidR="00B11368" w14:paraId="6B48ED46" w14:textId="77777777" w:rsidTr="00B64A24">
        <w:trPr>
          <w:trHeight w:val="1843"/>
        </w:trPr>
        <w:tc>
          <w:tcPr>
            <w:tcW w:w="989" w:type="pct"/>
            <w:vAlign w:val="center"/>
          </w:tcPr>
          <w:p w14:paraId="6EB60F73"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Formal</w:t>
            </w:r>
          </w:p>
          <w:p w14:paraId="597BAC48"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Documents</w:t>
            </w:r>
          </w:p>
        </w:tc>
        <w:tc>
          <w:tcPr>
            <w:tcW w:w="4011" w:type="pct"/>
            <w:vAlign w:val="center"/>
          </w:tcPr>
          <w:p w14:paraId="788D2995"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If required by the Lender, the Lender will brief its attorney to prepare formal documents</w:t>
            </w:r>
          </w:p>
          <w:p w14:paraId="5A813AC1"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incorporating the provisions set out above and other terms customarily found in a loan</w:t>
            </w:r>
          </w:p>
          <w:p w14:paraId="2AB7E13F"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facility of this type.</w:t>
            </w:r>
          </w:p>
        </w:tc>
      </w:tr>
      <w:tr w:rsidR="00B11368" w14:paraId="27CCE430" w14:textId="77777777" w:rsidTr="00B64A24">
        <w:trPr>
          <w:trHeight w:val="1843"/>
        </w:trPr>
        <w:tc>
          <w:tcPr>
            <w:tcW w:w="989" w:type="pct"/>
            <w:vAlign w:val="center"/>
          </w:tcPr>
          <w:p w14:paraId="67C389E4"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Governing Law</w:t>
            </w:r>
          </w:p>
        </w:tc>
        <w:tc>
          <w:tcPr>
            <w:tcW w:w="4011" w:type="pct"/>
            <w:vAlign w:val="center"/>
          </w:tcPr>
          <w:p w14:paraId="538DEC95"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This agreement is governed by and construed in accordance with the laws of South Africa.</w:t>
            </w:r>
          </w:p>
          <w:p w14:paraId="06B9FA88"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Each party submits to the non-exclusive jurisdiction of the Courts of South Africa.</w:t>
            </w:r>
          </w:p>
        </w:tc>
      </w:tr>
      <w:tr w:rsidR="00B11368" w14:paraId="3F1CAD7E" w14:textId="77777777" w:rsidTr="00B64A24">
        <w:trPr>
          <w:trHeight w:val="1843"/>
        </w:trPr>
        <w:tc>
          <w:tcPr>
            <w:tcW w:w="989" w:type="pct"/>
            <w:vAlign w:val="center"/>
          </w:tcPr>
          <w:p w14:paraId="7A5AC26D" w14:textId="77777777"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Counterparts</w:t>
            </w:r>
          </w:p>
        </w:tc>
        <w:tc>
          <w:tcPr>
            <w:tcW w:w="4011" w:type="pct"/>
            <w:vAlign w:val="center"/>
          </w:tcPr>
          <w:p w14:paraId="06E1CA42"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This Term Sheet may be signed in counterparts which together will constitute one</w:t>
            </w:r>
          </w:p>
          <w:p w14:paraId="1F1906CB"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instrument. A party may execute this Term Sheet by signing any counterpart. A party may</w:t>
            </w:r>
          </w:p>
          <w:p w14:paraId="1E2651CB"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execute this Term Sheet or any counterpart by facsimile.</w:t>
            </w:r>
          </w:p>
        </w:tc>
      </w:tr>
      <w:tr w:rsidR="00B11368" w14:paraId="1DA34012" w14:textId="77777777" w:rsidTr="00B64A24">
        <w:trPr>
          <w:trHeight w:val="1843"/>
        </w:trPr>
        <w:tc>
          <w:tcPr>
            <w:tcW w:w="989" w:type="pct"/>
            <w:vAlign w:val="center"/>
          </w:tcPr>
          <w:p w14:paraId="5928DF16" w14:textId="77777777" w:rsidR="00B64A24"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 xml:space="preserve">Binding Nature </w:t>
            </w:r>
          </w:p>
          <w:p w14:paraId="4A387EF5" w14:textId="7648927E" w:rsidR="00B11368" w:rsidRPr="00595B72" w:rsidRDefault="00B11368" w:rsidP="00B64A24">
            <w:pPr>
              <w:spacing w:line="276" w:lineRule="auto"/>
              <w:ind w:left="100"/>
              <w:rPr>
                <w:rFonts w:ascii="Century Gothic" w:eastAsia="Arial Narrow" w:hAnsi="Century Gothic"/>
                <w:b/>
              </w:rPr>
            </w:pPr>
            <w:r w:rsidRPr="00595B72">
              <w:rPr>
                <w:rFonts w:ascii="Century Gothic" w:eastAsia="Arial Narrow" w:hAnsi="Century Gothic"/>
                <w:b/>
              </w:rPr>
              <w:t>of</w:t>
            </w:r>
            <w:r w:rsidR="00595B72">
              <w:rPr>
                <w:rFonts w:ascii="Century Gothic" w:eastAsia="Arial Narrow" w:hAnsi="Century Gothic"/>
                <w:b/>
              </w:rPr>
              <w:t xml:space="preserve"> </w:t>
            </w:r>
            <w:r w:rsidRPr="00595B72">
              <w:rPr>
                <w:rFonts w:ascii="Century Gothic" w:eastAsia="Arial Narrow" w:hAnsi="Century Gothic"/>
                <w:b/>
              </w:rPr>
              <w:t>this Term Sheet</w:t>
            </w:r>
          </w:p>
        </w:tc>
        <w:tc>
          <w:tcPr>
            <w:tcW w:w="4011" w:type="pct"/>
            <w:vAlign w:val="center"/>
          </w:tcPr>
          <w:p w14:paraId="746B6214"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This Term Sheet is intended to be a binding legal agreement between the parties which</w:t>
            </w:r>
          </w:p>
          <w:p w14:paraId="569E9ABE" w14:textId="77777777" w:rsidR="00B11368" w:rsidRPr="00595B72" w:rsidRDefault="00B11368" w:rsidP="00B64A24">
            <w:pPr>
              <w:spacing w:line="276" w:lineRule="auto"/>
              <w:ind w:left="120"/>
              <w:rPr>
                <w:rFonts w:ascii="Century Gothic" w:eastAsia="Arial Narrow" w:hAnsi="Century Gothic"/>
              </w:rPr>
            </w:pPr>
            <w:r w:rsidRPr="00595B72">
              <w:rPr>
                <w:rFonts w:ascii="Century Gothic" w:eastAsia="Arial Narrow" w:hAnsi="Century Gothic"/>
              </w:rPr>
              <w:t>becomes binding upon execution of this Term Sheet.</w:t>
            </w:r>
          </w:p>
        </w:tc>
      </w:tr>
    </w:tbl>
    <w:p w14:paraId="1ADDAC3D" w14:textId="77777777" w:rsidR="00335451" w:rsidRPr="009C3BE3" w:rsidRDefault="00335451" w:rsidP="00B64A24">
      <w:pPr>
        <w:tabs>
          <w:tab w:val="left" w:pos="7860"/>
        </w:tabs>
        <w:spacing w:line="276" w:lineRule="auto"/>
        <w:rPr>
          <w:rFonts w:ascii="Century Gothic" w:eastAsia="Arial Narrow" w:hAnsi="Century Gothic"/>
          <w:sz w:val="14"/>
        </w:rPr>
        <w:sectPr w:rsidR="00335451" w:rsidRPr="009C3BE3" w:rsidSect="00B64A24">
          <w:type w:val="continuous"/>
          <w:pgSz w:w="11900" w:h="16840"/>
          <w:pgMar w:top="1440" w:right="1080" w:bottom="1440" w:left="1080" w:header="0" w:footer="720" w:gutter="0"/>
          <w:cols w:space="0" w:equalWidth="0">
            <w:col w:w="9540"/>
          </w:cols>
          <w:docGrid w:linePitch="360"/>
        </w:sectPr>
      </w:pPr>
    </w:p>
    <w:p w14:paraId="45254E64" w14:textId="77777777" w:rsidR="00335451" w:rsidRPr="009C3BE3" w:rsidRDefault="00335451" w:rsidP="00B64A24">
      <w:pPr>
        <w:spacing w:line="276" w:lineRule="auto"/>
        <w:rPr>
          <w:rFonts w:ascii="Century Gothic" w:eastAsia="Times New Roman" w:hAnsi="Century Gothic"/>
        </w:rPr>
      </w:pPr>
      <w:bookmarkStart w:id="1" w:name="page4"/>
      <w:bookmarkEnd w:id="1"/>
    </w:p>
    <w:p w14:paraId="6A2DC9CD" w14:textId="77777777" w:rsidR="00335451" w:rsidRPr="009C3BE3" w:rsidRDefault="00335451" w:rsidP="00B64A24">
      <w:pPr>
        <w:spacing w:line="276" w:lineRule="auto"/>
        <w:rPr>
          <w:rFonts w:ascii="Century Gothic" w:eastAsia="Times New Roman" w:hAnsi="Century Gothic"/>
        </w:rPr>
      </w:pPr>
      <w:bookmarkStart w:id="2" w:name="_GoBack"/>
      <w:bookmarkEnd w:id="2"/>
    </w:p>
    <w:p w14:paraId="79A3AEE9" w14:textId="77777777" w:rsidR="00335451" w:rsidRPr="009C3BE3" w:rsidRDefault="00335451" w:rsidP="00B64A24">
      <w:pPr>
        <w:spacing w:line="276" w:lineRule="auto"/>
        <w:rPr>
          <w:rFonts w:ascii="Century Gothic" w:eastAsia="Times New Roman" w:hAnsi="Century Gothic"/>
        </w:rPr>
      </w:pPr>
    </w:p>
    <w:p w14:paraId="177A2100" w14:textId="77777777" w:rsidR="00335451" w:rsidRPr="009C3BE3" w:rsidRDefault="00335451" w:rsidP="00B64A24">
      <w:pPr>
        <w:spacing w:line="276" w:lineRule="auto"/>
        <w:rPr>
          <w:rFonts w:ascii="Century Gothic" w:eastAsia="Times New Roman" w:hAnsi="Century Gothic"/>
        </w:rPr>
      </w:pPr>
    </w:p>
    <w:p w14:paraId="4350B652" w14:textId="77777777" w:rsidR="00335451" w:rsidRPr="009C3BE3" w:rsidRDefault="00335451" w:rsidP="00B64A24">
      <w:pPr>
        <w:tabs>
          <w:tab w:val="left" w:pos="7740"/>
        </w:tabs>
        <w:spacing w:line="276" w:lineRule="auto"/>
        <w:rPr>
          <w:rFonts w:ascii="Century Gothic" w:eastAsia="Arial Narrow" w:hAnsi="Century Gothic"/>
          <w:sz w:val="14"/>
        </w:rPr>
      </w:pPr>
    </w:p>
    <w:sectPr w:rsidR="00335451" w:rsidRPr="009C3BE3" w:rsidSect="00B64A24">
      <w:type w:val="continuous"/>
      <w:pgSz w:w="11900" w:h="16840"/>
      <w:pgMar w:top="1440" w:right="1080" w:bottom="1440" w:left="1080" w:header="0" w:footer="0" w:gutter="0"/>
      <w:cols w:space="0" w:equalWidth="0">
        <w:col w:w="9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7100" w14:textId="77777777" w:rsidR="00B64A24" w:rsidRDefault="00B64A24" w:rsidP="00B64A24">
      <w:r>
        <w:separator/>
      </w:r>
    </w:p>
  </w:endnote>
  <w:endnote w:type="continuationSeparator" w:id="0">
    <w:p w14:paraId="31DC2321" w14:textId="77777777" w:rsidR="00B64A24" w:rsidRDefault="00B64A24" w:rsidP="00B6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9022155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1D85E45" w14:textId="7E83D015" w:rsidR="00B64A24" w:rsidRPr="00B64A24" w:rsidRDefault="00B64A24" w:rsidP="00B64A24">
            <w:pPr>
              <w:pStyle w:val="Footer"/>
              <w:jc w:val="right"/>
              <w:rPr>
                <w:rFonts w:ascii="Century Gothic" w:hAnsi="Century Gothic"/>
                <w:sz w:val="16"/>
                <w:szCs w:val="16"/>
              </w:rPr>
            </w:pPr>
            <w:r w:rsidRPr="00B64A24">
              <w:rPr>
                <w:rFonts w:ascii="Century Gothic" w:hAnsi="Century Gothic"/>
                <w:sz w:val="16"/>
                <w:szCs w:val="16"/>
              </w:rPr>
              <w:t xml:space="preserve">Page </w:t>
            </w:r>
            <w:r w:rsidRPr="00B64A24">
              <w:rPr>
                <w:rFonts w:ascii="Century Gothic" w:hAnsi="Century Gothic"/>
                <w:b/>
                <w:bCs/>
                <w:sz w:val="16"/>
                <w:szCs w:val="16"/>
              </w:rPr>
              <w:fldChar w:fldCharType="begin"/>
            </w:r>
            <w:r w:rsidRPr="00B64A24">
              <w:rPr>
                <w:rFonts w:ascii="Century Gothic" w:hAnsi="Century Gothic"/>
                <w:b/>
                <w:bCs/>
                <w:sz w:val="16"/>
                <w:szCs w:val="16"/>
              </w:rPr>
              <w:instrText xml:space="preserve"> PAGE </w:instrText>
            </w:r>
            <w:r w:rsidRPr="00B64A24">
              <w:rPr>
                <w:rFonts w:ascii="Century Gothic" w:hAnsi="Century Gothic"/>
                <w:b/>
                <w:bCs/>
                <w:sz w:val="16"/>
                <w:szCs w:val="16"/>
              </w:rPr>
              <w:fldChar w:fldCharType="separate"/>
            </w:r>
            <w:r w:rsidRPr="00B64A24">
              <w:rPr>
                <w:rFonts w:ascii="Century Gothic" w:hAnsi="Century Gothic"/>
                <w:b/>
                <w:bCs/>
                <w:noProof/>
                <w:sz w:val="16"/>
                <w:szCs w:val="16"/>
              </w:rPr>
              <w:t>2</w:t>
            </w:r>
            <w:r w:rsidRPr="00B64A24">
              <w:rPr>
                <w:rFonts w:ascii="Century Gothic" w:hAnsi="Century Gothic"/>
                <w:b/>
                <w:bCs/>
                <w:sz w:val="16"/>
                <w:szCs w:val="16"/>
              </w:rPr>
              <w:fldChar w:fldCharType="end"/>
            </w:r>
            <w:r w:rsidRPr="00B64A24">
              <w:rPr>
                <w:rFonts w:ascii="Century Gothic" w:hAnsi="Century Gothic"/>
                <w:sz w:val="16"/>
                <w:szCs w:val="16"/>
              </w:rPr>
              <w:t xml:space="preserve"> of </w:t>
            </w:r>
            <w:r w:rsidRPr="00B64A24">
              <w:rPr>
                <w:rFonts w:ascii="Century Gothic" w:hAnsi="Century Gothic"/>
                <w:b/>
                <w:bCs/>
                <w:sz w:val="16"/>
                <w:szCs w:val="16"/>
              </w:rPr>
              <w:fldChar w:fldCharType="begin"/>
            </w:r>
            <w:r w:rsidRPr="00B64A24">
              <w:rPr>
                <w:rFonts w:ascii="Century Gothic" w:hAnsi="Century Gothic"/>
                <w:b/>
                <w:bCs/>
                <w:sz w:val="16"/>
                <w:szCs w:val="16"/>
              </w:rPr>
              <w:instrText xml:space="preserve"> NUMPAGES  </w:instrText>
            </w:r>
            <w:r w:rsidRPr="00B64A24">
              <w:rPr>
                <w:rFonts w:ascii="Century Gothic" w:hAnsi="Century Gothic"/>
                <w:b/>
                <w:bCs/>
                <w:sz w:val="16"/>
                <w:szCs w:val="16"/>
              </w:rPr>
              <w:fldChar w:fldCharType="separate"/>
            </w:r>
            <w:r w:rsidRPr="00B64A24">
              <w:rPr>
                <w:rFonts w:ascii="Century Gothic" w:hAnsi="Century Gothic"/>
                <w:b/>
                <w:bCs/>
                <w:noProof/>
                <w:sz w:val="16"/>
                <w:szCs w:val="16"/>
              </w:rPr>
              <w:t>2</w:t>
            </w:r>
            <w:r w:rsidRPr="00B64A2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C12E" w14:textId="77777777" w:rsidR="00B64A24" w:rsidRDefault="00B64A24" w:rsidP="00B64A24">
      <w:r>
        <w:separator/>
      </w:r>
    </w:p>
  </w:footnote>
  <w:footnote w:type="continuationSeparator" w:id="0">
    <w:p w14:paraId="656BFA50" w14:textId="77777777" w:rsidR="00B64A24" w:rsidRDefault="00B64A24" w:rsidP="00B6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DD26B7FE">
      <w:start w:val="1"/>
      <w:numFmt w:val="bullet"/>
      <w:lvlText w:val="−"/>
      <w:lvlJc w:val="left"/>
    </w:lvl>
    <w:lvl w:ilvl="1" w:tplc="083402AE">
      <w:start w:val="1"/>
      <w:numFmt w:val="bullet"/>
      <w:lvlText w:val=""/>
      <w:lvlJc w:val="left"/>
    </w:lvl>
    <w:lvl w:ilvl="2" w:tplc="0FB299C8">
      <w:start w:val="1"/>
      <w:numFmt w:val="bullet"/>
      <w:lvlText w:val=""/>
      <w:lvlJc w:val="left"/>
    </w:lvl>
    <w:lvl w:ilvl="3" w:tplc="1A768278">
      <w:start w:val="1"/>
      <w:numFmt w:val="bullet"/>
      <w:lvlText w:val=""/>
      <w:lvlJc w:val="left"/>
    </w:lvl>
    <w:lvl w:ilvl="4" w:tplc="D3529EEE">
      <w:start w:val="1"/>
      <w:numFmt w:val="bullet"/>
      <w:lvlText w:val=""/>
      <w:lvlJc w:val="left"/>
    </w:lvl>
    <w:lvl w:ilvl="5" w:tplc="97ECCDEC">
      <w:start w:val="1"/>
      <w:numFmt w:val="bullet"/>
      <w:lvlText w:val=""/>
      <w:lvlJc w:val="left"/>
    </w:lvl>
    <w:lvl w:ilvl="6" w:tplc="7CBA787E">
      <w:start w:val="1"/>
      <w:numFmt w:val="bullet"/>
      <w:lvlText w:val=""/>
      <w:lvlJc w:val="left"/>
    </w:lvl>
    <w:lvl w:ilvl="7" w:tplc="0C4E62DC">
      <w:start w:val="1"/>
      <w:numFmt w:val="bullet"/>
      <w:lvlText w:val=""/>
      <w:lvlJc w:val="left"/>
    </w:lvl>
    <w:lvl w:ilvl="8" w:tplc="F8929032">
      <w:start w:val="1"/>
      <w:numFmt w:val="bullet"/>
      <w:lvlText w:val=""/>
      <w:lvlJc w:val="left"/>
    </w:lvl>
  </w:abstractNum>
  <w:abstractNum w:abstractNumId="1" w15:restartNumberingAfterBreak="0">
    <w:nsid w:val="00000002"/>
    <w:multiLevelType w:val="hybridMultilevel"/>
    <w:tmpl w:val="46E87CCC"/>
    <w:lvl w:ilvl="0" w:tplc="2398E118">
      <w:start w:val="15"/>
      <w:numFmt w:val="lowerLetter"/>
      <w:lvlText w:val="%1"/>
      <w:lvlJc w:val="left"/>
    </w:lvl>
    <w:lvl w:ilvl="1" w:tplc="0B426156">
      <w:start w:val="1"/>
      <w:numFmt w:val="bullet"/>
      <w:lvlText w:val=""/>
      <w:lvlJc w:val="left"/>
    </w:lvl>
    <w:lvl w:ilvl="2" w:tplc="80B083B4">
      <w:start w:val="1"/>
      <w:numFmt w:val="bullet"/>
      <w:lvlText w:val=""/>
      <w:lvlJc w:val="left"/>
    </w:lvl>
    <w:lvl w:ilvl="3" w:tplc="30128DB0">
      <w:start w:val="1"/>
      <w:numFmt w:val="bullet"/>
      <w:lvlText w:val=""/>
      <w:lvlJc w:val="left"/>
    </w:lvl>
    <w:lvl w:ilvl="4" w:tplc="2A9E75A0">
      <w:start w:val="1"/>
      <w:numFmt w:val="bullet"/>
      <w:lvlText w:val=""/>
      <w:lvlJc w:val="left"/>
    </w:lvl>
    <w:lvl w:ilvl="5" w:tplc="165C12FE">
      <w:start w:val="1"/>
      <w:numFmt w:val="bullet"/>
      <w:lvlText w:val=""/>
      <w:lvlJc w:val="left"/>
    </w:lvl>
    <w:lvl w:ilvl="6" w:tplc="F662A180">
      <w:start w:val="1"/>
      <w:numFmt w:val="bullet"/>
      <w:lvlText w:val=""/>
      <w:lvlJc w:val="left"/>
    </w:lvl>
    <w:lvl w:ilvl="7" w:tplc="144864BA">
      <w:start w:val="1"/>
      <w:numFmt w:val="bullet"/>
      <w:lvlText w:val=""/>
      <w:lvlJc w:val="left"/>
    </w:lvl>
    <w:lvl w:ilvl="8" w:tplc="BE1EFC54">
      <w:start w:val="1"/>
      <w:numFmt w:val="bullet"/>
      <w:lvlText w:val=""/>
      <w:lvlJc w:val="left"/>
    </w:lvl>
  </w:abstractNum>
  <w:abstractNum w:abstractNumId="2" w15:restartNumberingAfterBreak="0">
    <w:nsid w:val="00000003"/>
    <w:multiLevelType w:val="hybridMultilevel"/>
    <w:tmpl w:val="3D1B58BA"/>
    <w:lvl w:ilvl="0" w:tplc="217E558E">
      <w:start w:val="15"/>
      <w:numFmt w:val="lowerLetter"/>
      <w:lvlText w:val="%1"/>
      <w:lvlJc w:val="left"/>
    </w:lvl>
    <w:lvl w:ilvl="1" w:tplc="A44EC990">
      <w:start w:val="1"/>
      <w:numFmt w:val="bullet"/>
      <w:lvlText w:val=""/>
      <w:lvlJc w:val="left"/>
    </w:lvl>
    <w:lvl w:ilvl="2" w:tplc="4B324F26">
      <w:start w:val="1"/>
      <w:numFmt w:val="bullet"/>
      <w:lvlText w:val=""/>
      <w:lvlJc w:val="left"/>
    </w:lvl>
    <w:lvl w:ilvl="3" w:tplc="D48692BA">
      <w:start w:val="1"/>
      <w:numFmt w:val="bullet"/>
      <w:lvlText w:val=""/>
      <w:lvlJc w:val="left"/>
    </w:lvl>
    <w:lvl w:ilvl="4" w:tplc="9246FB2A">
      <w:start w:val="1"/>
      <w:numFmt w:val="bullet"/>
      <w:lvlText w:val=""/>
      <w:lvlJc w:val="left"/>
    </w:lvl>
    <w:lvl w:ilvl="5" w:tplc="47F4AAB8">
      <w:start w:val="1"/>
      <w:numFmt w:val="bullet"/>
      <w:lvlText w:val=""/>
      <w:lvlJc w:val="left"/>
    </w:lvl>
    <w:lvl w:ilvl="6" w:tplc="D4DA2DA8">
      <w:start w:val="1"/>
      <w:numFmt w:val="bullet"/>
      <w:lvlText w:val=""/>
      <w:lvlJc w:val="left"/>
    </w:lvl>
    <w:lvl w:ilvl="7" w:tplc="F1665890">
      <w:start w:val="1"/>
      <w:numFmt w:val="bullet"/>
      <w:lvlText w:val=""/>
      <w:lvlJc w:val="left"/>
    </w:lvl>
    <w:lvl w:ilvl="8" w:tplc="E3A0FE0C">
      <w:start w:val="1"/>
      <w:numFmt w:val="bullet"/>
      <w:lvlText w:val=""/>
      <w:lvlJc w:val="left"/>
    </w:lvl>
  </w:abstractNum>
  <w:abstractNum w:abstractNumId="3" w15:restartNumberingAfterBreak="0">
    <w:nsid w:val="00000004"/>
    <w:multiLevelType w:val="hybridMultilevel"/>
    <w:tmpl w:val="507ED7AA"/>
    <w:lvl w:ilvl="0" w:tplc="243EA8F4">
      <w:start w:val="1"/>
      <w:numFmt w:val="bullet"/>
      <w:lvlText w:val="•"/>
      <w:lvlJc w:val="left"/>
    </w:lvl>
    <w:lvl w:ilvl="1" w:tplc="19B6C20C">
      <w:start w:val="1"/>
      <w:numFmt w:val="bullet"/>
      <w:lvlText w:val=""/>
      <w:lvlJc w:val="left"/>
    </w:lvl>
    <w:lvl w:ilvl="2" w:tplc="DB749AB6">
      <w:start w:val="1"/>
      <w:numFmt w:val="bullet"/>
      <w:lvlText w:val=""/>
      <w:lvlJc w:val="left"/>
    </w:lvl>
    <w:lvl w:ilvl="3" w:tplc="A8C403BE">
      <w:start w:val="1"/>
      <w:numFmt w:val="bullet"/>
      <w:lvlText w:val=""/>
      <w:lvlJc w:val="left"/>
    </w:lvl>
    <w:lvl w:ilvl="4" w:tplc="E89C2888">
      <w:start w:val="1"/>
      <w:numFmt w:val="bullet"/>
      <w:lvlText w:val=""/>
      <w:lvlJc w:val="left"/>
    </w:lvl>
    <w:lvl w:ilvl="5" w:tplc="65562172">
      <w:start w:val="1"/>
      <w:numFmt w:val="bullet"/>
      <w:lvlText w:val=""/>
      <w:lvlJc w:val="left"/>
    </w:lvl>
    <w:lvl w:ilvl="6" w:tplc="6B982EF0">
      <w:start w:val="1"/>
      <w:numFmt w:val="bullet"/>
      <w:lvlText w:val=""/>
      <w:lvlJc w:val="left"/>
    </w:lvl>
    <w:lvl w:ilvl="7" w:tplc="0C5C7B3E">
      <w:start w:val="1"/>
      <w:numFmt w:val="bullet"/>
      <w:lvlText w:val=""/>
      <w:lvlJc w:val="left"/>
    </w:lvl>
    <w:lvl w:ilvl="8" w:tplc="5D087900">
      <w:start w:val="1"/>
      <w:numFmt w:val="bullet"/>
      <w:lvlText w:val=""/>
      <w:lvlJc w:val="left"/>
    </w:lvl>
  </w:abstractNum>
  <w:abstractNum w:abstractNumId="4" w15:restartNumberingAfterBreak="0">
    <w:nsid w:val="00000005"/>
    <w:multiLevelType w:val="hybridMultilevel"/>
    <w:tmpl w:val="2EB141F2"/>
    <w:lvl w:ilvl="0" w:tplc="56FC5872">
      <w:start w:val="1"/>
      <w:numFmt w:val="bullet"/>
      <w:lvlText w:val="•"/>
      <w:lvlJc w:val="left"/>
    </w:lvl>
    <w:lvl w:ilvl="1" w:tplc="6DC232D6">
      <w:start w:val="1"/>
      <w:numFmt w:val="bullet"/>
      <w:lvlText w:val=""/>
      <w:lvlJc w:val="left"/>
    </w:lvl>
    <w:lvl w:ilvl="2" w:tplc="9E3286A6">
      <w:start w:val="1"/>
      <w:numFmt w:val="bullet"/>
      <w:lvlText w:val=""/>
      <w:lvlJc w:val="left"/>
    </w:lvl>
    <w:lvl w:ilvl="3" w:tplc="FA0C380C">
      <w:start w:val="1"/>
      <w:numFmt w:val="bullet"/>
      <w:lvlText w:val=""/>
      <w:lvlJc w:val="left"/>
    </w:lvl>
    <w:lvl w:ilvl="4" w:tplc="7C1E0B4A">
      <w:start w:val="1"/>
      <w:numFmt w:val="bullet"/>
      <w:lvlText w:val=""/>
      <w:lvlJc w:val="left"/>
    </w:lvl>
    <w:lvl w:ilvl="5" w:tplc="8D7C3F98">
      <w:start w:val="1"/>
      <w:numFmt w:val="bullet"/>
      <w:lvlText w:val=""/>
      <w:lvlJc w:val="left"/>
    </w:lvl>
    <w:lvl w:ilvl="6" w:tplc="1C381662">
      <w:start w:val="1"/>
      <w:numFmt w:val="bullet"/>
      <w:lvlText w:val=""/>
      <w:lvlJc w:val="left"/>
    </w:lvl>
    <w:lvl w:ilvl="7" w:tplc="1262AD5A">
      <w:start w:val="1"/>
      <w:numFmt w:val="bullet"/>
      <w:lvlText w:val=""/>
      <w:lvlJc w:val="left"/>
    </w:lvl>
    <w:lvl w:ilvl="8" w:tplc="E452AD72">
      <w:start w:val="1"/>
      <w:numFmt w:val="bullet"/>
      <w:lvlText w:val=""/>
      <w:lvlJc w:val="left"/>
    </w:lvl>
  </w:abstractNum>
  <w:abstractNum w:abstractNumId="5" w15:restartNumberingAfterBreak="0">
    <w:nsid w:val="00000006"/>
    <w:multiLevelType w:val="hybridMultilevel"/>
    <w:tmpl w:val="41B71EFA"/>
    <w:lvl w:ilvl="0" w:tplc="7FAEC40A">
      <w:start w:val="1"/>
      <w:numFmt w:val="bullet"/>
      <w:lvlText w:val="•"/>
      <w:lvlJc w:val="left"/>
    </w:lvl>
    <w:lvl w:ilvl="1" w:tplc="61127A2C">
      <w:start w:val="1"/>
      <w:numFmt w:val="bullet"/>
      <w:lvlText w:val=""/>
      <w:lvlJc w:val="left"/>
    </w:lvl>
    <w:lvl w:ilvl="2" w:tplc="50A2A9D4">
      <w:start w:val="1"/>
      <w:numFmt w:val="bullet"/>
      <w:lvlText w:val=""/>
      <w:lvlJc w:val="left"/>
    </w:lvl>
    <w:lvl w:ilvl="3" w:tplc="A380D0C8">
      <w:start w:val="1"/>
      <w:numFmt w:val="bullet"/>
      <w:lvlText w:val=""/>
      <w:lvlJc w:val="left"/>
    </w:lvl>
    <w:lvl w:ilvl="4" w:tplc="41B4EE66">
      <w:start w:val="1"/>
      <w:numFmt w:val="bullet"/>
      <w:lvlText w:val=""/>
      <w:lvlJc w:val="left"/>
    </w:lvl>
    <w:lvl w:ilvl="5" w:tplc="50A42ED8">
      <w:start w:val="1"/>
      <w:numFmt w:val="bullet"/>
      <w:lvlText w:val=""/>
      <w:lvlJc w:val="left"/>
    </w:lvl>
    <w:lvl w:ilvl="6" w:tplc="87567E2A">
      <w:start w:val="1"/>
      <w:numFmt w:val="bullet"/>
      <w:lvlText w:val=""/>
      <w:lvlJc w:val="left"/>
    </w:lvl>
    <w:lvl w:ilvl="7" w:tplc="B4BAD0B2">
      <w:start w:val="1"/>
      <w:numFmt w:val="bullet"/>
      <w:lvlText w:val=""/>
      <w:lvlJc w:val="left"/>
    </w:lvl>
    <w:lvl w:ilvl="8" w:tplc="B1CEA1D4">
      <w:start w:val="1"/>
      <w:numFmt w:val="bullet"/>
      <w:lvlText w:val=""/>
      <w:lvlJc w:val="left"/>
    </w:lvl>
  </w:abstractNum>
  <w:abstractNum w:abstractNumId="6" w15:restartNumberingAfterBreak="0">
    <w:nsid w:val="00000007"/>
    <w:multiLevelType w:val="hybridMultilevel"/>
    <w:tmpl w:val="79E2A9E2"/>
    <w:lvl w:ilvl="0" w:tplc="90A8F942">
      <w:start w:val="1"/>
      <w:numFmt w:val="bullet"/>
      <w:lvlText w:val="•"/>
      <w:lvlJc w:val="left"/>
    </w:lvl>
    <w:lvl w:ilvl="1" w:tplc="18A0F0A2">
      <w:start w:val="1"/>
      <w:numFmt w:val="bullet"/>
      <w:lvlText w:val=""/>
      <w:lvlJc w:val="left"/>
    </w:lvl>
    <w:lvl w:ilvl="2" w:tplc="371236DE">
      <w:start w:val="1"/>
      <w:numFmt w:val="bullet"/>
      <w:lvlText w:val=""/>
      <w:lvlJc w:val="left"/>
    </w:lvl>
    <w:lvl w:ilvl="3" w:tplc="2B803674">
      <w:start w:val="1"/>
      <w:numFmt w:val="bullet"/>
      <w:lvlText w:val=""/>
      <w:lvlJc w:val="left"/>
    </w:lvl>
    <w:lvl w:ilvl="4" w:tplc="92B00236">
      <w:start w:val="1"/>
      <w:numFmt w:val="bullet"/>
      <w:lvlText w:val=""/>
      <w:lvlJc w:val="left"/>
    </w:lvl>
    <w:lvl w:ilvl="5" w:tplc="33F82184">
      <w:start w:val="1"/>
      <w:numFmt w:val="bullet"/>
      <w:lvlText w:val=""/>
      <w:lvlJc w:val="left"/>
    </w:lvl>
    <w:lvl w:ilvl="6" w:tplc="3F36493A">
      <w:start w:val="1"/>
      <w:numFmt w:val="bullet"/>
      <w:lvlText w:val=""/>
      <w:lvlJc w:val="left"/>
    </w:lvl>
    <w:lvl w:ilvl="7" w:tplc="C59A5EB4">
      <w:start w:val="1"/>
      <w:numFmt w:val="bullet"/>
      <w:lvlText w:val=""/>
      <w:lvlJc w:val="left"/>
    </w:lvl>
    <w:lvl w:ilvl="8" w:tplc="AB6E1F40">
      <w:start w:val="1"/>
      <w:numFmt w:val="bullet"/>
      <w:lvlText w:val=""/>
      <w:lvlJc w:val="left"/>
    </w:lvl>
  </w:abstractNum>
  <w:abstractNum w:abstractNumId="7" w15:restartNumberingAfterBreak="0">
    <w:nsid w:val="00000008"/>
    <w:multiLevelType w:val="hybridMultilevel"/>
    <w:tmpl w:val="7545E146"/>
    <w:lvl w:ilvl="0" w:tplc="2B7A415A">
      <w:start w:val="1"/>
      <w:numFmt w:val="bullet"/>
      <w:lvlText w:val="•"/>
      <w:lvlJc w:val="left"/>
    </w:lvl>
    <w:lvl w:ilvl="1" w:tplc="7AF2089A">
      <w:start w:val="1"/>
      <w:numFmt w:val="bullet"/>
      <w:lvlText w:val=""/>
      <w:lvlJc w:val="left"/>
    </w:lvl>
    <w:lvl w:ilvl="2" w:tplc="419A2D90">
      <w:start w:val="1"/>
      <w:numFmt w:val="bullet"/>
      <w:lvlText w:val=""/>
      <w:lvlJc w:val="left"/>
    </w:lvl>
    <w:lvl w:ilvl="3" w:tplc="6BE6BE68">
      <w:start w:val="1"/>
      <w:numFmt w:val="bullet"/>
      <w:lvlText w:val=""/>
      <w:lvlJc w:val="left"/>
    </w:lvl>
    <w:lvl w:ilvl="4" w:tplc="11E00A5A">
      <w:start w:val="1"/>
      <w:numFmt w:val="bullet"/>
      <w:lvlText w:val=""/>
      <w:lvlJc w:val="left"/>
    </w:lvl>
    <w:lvl w:ilvl="5" w:tplc="7108D15A">
      <w:start w:val="1"/>
      <w:numFmt w:val="bullet"/>
      <w:lvlText w:val=""/>
      <w:lvlJc w:val="left"/>
    </w:lvl>
    <w:lvl w:ilvl="6" w:tplc="0DF4A9BE">
      <w:start w:val="1"/>
      <w:numFmt w:val="bullet"/>
      <w:lvlText w:val=""/>
      <w:lvlJc w:val="left"/>
    </w:lvl>
    <w:lvl w:ilvl="7" w:tplc="87E496B8">
      <w:start w:val="1"/>
      <w:numFmt w:val="bullet"/>
      <w:lvlText w:val=""/>
      <w:lvlJc w:val="left"/>
    </w:lvl>
    <w:lvl w:ilvl="8" w:tplc="91DE6C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E3"/>
    <w:rsid w:val="00335451"/>
    <w:rsid w:val="00595B72"/>
    <w:rsid w:val="00636A36"/>
    <w:rsid w:val="00864261"/>
    <w:rsid w:val="009C3BE3"/>
    <w:rsid w:val="00B11368"/>
    <w:rsid w:val="00B64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80A6D"/>
  <w15:chartTrackingRefBased/>
  <w15:docId w15:val="{E494D26D-3336-44DB-BEC6-9E62834B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B64A24"/>
    <w:pPr>
      <w:tabs>
        <w:tab w:val="center" w:pos="4680"/>
        <w:tab w:val="right" w:pos="9360"/>
      </w:tabs>
    </w:pPr>
  </w:style>
  <w:style w:type="character" w:customStyle="1" w:styleId="HeaderChar">
    <w:name w:val="Header Char"/>
    <w:basedOn w:val="DefaultParagraphFont"/>
    <w:link w:val="Header"/>
    <w:uiPriority w:val="99"/>
    <w:rsid w:val="00B64A24"/>
  </w:style>
  <w:style w:type="paragraph" w:styleId="Footer">
    <w:name w:val="footer"/>
    <w:basedOn w:val="Normal"/>
    <w:link w:val="FooterChar"/>
    <w:uiPriority w:val="99"/>
    <w:unhideWhenUsed/>
    <w:rsid w:val="00B64A24"/>
    <w:pPr>
      <w:tabs>
        <w:tab w:val="center" w:pos="4680"/>
        <w:tab w:val="right" w:pos="9360"/>
      </w:tabs>
    </w:pPr>
  </w:style>
  <w:style w:type="character" w:customStyle="1" w:styleId="FooterChar">
    <w:name w:val="Footer Char"/>
    <w:basedOn w:val="DefaultParagraphFont"/>
    <w:link w:val="Footer"/>
    <w:uiPriority w:val="99"/>
    <w:rsid w:val="00B6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2022-08-08T20:02:00Z</dcterms:created>
  <dcterms:modified xsi:type="dcterms:W3CDTF">2022-08-23T20:57:00Z</dcterms:modified>
</cp:coreProperties>
</file>