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CA01" w14:textId="7E59141C" w:rsidR="00A264C5" w:rsidRPr="004210F6" w:rsidRDefault="004210F6" w:rsidP="00D61B17">
      <w:pPr>
        <w:spacing w:before="166"/>
        <w:ind w:left="252"/>
        <w:jc w:val="center"/>
        <w:rPr>
          <w:rFonts w:ascii="Lato" w:hAnsi="Lato"/>
          <w:b/>
          <w:sz w:val="52"/>
          <w:u w:val="single"/>
        </w:rPr>
      </w:pPr>
      <w:r w:rsidRPr="004210F6">
        <w:rPr>
          <w:rFonts w:ascii="Lato" w:hAnsi="Lato"/>
          <w:b/>
          <w:sz w:val="52"/>
          <w:u w:val="single"/>
        </w:rPr>
        <w:t>Harvard Referencing</w:t>
      </w:r>
    </w:p>
    <w:p w14:paraId="19926CFF" w14:textId="77777777" w:rsidR="00A264C5" w:rsidRPr="004210F6" w:rsidRDefault="004210F6" w:rsidP="00D61B17">
      <w:pPr>
        <w:spacing w:before="85"/>
        <w:ind w:left="252"/>
        <w:jc w:val="center"/>
        <w:rPr>
          <w:rFonts w:ascii="Lato" w:hAnsi="Lato"/>
          <w:sz w:val="40"/>
          <w:u w:val="single"/>
        </w:rPr>
      </w:pPr>
      <w:r w:rsidRPr="004210F6">
        <w:rPr>
          <w:rFonts w:ascii="Lato" w:hAnsi="Lato"/>
          <w:sz w:val="40"/>
          <w:u w:val="single"/>
        </w:rPr>
        <w:t>Sample Reference List</w:t>
      </w:r>
    </w:p>
    <w:p w14:paraId="216C23F1" w14:textId="77777777" w:rsidR="00A264C5" w:rsidRPr="00D61B17" w:rsidRDefault="00A264C5">
      <w:pPr>
        <w:pStyle w:val="BodyText"/>
        <w:rPr>
          <w:rFonts w:ascii="Lato" w:hAnsi="Lato"/>
          <w:sz w:val="20"/>
        </w:rPr>
      </w:pPr>
    </w:p>
    <w:p w14:paraId="4CAB9BF5" w14:textId="77777777" w:rsidR="00A264C5" w:rsidRPr="00D61B17" w:rsidRDefault="004210F6">
      <w:pPr>
        <w:pStyle w:val="BodyText"/>
        <w:spacing w:before="4"/>
        <w:rPr>
          <w:rFonts w:ascii="Lato" w:hAnsi="Lato"/>
          <w:sz w:val="21"/>
        </w:rPr>
      </w:pPr>
      <w:r w:rsidRPr="00D61B17">
        <w:rPr>
          <w:rFonts w:ascii="Lato" w:hAnsi="Lato"/>
        </w:rPr>
        <w:pict w14:anchorId="09B89236">
          <v:line id="_x0000_s1027" style="position:absolute;z-index:251657728;mso-wrap-distance-left:0;mso-wrap-distance-right:0;mso-position-horizontal-relative:page" from="54pt,14.5pt" to="549pt,14.5pt" strokecolor="#7e7e7e" strokeweight=".5pt">
            <w10:wrap type="topAndBottom" anchorx="page"/>
          </v:line>
        </w:pict>
      </w:r>
    </w:p>
    <w:p w14:paraId="6E8AE3D0" w14:textId="77777777" w:rsidR="00A264C5" w:rsidRPr="00D61B17" w:rsidRDefault="004210F6">
      <w:pPr>
        <w:pStyle w:val="Heading1"/>
        <w:spacing w:before="140"/>
        <w:rPr>
          <w:rFonts w:ascii="Lato" w:hAnsi="Lato"/>
        </w:rPr>
      </w:pPr>
      <w:r w:rsidRPr="00D61B17">
        <w:rPr>
          <w:rFonts w:ascii="Lato" w:hAnsi="Lato"/>
        </w:rPr>
        <w:t>What is a Reference List in Harvard?</w:t>
      </w:r>
    </w:p>
    <w:p w14:paraId="61528C49" w14:textId="77777777" w:rsidR="00A264C5" w:rsidRPr="00D61B17" w:rsidRDefault="004210F6">
      <w:pPr>
        <w:spacing w:before="243"/>
        <w:ind w:left="252" w:right="204"/>
        <w:rPr>
          <w:rFonts w:ascii="Lato" w:hAnsi="Lato"/>
          <w:sz w:val="20"/>
        </w:rPr>
      </w:pPr>
      <w:r w:rsidRPr="00D61B17">
        <w:rPr>
          <w:rFonts w:ascii="Lato" w:hAnsi="Lato"/>
          <w:sz w:val="20"/>
        </w:rPr>
        <w:t xml:space="preserve">Your Reference List should be located on a separate page at the end of your assignment and titled References. It should include the full details of all your in-text references (except for personal communications and newspaper articles without authors), </w:t>
      </w:r>
      <w:r w:rsidRPr="00D61B17">
        <w:rPr>
          <w:rFonts w:ascii="Lato" w:hAnsi="Lato"/>
          <w:b/>
          <w:sz w:val="20"/>
        </w:rPr>
        <w:t>arr</w:t>
      </w:r>
      <w:r w:rsidRPr="00D61B17">
        <w:rPr>
          <w:rFonts w:ascii="Lato" w:hAnsi="Lato"/>
          <w:b/>
          <w:sz w:val="20"/>
        </w:rPr>
        <w:t>anged alphabetically A-Z by author surname</w:t>
      </w:r>
      <w:r w:rsidRPr="00D61B17">
        <w:rPr>
          <w:rFonts w:ascii="Lato" w:hAnsi="Lato"/>
          <w:sz w:val="20"/>
        </w:rPr>
        <w:t>, see sample Reference List below. The terms ‘Bibliography’ and ‘Reference List’ are often used interchangeably, however a Reference List only includes items you have referenced in your assignment whereas, a Biblio</w:t>
      </w:r>
      <w:r w:rsidRPr="00D61B17">
        <w:rPr>
          <w:rFonts w:ascii="Lato" w:hAnsi="Lato"/>
          <w:sz w:val="20"/>
        </w:rPr>
        <w:t>graphy also includes items used to prepare your assignment. Check with your lecturer or tutor which one they require.</w:t>
      </w:r>
    </w:p>
    <w:p w14:paraId="36DCB1C0" w14:textId="77777777" w:rsidR="00A264C5" w:rsidRPr="00D61B17" w:rsidRDefault="00A264C5">
      <w:pPr>
        <w:pStyle w:val="BodyText"/>
        <w:spacing w:before="1"/>
        <w:rPr>
          <w:rFonts w:ascii="Lato" w:hAnsi="Lato"/>
          <w:sz w:val="31"/>
        </w:rPr>
      </w:pPr>
    </w:p>
    <w:p w14:paraId="4B9BD570" w14:textId="77777777" w:rsidR="00A264C5" w:rsidRPr="00D61B17" w:rsidRDefault="004210F6">
      <w:pPr>
        <w:pStyle w:val="Heading1"/>
        <w:rPr>
          <w:rFonts w:ascii="Lato" w:hAnsi="Lato"/>
        </w:rPr>
      </w:pPr>
      <w:r w:rsidRPr="00D61B17">
        <w:rPr>
          <w:rFonts w:ascii="Lato" w:hAnsi="Lato"/>
        </w:rPr>
        <w:t>Harvard sample Reference List</w:t>
      </w:r>
    </w:p>
    <w:p w14:paraId="3457F67D" w14:textId="77777777" w:rsidR="00A264C5" w:rsidRPr="00D61B17" w:rsidRDefault="004210F6">
      <w:pPr>
        <w:spacing w:before="239"/>
        <w:ind w:left="252"/>
        <w:rPr>
          <w:rFonts w:ascii="Lato" w:hAnsi="Lato"/>
          <w:b/>
          <w:sz w:val="20"/>
        </w:rPr>
      </w:pPr>
      <w:r w:rsidRPr="00D61B17">
        <w:rPr>
          <w:rFonts w:ascii="Lato" w:hAnsi="Lato"/>
          <w:b/>
          <w:sz w:val="20"/>
        </w:rPr>
        <w:t>REFERENCES</w:t>
      </w:r>
    </w:p>
    <w:p w14:paraId="2D97FA38" w14:textId="77777777" w:rsidR="00A264C5" w:rsidRPr="00D61B17" w:rsidRDefault="00A264C5">
      <w:pPr>
        <w:pStyle w:val="BodyText"/>
        <w:spacing w:before="5"/>
        <w:rPr>
          <w:rFonts w:ascii="Lato" w:hAnsi="Lato"/>
          <w:b/>
          <w:sz w:val="31"/>
        </w:rPr>
      </w:pPr>
    </w:p>
    <w:p w14:paraId="3A6703E5" w14:textId="77777777" w:rsidR="00A264C5" w:rsidRPr="00D61B17" w:rsidRDefault="004210F6">
      <w:pPr>
        <w:pStyle w:val="BodyText"/>
        <w:spacing w:before="1"/>
        <w:ind w:left="252" w:right="314"/>
        <w:rPr>
          <w:rFonts w:ascii="Lato" w:hAnsi="Lato"/>
        </w:rPr>
      </w:pPr>
      <w:r w:rsidRPr="00D61B17">
        <w:rPr>
          <w:rFonts w:ascii="Lato" w:hAnsi="Lato"/>
        </w:rPr>
        <w:t xml:space="preserve">Allen, MC &amp; </w:t>
      </w:r>
      <w:proofErr w:type="spellStart"/>
      <w:r w:rsidRPr="00D61B17">
        <w:rPr>
          <w:rFonts w:ascii="Lato" w:hAnsi="Lato"/>
        </w:rPr>
        <w:t>Zuboff</w:t>
      </w:r>
      <w:proofErr w:type="spellEnd"/>
      <w:r w:rsidRPr="00D61B17">
        <w:rPr>
          <w:rFonts w:ascii="Lato" w:hAnsi="Lato"/>
        </w:rPr>
        <w:t>, T &amp; Black, R 1994, 'Instructional designers in Australia: the state of play</w:t>
      </w:r>
      <w:r w:rsidRPr="00D61B17">
        <w:rPr>
          <w:rFonts w:ascii="Lato" w:hAnsi="Lato"/>
        </w:rPr>
        <w:t xml:space="preserve">', </w:t>
      </w:r>
      <w:r w:rsidRPr="00D61B17">
        <w:rPr>
          <w:rFonts w:ascii="Lato" w:hAnsi="Lato"/>
          <w:i/>
        </w:rPr>
        <w:t>Distance Education</w:t>
      </w:r>
      <w:r w:rsidRPr="00D61B17">
        <w:rPr>
          <w:rFonts w:ascii="Lato" w:hAnsi="Lato"/>
        </w:rPr>
        <w:t>, vol. 16, no.1, pp. 26-34.</w:t>
      </w:r>
    </w:p>
    <w:p w14:paraId="1D0D41F5" w14:textId="77777777" w:rsidR="00A264C5" w:rsidRPr="00D61B17" w:rsidRDefault="00A264C5">
      <w:pPr>
        <w:pStyle w:val="BodyText"/>
        <w:spacing w:before="7"/>
        <w:rPr>
          <w:rFonts w:ascii="Lato" w:hAnsi="Lato"/>
          <w:sz w:val="17"/>
        </w:rPr>
      </w:pPr>
    </w:p>
    <w:p w14:paraId="20A81EB6" w14:textId="77777777" w:rsidR="00A264C5" w:rsidRPr="00D61B17" w:rsidRDefault="004210F6">
      <w:pPr>
        <w:spacing w:before="1"/>
        <w:ind w:left="252" w:right="812"/>
        <w:rPr>
          <w:rFonts w:ascii="Lato" w:hAnsi="Lato"/>
          <w:sz w:val="18"/>
        </w:rPr>
      </w:pPr>
      <w:r w:rsidRPr="00D61B17">
        <w:rPr>
          <w:rFonts w:ascii="Lato" w:hAnsi="Lato"/>
          <w:sz w:val="18"/>
        </w:rPr>
        <w:t xml:space="preserve">Binder, G 2009, </w:t>
      </w:r>
      <w:r w:rsidRPr="00D61B17">
        <w:rPr>
          <w:rFonts w:ascii="Lato" w:hAnsi="Lato"/>
          <w:i/>
          <w:sz w:val="18"/>
        </w:rPr>
        <w:t>Corporate governance in Arab countries: development of corporate governance in Arab and MENA countries</w:t>
      </w:r>
      <w:r w:rsidRPr="00D61B17">
        <w:rPr>
          <w:rFonts w:ascii="Lato" w:hAnsi="Lato"/>
          <w:sz w:val="18"/>
        </w:rPr>
        <w:t>, University of Vienna, Vienna.</w:t>
      </w:r>
    </w:p>
    <w:p w14:paraId="6CAEE343" w14:textId="77777777" w:rsidR="00A264C5" w:rsidRPr="00D61B17" w:rsidRDefault="00A264C5">
      <w:pPr>
        <w:pStyle w:val="BodyText"/>
        <w:spacing w:before="10"/>
        <w:rPr>
          <w:rFonts w:ascii="Lato" w:hAnsi="Lato"/>
          <w:sz w:val="17"/>
        </w:rPr>
      </w:pPr>
    </w:p>
    <w:p w14:paraId="0C51758F" w14:textId="77777777" w:rsidR="00A264C5" w:rsidRPr="00D61B17" w:rsidRDefault="004210F6">
      <w:pPr>
        <w:pStyle w:val="BodyText"/>
        <w:spacing w:line="482" w:lineRule="auto"/>
        <w:ind w:left="252" w:right="2714"/>
        <w:rPr>
          <w:rFonts w:ascii="Lato" w:hAnsi="Lato"/>
        </w:rPr>
      </w:pPr>
      <w:r w:rsidRPr="00D61B17">
        <w:rPr>
          <w:rFonts w:ascii="Lato" w:hAnsi="Lato"/>
        </w:rPr>
        <w:t xml:space="preserve">Branford, A &amp; Coutts, L 2015a, </w:t>
      </w:r>
      <w:r w:rsidRPr="00D61B17">
        <w:rPr>
          <w:rFonts w:ascii="Lato" w:hAnsi="Lato"/>
          <w:i/>
        </w:rPr>
        <w:t>The precious ring</w:t>
      </w:r>
      <w:r w:rsidRPr="00D61B17">
        <w:rPr>
          <w:rFonts w:ascii="Lato" w:hAnsi="Lato"/>
        </w:rPr>
        <w:t>, Walke</w:t>
      </w:r>
      <w:r w:rsidRPr="00D61B17">
        <w:rPr>
          <w:rFonts w:ascii="Lato" w:hAnsi="Lato"/>
        </w:rPr>
        <w:t xml:space="preserve">r Books Australia, Newtown, NSW. Branford, A &amp; Coutts, L 2015b, </w:t>
      </w:r>
      <w:r w:rsidRPr="00D61B17">
        <w:rPr>
          <w:rFonts w:ascii="Lato" w:hAnsi="Lato"/>
          <w:i/>
        </w:rPr>
        <w:t>The wishing seed</w:t>
      </w:r>
      <w:r w:rsidRPr="00D61B17">
        <w:rPr>
          <w:rFonts w:ascii="Lato" w:hAnsi="Lato"/>
        </w:rPr>
        <w:t>, Walker Books Australia, Newtown, NSW.</w:t>
      </w:r>
    </w:p>
    <w:p w14:paraId="2C1797F0" w14:textId="77777777" w:rsidR="00A264C5" w:rsidRPr="00D61B17" w:rsidRDefault="004210F6">
      <w:pPr>
        <w:spacing w:before="4"/>
        <w:ind w:left="252" w:right="398"/>
        <w:rPr>
          <w:rFonts w:ascii="Lato" w:hAnsi="Lato"/>
          <w:sz w:val="18"/>
        </w:rPr>
      </w:pPr>
      <w:r w:rsidRPr="00D61B17">
        <w:rPr>
          <w:rFonts w:ascii="Lato" w:hAnsi="Lato"/>
          <w:sz w:val="18"/>
        </w:rPr>
        <w:t>Buckley, R 2001, 'Presentation on the application of regulatory and voluntary instruments for sustainable tourism development in small i</w:t>
      </w:r>
      <w:r w:rsidRPr="00D61B17">
        <w:rPr>
          <w:rFonts w:ascii="Lato" w:hAnsi="Lato"/>
          <w:sz w:val="18"/>
        </w:rPr>
        <w:t xml:space="preserve">slands', </w:t>
      </w:r>
      <w:r w:rsidRPr="00D61B17">
        <w:rPr>
          <w:rFonts w:ascii="Lato" w:hAnsi="Lato"/>
          <w:i/>
          <w:sz w:val="18"/>
        </w:rPr>
        <w:t xml:space="preserve">Island tourism in Asia and the Pacific: a report on WTO/UNEP international conference on sustainable tourism in the islands of the Asia-Pacific region, </w:t>
      </w:r>
      <w:proofErr w:type="spellStart"/>
      <w:r w:rsidRPr="00D61B17">
        <w:rPr>
          <w:rFonts w:ascii="Lato" w:hAnsi="Lato"/>
          <w:i/>
          <w:sz w:val="18"/>
        </w:rPr>
        <w:t>Sanya</w:t>
      </w:r>
      <w:proofErr w:type="spellEnd"/>
      <w:r w:rsidRPr="00D61B17">
        <w:rPr>
          <w:rFonts w:ascii="Lato" w:hAnsi="Lato"/>
          <w:i/>
          <w:sz w:val="18"/>
        </w:rPr>
        <w:t>, Island of Hainan, China, 6-8 December 2000</w:t>
      </w:r>
      <w:r w:rsidRPr="00D61B17">
        <w:rPr>
          <w:rFonts w:ascii="Lato" w:hAnsi="Lato"/>
          <w:sz w:val="18"/>
        </w:rPr>
        <w:t>, World Tourism Organization, Madrid, pp. 46-6</w:t>
      </w:r>
      <w:r w:rsidRPr="00D61B17">
        <w:rPr>
          <w:rFonts w:ascii="Lato" w:hAnsi="Lato"/>
          <w:sz w:val="18"/>
        </w:rPr>
        <w:t>4.</w:t>
      </w:r>
    </w:p>
    <w:p w14:paraId="202C9361" w14:textId="77777777" w:rsidR="00A264C5" w:rsidRPr="00D61B17" w:rsidRDefault="00A264C5">
      <w:pPr>
        <w:pStyle w:val="BodyText"/>
        <w:spacing w:before="7"/>
        <w:rPr>
          <w:rFonts w:ascii="Lato" w:hAnsi="Lato"/>
          <w:sz w:val="17"/>
        </w:rPr>
      </w:pPr>
    </w:p>
    <w:p w14:paraId="691EA4C3" w14:textId="48B09CE0" w:rsidR="00A264C5" w:rsidRPr="00D61B17" w:rsidRDefault="004210F6">
      <w:pPr>
        <w:pStyle w:val="BodyText"/>
        <w:spacing w:line="244" w:lineRule="auto"/>
        <w:ind w:left="252" w:right="374"/>
        <w:rPr>
          <w:rFonts w:ascii="Lato" w:hAnsi="Lato"/>
        </w:rPr>
      </w:pPr>
      <w:r w:rsidRPr="00D61B17">
        <w:rPr>
          <w:rFonts w:ascii="Lato" w:hAnsi="Lato"/>
        </w:rPr>
        <w:t xml:space="preserve">Gary, S 2010, 'Solar max sends journos spinning', </w:t>
      </w:r>
      <w:r w:rsidRPr="00D61B17">
        <w:rPr>
          <w:rFonts w:ascii="Lato" w:hAnsi="Lato"/>
          <w:i/>
        </w:rPr>
        <w:t>Star Stuff</w:t>
      </w:r>
      <w:r w:rsidRPr="00D61B17">
        <w:rPr>
          <w:rFonts w:ascii="Lato" w:hAnsi="Lato"/>
        </w:rPr>
        <w:t xml:space="preserve">, podcast, ABC Science, Sydney, NSW, accessed 31 August </w:t>
      </w:r>
      <w:r w:rsidR="00D61B17" w:rsidRPr="00D61B17">
        <w:rPr>
          <w:rFonts w:ascii="Lato" w:hAnsi="Lato"/>
        </w:rPr>
        <w:t>2010, &lt;</w:t>
      </w:r>
      <w:r w:rsidRPr="00D61B17">
        <w:rPr>
          <w:rFonts w:ascii="Lato" w:hAnsi="Lato"/>
        </w:rPr>
        <w:t>http://www.abc.net.au/science/starstuff/</w:t>
      </w:r>
      <w:r w:rsidRPr="00D61B17">
        <w:rPr>
          <w:rFonts w:ascii="Lato" w:hAnsi="Lato"/>
        </w:rPr>
        <w:t>&gt;.</w:t>
      </w:r>
    </w:p>
    <w:p w14:paraId="57A3B357" w14:textId="77777777" w:rsidR="00A264C5" w:rsidRPr="00D61B17" w:rsidRDefault="00A264C5">
      <w:pPr>
        <w:pStyle w:val="BodyText"/>
        <w:spacing w:before="3"/>
        <w:rPr>
          <w:rFonts w:ascii="Lato" w:hAnsi="Lato"/>
          <w:sz w:val="17"/>
        </w:rPr>
      </w:pPr>
    </w:p>
    <w:p w14:paraId="3E23FD07" w14:textId="77777777" w:rsidR="00A264C5" w:rsidRPr="00D61B17" w:rsidRDefault="004210F6">
      <w:pPr>
        <w:ind w:left="252" w:right="843"/>
        <w:rPr>
          <w:rFonts w:ascii="Lato" w:hAnsi="Lato"/>
          <w:sz w:val="18"/>
        </w:rPr>
      </w:pPr>
      <w:proofErr w:type="spellStart"/>
      <w:r w:rsidRPr="00D61B17">
        <w:rPr>
          <w:rFonts w:ascii="Lato" w:hAnsi="Lato"/>
          <w:sz w:val="18"/>
        </w:rPr>
        <w:t>Grasswell</w:t>
      </w:r>
      <w:proofErr w:type="spellEnd"/>
      <w:r w:rsidRPr="00D61B17">
        <w:rPr>
          <w:rFonts w:ascii="Lato" w:hAnsi="Lato"/>
          <w:sz w:val="18"/>
        </w:rPr>
        <w:t xml:space="preserve">, H (producer) 2011, </w:t>
      </w:r>
      <w:r w:rsidRPr="00D61B17">
        <w:rPr>
          <w:rFonts w:ascii="Lato" w:hAnsi="Lato"/>
          <w:i/>
          <w:sz w:val="18"/>
        </w:rPr>
        <w:t>The Gavin Larkin Story - Australian Story</w:t>
      </w:r>
      <w:r w:rsidRPr="00D61B17">
        <w:rPr>
          <w:rFonts w:ascii="Lato" w:hAnsi="Lato"/>
          <w:sz w:val="18"/>
        </w:rPr>
        <w:t>, television broadcast, 12 September 2011, Australian Broadcasting Service, viewed 17 October 2011,</w:t>
      </w:r>
    </w:p>
    <w:p w14:paraId="05AEC904" w14:textId="32498487" w:rsidR="00A264C5" w:rsidRPr="00D61B17" w:rsidRDefault="004210F6">
      <w:pPr>
        <w:pStyle w:val="BodyText"/>
        <w:spacing w:before="1"/>
        <w:ind w:left="252"/>
        <w:rPr>
          <w:rFonts w:ascii="Lato" w:hAnsi="Lato"/>
        </w:rPr>
      </w:pPr>
      <w:r w:rsidRPr="00D61B17">
        <w:rPr>
          <w:rFonts w:ascii="Lato" w:hAnsi="Lato"/>
        </w:rPr>
        <w:t>&lt;search.informit.com.au.library.vu.edu.au</w:t>
      </w:r>
      <w:r w:rsidRPr="00D61B17">
        <w:rPr>
          <w:rFonts w:ascii="Lato" w:hAnsi="Lato"/>
        </w:rPr>
        <w:t>/</w:t>
      </w:r>
      <w:proofErr w:type="spellStart"/>
      <w:r w:rsidR="00D61B17" w:rsidRPr="00D61B17">
        <w:rPr>
          <w:rFonts w:ascii="Lato" w:hAnsi="Lato"/>
        </w:rPr>
        <w:t>documentSummary</w:t>
      </w:r>
      <w:proofErr w:type="spellEnd"/>
      <w:r w:rsidR="00D61B17" w:rsidRPr="00D61B17">
        <w:rPr>
          <w:rFonts w:ascii="Lato" w:hAnsi="Lato"/>
        </w:rPr>
        <w:t xml:space="preserve">; </w:t>
      </w:r>
      <w:proofErr w:type="spellStart"/>
      <w:r w:rsidR="00D61B17" w:rsidRPr="00D61B17">
        <w:rPr>
          <w:rFonts w:ascii="Lato" w:hAnsi="Lato"/>
        </w:rPr>
        <w:t>dn</w:t>
      </w:r>
      <w:proofErr w:type="spellEnd"/>
      <w:r w:rsidRPr="00D61B17">
        <w:rPr>
          <w:rFonts w:ascii="Lato" w:hAnsi="Lato"/>
        </w:rPr>
        <w:t>=TEX</w:t>
      </w:r>
      <w:r w:rsidR="00D61B17" w:rsidRPr="00D61B17">
        <w:rPr>
          <w:rFonts w:ascii="Lato" w:hAnsi="Lato"/>
        </w:rPr>
        <w:t>20113700853; res</w:t>
      </w:r>
      <w:r w:rsidRPr="00D61B17">
        <w:rPr>
          <w:rFonts w:ascii="Lato" w:hAnsi="Lato"/>
        </w:rPr>
        <w:t>=TVNEWS&gt;.</w:t>
      </w:r>
    </w:p>
    <w:p w14:paraId="1D625F45" w14:textId="77777777" w:rsidR="00A264C5" w:rsidRPr="00D61B17" w:rsidRDefault="00A264C5">
      <w:pPr>
        <w:pStyle w:val="BodyText"/>
        <w:spacing w:before="7"/>
        <w:rPr>
          <w:rFonts w:ascii="Lato" w:hAnsi="Lato"/>
          <w:sz w:val="17"/>
        </w:rPr>
      </w:pPr>
    </w:p>
    <w:p w14:paraId="61ED921C" w14:textId="0FCC9160" w:rsidR="00A264C5" w:rsidRPr="00D61B17" w:rsidRDefault="004210F6">
      <w:pPr>
        <w:pStyle w:val="BodyText"/>
        <w:spacing w:before="1"/>
        <w:ind w:left="252"/>
        <w:rPr>
          <w:rFonts w:ascii="Lato" w:hAnsi="Lato"/>
        </w:rPr>
      </w:pPr>
      <w:proofErr w:type="spellStart"/>
      <w:r w:rsidRPr="00D61B17">
        <w:rPr>
          <w:rFonts w:ascii="Lato" w:hAnsi="Lato"/>
        </w:rPr>
        <w:t>HealthInsite</w:t>
      </w:r>
      <w:proofErr w:type="spellEnd"/>
      <w:r w:rsidRPr="00D61B17">
        <w:rPr>
          <w:rFonts w:ascii="Lato" w:hAnsi="Lato"/>
        </w:rPr>
        <w:t xml:space="preserve"> 2011, </w:t>
      </w:r>
      <w:r w:rsidRPr="00D61B17">
        <w:rPr>
          <w:rFonts w:ascii="Lato" w:hAnsi="Lato"/>
          <w:i/>
        </w:rPr>
        <w:t>Complementary and alternative therapies</w:t>
      </w:r>
      <w:r w:rsidRPr="00D61B17">
        <w:rPr>
          <w:rFonts w:ascii="Lato" w:hAnsi="Lato"/>
        </w:rPr>
        <w:t xml:space="preserve">, National Health Call Centre Network, viewed 14 September 2011, </w:t>
      </w:r>
      <w:r w:rsidRPr="00D61B17">
        <w:rPr>
          <w:rFonts w:ascii="Lato" w:hAnsi="Lato"/>
        </w:rPr>
        <w:t>&lt;htt</w:t>
      </w:r>
      <w:r w:rsidRPr="00D61B17">
        <w:rPr>
          <w:rFonts w:ascii="Lato" w:hAnsi="Lato"/>
        </w:rPr>
        <w:t>p</w:t>
      </w:r>
      <w:r w:rsidRPr="00D61B17">
        <w:rPr>
          <w:rFonts w:ascii="Lato" w:hAnsi="Lato"/>
        </w:rPr>
        <w:t xml:space="preserve">://www.healthinsite.gov.au/topics/Complementary </w:t>
      </w:r>
      <w:r w:rsidRPr="00D61B17">
        <w:rPr>
          <w:rFonts w:ascii="Lato" w:hAnsi="Lato"/>
        </w:rPr>
        <w:t>and Alternative Therapies&gt;.</w:t>
      </w:r>
    </w:p>
    <w:p w14:paraId="720B3747" w14:textId="77777777" w:rsidR="00A264C5" w:rsidRPr="00D61B17" w:rsidRDefault="00A264C5">
      <w:pPr>
        <w:pStyle w:val="BodyText"/>
        <w:spacing w:before="10"/>
        <w:rPr>
          <w:rFonts w:ascii="Lato" w:hAnsi="Lato"/>
          <w:sz w:val="17"/>
        </w:rPr>
      </w:pPr>
    </w:p>
    <w:p w14:paraId="33548958" w14:textId="77777777" w:rsidR="00A264C5" w:rsidRPr="00D61B17" w:rsidRDefault="004210F6">
      <w:pPr>
        <w:spacing w:line="477" w:lineRule="auto"/>
        <w:ind w:left="252" w:right="1884"/>
        <w:rPr>
          <w:rFonts w:ascii="Lato" w:hAnsi="Lato"/>
          <w:sz w:val="18"/>
        </w:rPr>
      </w:pPr>
      <w:r w:rsidRPr="00D61B17">
        <w:rPr>
          <w:rFonts w:ascii="Lato" w:hAnsi="Lato"/>
          <w:i/>
          <w:sz w:val="18"/>
        </w:rPr>
        <w:t xml:space="preserve">James Hardie Industries NV v Australian Securities and Investments Commission </w:t>
      </w:r>
      <w:r w:rsidRPr="00D61B17">
        <w:rPr>
          <w:rFonts w:ascii="Lato" w:hAnsi="Lato"/>
          <w:sz w:val="18"/>
        </w:rPr>
        <w:t>(2010) 274 ALR 85. McDonald, M &amp; Payne</w:t>
      </w:r>
      <w:r w:rsidRPr="00D61B17">
        <w:rPr>
          <w:rFonts w:ascii="Lato" w:hAnsi="Lato"/>
          <w:sz w:val="18"/>
        </w:rPr>
        <w:t xml:space="preserve">, A 1996, </w:t>
      </w:r>
      <w:r w:rsidRPr="00D61B17">
        <w:rPr>
          <w:rFonts w:ascii="Lato" w:hAnsi="Lato"/>
          <w:i/>
          <w:sz w:val="18"/>
        </w:rPr>
        <w:t>Marketing planning for services</w:t>
      </w:r>
      <w:r w:rsidRPr="00D61B17">
        <w:rPr>
          <w:rFonts w:ascii="Lato" w:hAnsi="Lato"/>
          <w:sz w:val="18"/>
        </w:rPr>
        <w:t>, Butterworth-Heinemann, Oxford.</w:t>
      </w:r>
    </w:p>
    <w:p w14:paraId="4D25B3D5" w14:textId="77777777" w:rsidR="00A264C5" w:rsidRPr="00D61B17" w:rsidRDefault="004210F6">
      <w:pPr>
        <w:spacing w:before="9"/>
        <w:ind w:left="252" w:right="333"/>
        <w:rPr>
          <w:rFonts w:ascii="Lato" w:hAnsi="Lato"/>
          <w:sz w:val="18"/>
        </w:rPr>
      </w:pPr>
      <w:r w:rsidRPr="00D61B17">
        <w:rPr>
          <w:rFonts w:ascii="Lato" w:hAnsi="Lato"/>
          <w:sz w:val="18"/>
        </w:rPr>
        <w:t xml:space="preserve">McDonald, M &amp; Payne, A 2006, </w:t>
      </w:r>
      <w:r w:rsidRPr="00D61B17">
        <w:rPr>
          <w:rFonts w:ascii="Lato" w:hAnsi="Lato"/>
          <w:i/>
          <w:sz w:val="18"/>
        </w:rPr>
        <w:t>Marketing plans for service businesses: a complete guide</w:t>
      </w:r>
      <w:r w:rsidRPr="00D61B17">
        <w:rPr>
          <w:rFonts w:ascii="Lato" w:hAnsi="Lato"/>
          <w:sz w:val="18"/>
        </w:rPr>
        <w:t xml:space="preserve">, 2nd </w:t>
      </w:r>
      <w:proofErr w:type="spellStart"/>
      <w:r w:rsidRPr="00D61B17">
        <w:rPr>
          <w:rFonts w:ascii="Lato" w:hAnsi="Lato"/>
          <w:sz w:val="18"/>
        </w:rPr>
        <w:t>edn</w:t>
      </w:r>
      <w:proofErr w:type="spellEnd"/>
      <w:r w:rsidRPr="00D61B17">
        <w:rPr>
          <w:rFonts w:ascii="Lato" w:hAnsi="Lato"/>
          <w:sz w:val="18"/>
        </w:rPr>
        <w:t>, Elsevier Butterworth- Heinemann, Oxford.</w:t>
      </w:r>
    </w:p>
    <w:p w14:paraId="3A70DB6E" w14:textId="77777777" w:rsidR="00A264C5" w:rsidRPr="00D61B17" w:rsidRDefault="00A264C5">
      <w:pPr>
        <w:pStyle w:val="BodyText"/>
        <w:rPr>
          <w:rFonts w:ascii="Lato" w:hAnsi="Lato"/>
        </w:rPr>
      </w:pPr>
    </w:p>
    <w:p w14:paraId="169ED7C4" w14:textId="173B6FD1" w:rsidR="00A264C5" w:rsidRPr="00D61B17" w:rsidRDefault="004210F6">
      <w:pPr>
        <w:pStyle w:val="BodyText"/>
        <w:spacing w:before="1"/>
        <w:ind w:left="252"/>
        <w:rPr>
          <w:rFonts w:ascii="Lato" w:hAnsi="Lato"/>
        </w:rPr>
      </w:pPr>
      <w:r w:rsidRPr="00D61B17">
        <w:rPr>
          <w:rFonts w:ascii="Lato" w:hAnsi="Lato"/>
        </w:rPr>
        <w:t>OpenOffice.org 2011, computer software, down</w:t>
      </w:r>
      <w:r w:rsidRPr="00D61B17">
        <w:rPr>
          <w:rFonts w:ascii="Lato" w:hAnsi="Lato"/>
        </w:rPr>
        <w:t>loaded 17 October 2011, &lt;</w:t>
      </w:r>
      <w:r w:rsidRPr="00D61B17">
        <w:rPr>
          <w:rFonts w:ascii="Lato" w:hAnsi="Lato"/>
        </w:rPr>
        <w:t>http://www.openoffice.org</w:t>
      </w:r>
      <w:r w:rsidRPr="00D61B17">
        <w:rPr>
          <w:rFonts w:ascii="Lato" w:hAnsi="Lato"/>
        </w:rPr>
        <w:t>&gt;.</w:t>
      </w:r>
    </w:p>
    <w:p w14:paraId="66C834A5" w14:textId="77777777" w:rsidR="00A264C5" w:rsidRPr="00D61B17" w:rsidRDefault="00A264C5">
      <w:pPr>
        <w:pStyle w:val="BodyText"/>
        <w:spacing w:before="7"/>
        <w:rPr>
          <w:rFonts w:ascii="Lato" w:hAnsi="Lato"/>
          <w:sz w:val="17"/>
        </w:rPr>
      </w:pPr>
    </w:p>
    <w:p w14:paraId="299891DB" w14:textId="77777777" w:rsidR="00A264C5" w:rsidRPr="00D61B17" w:rsidRDefault="004210F6">
      <w:pPr>
        <w:spacing w:before="1"/>
        <w:ind w:left="252" w:right="312"/>
        <w:rPr>
          <w:rFonts w:ascii="Lato" w:hAnsi="Lato"/>
          <w:sz w:val="18"/>
        </w:rPr>
      </w:pPr>
      <w:r w:rsidRPr="00D61B17">
        <w:rPr>
          <w:rFonts w:ascii="Lato" w:hAnsi="Lato"/>
          <w:sz w:val="18"/>
        </w:rPr>
        <w:t xml:space="preserve">Standards Australia 2008, </w:t>
      </w:r>
      <w:r w:rsidRPr="00D61B17">
        <w:rPr>
          <w:rFonts w:ascii="Lato" w:hAnsi="Lato"/>
          <w:i/>
          <w:sz w:val="18"/>
        </w:rPr>
        <w:t>Personal floatation devices - General requirements</w:t>
      </w:r>
      <w:r w:rsidRPr="00D61B17">
        <w:rPr>
          <w:rFonts w:ascii="Lato" w:hAnsi="Lato"/>
          <w:sz w:val="18"/>
        </w:rPr>
        <w:t>, AS 4758.1-2008, viewed 17 October 2011, retrieved from Australian Standards On</w:t>
      </w:r>
      <w:r w:rsidRPr="00D61B17">
        <w:rPr>
          <w:rFonts w:ascii="Lato" w:hAnsi="Lato"/>
          <w:sz w:val="18"/>
        </w:rPr>
        <w:t>line.</w:t>
      </w:r>
    </w:p>
    <w:p w14:paraId="5D205852" w14:textId="77777777" w:rsidR="00A264C5" w:rsidRPr="00D61B17" w:rsidRDefault="00A264C5">
      <w:pPr>
        <w:pStyle w:val="BodyText"/>
        <w:spacing w:before="10"/>
        <w:rPr>
          <w:rFonts w:ascii="Lato" w:hAnsi="Lato"/>
          <w:sz w:val="17"/>
        </w:rPr>
      </w:pPr>
    </w:p>
    <w:p w14:paraId="3CE932DB" w14:textId="77777777" w:rsidR="00A264C5" w:rsidRPr="00D61B17" w:rsidRDefault="004210F6">
      <w:pPr>
        <w:spacing w:line="477" w:lineRule="auto"/>
        <w:ind w:left="252" w:right="1043"/>
        <w:rPr>
          <w:rFonts w:ascii="Lato" w:hAnsi="Lato"/>
          <w:sz w:val="18"/>
        </w:rPr>
      </w:pPr>
      <w:r w:rsidRPr="00D61B17">
        <w:rPr>
          <w:rFonts w:ascii="Lato" w:hAnsi="Lato"/>
          <w:sz w:val="18"/>
        </w:rPr>
        <w:t xml:space="preserve">Weinberg, RS &amp; Gould, D 2011, </w:t>
      </w:r>
      <w:r w:rsidRPr="00D61B17">
        <w:rPr>
          <w:rFonts w:ascii="Lato" w:hAnsi="Lato"/>
          <w:i/>
          <w:sz w:val="18"/>
        </w:rPr>
        <w:t>Foundations of sport and exercise psychology</w:t>
      </w:r>
      <w:r w:rsidRPr="00D61B17">
        <w:rPr>
          <w:rFonts w:ascii="Lato" w:hAnsi="Lato"/>
          <w:sz w:val="18"/>
        </w:rPr>
        <w:t xml:space="preserve">, Human Kinetics, Champaign, IL. Wilson, J 2009, 'In </w:t>
      </w:r>
      <w:proofErr w:type="spellStart"/>
      <w:r w:rsidRPr="00D61B17">
        <w:rPr>
          <w:rFonts w:ascii="Lato" w:hAnsi="Lato"/>
          <w:sz w:val="18"/>
        </w:rPr>
        <w:t>defence</w:t>
      </w:r>
      <w:proofErr w:type="spellEnd"/>
      <w:r w:rsidRPr="00D61B17">
        <w:rPr>
          <w:rFonts w:ascii="Lato" w:hAnsi="Lato"/>
          <w:sz w:val="18"/>
        </w:rPr>
        <w:t xml:space="preserve"> of the superficial', </w:t>
      </w:r>
      <w:r w:rsidRPr="00D61B17">
        <w:rPr>
          <w:rFonts w:ascii="Lato" w:hAnsi="Lato"/>
          <w:i/>
          <w:sz w:val="18"/>
        </w:rPr>
        <w:t>The Age</w:t>
      </w:r>
      <w:r w:rsidRPr="00D61B17">
        <w:rPr>
          <w:rFonts w:ascii="Lato" w:hAnsi="Lato"/>
          <w:sz w:val="18"/>
        </w:rPr>
        <w:t>, 26 September, A2, p. 23.</w:t>
      </w:r>
    </w:p>
    <w:p w14:paraId="746CAC99" w14:textId="62D1234E" w:rsidR="00A264C5" w:rsidRPr="00D61B17" w:rsidRDefault="004210F6" w:rsidP="00D61B17">
      <w:pPr>
        <w:spacing w:before="8"/>
        <w:ind w:left="252"/>
        <w:rPr>
          <w:rFonts w:ascii="Lato" w:hAnsi="Lato"/>
          <w:sz w:val="18"/>
        </w:rPr>
      </w:pPr>
      <w:r w:rsidRPr="00D61B17">
        <w:rPr>
          <w:rFonts w:ascii="Lato" w:hAnsi="Lato"/>
          <w:sz w:val="18"/>
        </w:rPr>
        <w:t xml:space="preserve">Wynne, BM 2003, </w:t>
      </w:r>
      <w:r w:rsidRPr="00D61B17">
        <w:rPr>
          <w:rFonts w:ascii="Lato" w:hAnsi="Lato"/>
          <w:i/>
          <w:sz w:val="18"/>
        </w:rPr>
        <w:t>Shark repellent system</w:t>
      </w:r>
      <w:r w:rsidRPr="00D61B17">
        <w:rPr>
          <w:rFonts w:ascii="Lato" w:hAnsi="Lato"/>
          <w:sz w:val="18"/>
        </w:rPr>
        <w:t>, US 6606963.</w:t>
      </w:r>
    </w:p>
    <w:sectPr w:rsidR="00A264C5" w:rsidRPr="00D61B17">
      <w:type w:val="continuous"/>
      <w:pgSz w:w="11900" w:h="16850"/>
      <w:pgMar w:top="54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4C5"/>
    <w:rsid w:val="004210F6"/>
    <w:rsid w:val="00A264C5"/>
    <w:rsid w:val="00D6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D36D21"/>
  <w15:docId w15:val="{9E7CCBEF-631B-4353-91EE-5B4F9162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Harvard-sample-reference-list</dc:title>
  <dc:creator>Judy Shaul</dc:creator>
  <cp:lastModifiedBy>Sunbal</cp:lastModifiedBy>
  <cp:revision>3</cp:revision>
  <dcterms:created xsi:type="dcterms:W3CDTF">2017-07-21T22:02:00Z</dcterms:created>
  <dcterms:modified xsi:type="dcterms:W3CDTF">2022-02-16T05:51:00Z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2017-07-21T00:00:00Z</vt:filetime>
  </property>
</Properties>
</file>