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ADD3" w14:textId="77777777" w:rsidR="00712CF6" w:rsidRDefault="0082625A">
      <w:pPr>
        <w:rPr>
          <w:sz w:val="2"/>
          <w:szCs w:val="2"/>
        </w:rPr>
      </w:pPr>
      <w:r>
        <w:pict w14:anchorId="4BD75709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7.75pt;margin-top:70.95pt;width:156.4pt;height:14.55pt;z-index:-3184;mso-position-horizontal-relative:page;mso-position-vertical-relative:page" filled="f" stroked="f">
            <v:textbox inset="0,0,0,0">
              <w:txbxContent>
                <w:p w14:paraId="661F28D8" w14:textId="77777777" w:rsidR="00712CF6" w:rsidRPr="0082625A" w:rsidRDefault="0082625A">
                  <w:pPr>
                    <w:spacing w:before="20"/>
                    <w:ind w:left="20"/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b/>
                      <w:sz w:val="20"/>
                      <w:szCs w:val="20"/>
                    </w:rPr>
                    <w:t>Synthesis Thesis Statement</w:t>
                  </w:r>
                </w:p>
              </w:txbxContent>
            </v:textbox>
            <w10:wrap anchorx="page" anchory="page"/>
          </v:shape>
        </w:pict>
      </w:r>
      <w:r>
        <w:pict w14:anchorId="1F32D6E1">
          <v:shape id="_x0000_s1039" type="#_x0000_t202" style="position:absolute;margin-left:71pt;margin-top:95.35pt;width:234.95pt;height:14.55pt;z-index:-3160;mso-position-horizontal-relative:page;mso-position-vertical-relative:page" filled="f" stroked="f">
            <v:textbox inset="0,0,0,0">
              <w:txbxContent>
                <w:p w14:paraId="3BDF39D0" w14:textId="77777777" w:rsidR="00712CF6" w:rsidRPr="0082625A" w:rsidRDefault="0082625A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A thesis for a synthesis essay has multiple parts:</w:t>
                  </w:r>
                </w:p>
              </w:txbxContent>
            </v:textbox>
            <w10:wrap anchorx="page" anchory="page"/>
          </v:shape>
        </w:pict>
      </w:r>
      <w:r>
        <w:pict w14:anchorId="7C6A2AB6">
          <v:shape id="_x0000_s1038" type="#_x0000_t202" style="position:absolute;margin-left:89pt;margin-top:119.7pt;width:435.5pt;height:64.6pt;z-index:-3136;mso-position-horizontal-relative:page;mso-position-vertical-relative:page" filled="f" stroked="f">
            <v:textbox inset="0,0,0,0">
              <w:txbxContent>
                <w:p w14:paraId="5B027E23" w14:textId="77777777" w:rsidR="00712CF6" w:rsidRPr="0082625A" w:rsidRDefault="0082625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79"/>
                      <w:tab w:val="left" w:pos="380"/>
                    </w:tabs>
                    <w:spacing w:line="250" w:lineRule="exact"/>
                    <w:ind w:hanging="359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It identifies the common theme or rhetorical</w:t>
                  </w:r>
                  <w:r w:rsidRPr="0082625A">
                    <w:rPr>
                      <w:rFonts w:ascii="Lato" w:hAnsi="Lato"/>
                      <w:spacing w:val="-13"/>
                      <w:sz w:val="20"/>
                      <w:szCs w:val="20"/>
                    </w:rPr>
                    <w:t xml:space="preserve"> 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strategy</w:t>
                  </w:r>
                </w:p>
                <w:p w14:paraId="09ADF509" w14:textId="77777777" w:rsidR="00712CF6" w:rsidRPr="0082625A" w:rsidRDefault="0082625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</w:tabs>
                    <w:spacing w:before="0"/>
                    <w:ind w:hanging="359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It identifies how the authors are using that theme or rhetorical</w:t>
                  </w:r>
                  <w:r w:rsidRPr="0082625A">
                    <w:rPr>
                      <w:rFonts w:ascii="Lato" w:hAnsi="Lato"/>
                      <w:spacing w:val="-16"/>
                      <w:sz w:val="20"/>
                      <w:szCs w:val="20"/>
                    </w:rPr>
                    <w:t xml:space="preserve"> 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strategy</w:t>
                  </w:r>
                </w:p>
                <w:p w14:paraId="719E1875" w14:textId="77777777" w:rsidR="00712CF6" w:rsidRPr="0082625A" w:rsidRDefault="0082625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0"/>
                      <w:tab w:val="left" w:pos="2268"/>
                    </w:tabs>
                    <w:spacing w:before="2"/>
                    <w:ind w:right="17" w:hanging="359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Beyond stating the similarities and/or differences, it asserts what larger idea can be arrived at by looking at both texts. It’s not enough to </w:t>
                  </w:r>
                  <w:proofErr w:type="gramStart"/>
                  <w:r w:rsidRPr="0082625A">
                    <w:rPr>
                      <w:rFonts w:ascii="Lato" w:hAnsi="Lato"/>
                      <w:sz w:val="20"/>
                      <w:szCs w:val="20"/>
                    </w:rPr>
                    <w:t>say</w:t>
                  </w:r>
                  <w:proofErr w:type="gramEnd"/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“Both author A </w:t>
                  </w:r>
                  <w:r w:rsidRPr="0082625A">
                    <w:rPr>
                      <w:rFonts w:ascii="Lato" w:hAnsi="Lato"/>
                      <w:spacing w:val="-2"/>
                      <w:sz w:val="20"/>
                      <w:szCs w:val="20"/>
                    </w:rPr>
                    <w:t xml:space="preserve">and 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Author B discuss</w:t>
                  </w:r>
                  <w:r w:rsidRPr="0082625A">
                    <w:rPr>
                      <w:rFonts w:ascii="Lato" w:hAnsi="Lato"/>
                      <w:sz w:val="20"/>
                      <w:szCs w:val="20"/>
                      <w:u w:val="single"/>
                    </w:rPr>
                    <w:t xml:space="preserve"> </w:t>
                  </w:r>
                  <w:r w:rsidRPr="0082625A">
                    <w:rPr>
                      <w:rFonts w:ascii="Lato" w:hAnsi="Lato"/>
                      <w:sz w:val="20"/>
                      <w:szCs w:val="20"/>
                      <w:u w:val="single"/>
                    </w:rPr>
                    <w:tab/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.” Why is that</w:t>
                  </w:r>
                  <w:r w:rsidRPr="0082625A">
                    <w:rPr>
                      <w:rFonts w:ascii="Lato" w:hAnsi="Lato"/>
                      <w:spacing w:val="-5"/>
                      <w:sz w:val="20"/>
                      <w:szCs w:val="20"/>
                    </w:rPr>
                    <w:t xml:space="preserve"> 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important?</w:t>
                  </w:r>
                </w:p>
              </w:txbxContent>
            </v:textbox>
            <w10:wrap anchorx="page" anchory="page"/>
          </v:shape>
        </w:pict>
      </w:r>
      <w:r>
        <w:pict w14:anchorId="0FF57212">
          <v:shape id="_x0000_s1037" type="#_x0000_t202" style="position:absolute;margin-left:71pt;margin-top:206.6pt;width:244.25pt;height:14.55pt;z-index:-3112;mso-position-horizontal-relative:page;mso-position-vertical-relative:page" filled="f" stroked="f">
            <v:textbox inset="0,0,0,0">
              <w:txbxContent>
                <w:p w14:paraId="50E98147" w14:textId="77777777" w:rsidR="00712CF6" w:rsidRPr="0082625A" w:rsidRDefault="0082625A">
                  <w:pPr>
                    <w:pStyle w:val="BodyText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Examples of thesis statements that you have seen:</w:t>
                  </w:r>
                </w:p>
              </w:txbxContent>
            </v:textbox>
            <w10:wrap anchorx="page" anchory="page"/>
          </v:shape>
        </w:pict>
      </w:r>
      <w:r>
        <w:pict w14:anchorId="5625CA05">
          <v:shape id="_x0000_s1036" type="#_x0000_t202" style="position:absolute;margin-left:89pt;margin-top:230.9pt;width:7.05pt;height:15.55pt;z-index:-3088;mso-position-horizontal-relative:page;mso-position-vertical-relative:page" filled="f" stroked="f">
            <v:textbox inset="0,0,0,0">
              <w:txbxContent>
                <w:p w14:paraId="1B64184A" w14:textId="77777777" w:rsidR="00712CF6" w:rsidRDefault="0082625A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02C4057A">
          <v:shape id="_x0000_s1035" type="#_x0000_t202" style="position:absolute;margin-left:107pt;margin-top:231.9pt;width:417.4pt;height:39.7pt;z-index:-3064;mso-position-horizontal-relative:page;mso-position-vertical-relative:page" filled="f" stroked="f">
            <v:textbox inset="0,0,0,0">
              <w:txbxContent>
                <w:p w14:paraId="4EE0BD5B" w14:textId="77777777" w:rsidR="00712CF6" w:rsidRPr="0082625A" w:rsidRDefault="0082625A">
                  <w:pPr>
                    <w:pStyle w:val="BodyText"/>
                    <w:ind w:right="-4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When these essays are examined together, we find that both show that on the way to discovering oneself, there should be a focus on not only ourselves and our actions, but also a focus on understanding the nature of the world around us.</w:t>
                  </w:r>
                </w:p>
              </w:txbxContent>
            </v:textbox>
            <w10:wrap anchorx="page" anchory="page"/>
          </v:shape>
        </w:pict>
      </w:r>
      <w:r>
        <w:pict w14:anchorId="3512BCC3">
          <v:shape id="_x0000_s1034" type="#_x0000_t202" style="position:absolute;margin-left:89pt;margin-top:293.95pt;width:7.05pt;height:15.55pt;z-index:-3040;mso-position-horizontal-relative:page;mso-position-vertical-relative:page" filled="f" stroked="f">
            <v:textbox inset="0,0,0,0">
              <w:txbxContent>
                <w:p w14:paraId="3D6AAECA" w14:textId="77777777" w:rsidR="00712CF6" w:rsidRDefault="0082625A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2AE05B76">
          <v:shape id="_x0000_s1033" type="#_x0000_t202" style="position:absolute;margin-left:107pt;margin-top:294.95pt;width:430.6pt;height:64.6pt;z-index:-3016;mso-position-horizontal-relative:page;mso-position-vertical-relative:page" filled="f" stroked="f">
            <v:textbox inset="0,0,0,0">
              <w:txbxContent>
                <w:p w14:paraId="2DF6D8DB" w14:textId="77777777" w:rsidR="00712CF6" w:rsidRPr="0082625A" w:rsidRDefault="0082625A">
                  <w:pPr>
                    <w:pStyle w:val="BodyText"/>
                    <w:ind w:right="1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Both authors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argue that by taking a path of </w:t>
                  </w:r>
                  <w:r w:rsidRPr="0082625A">
                    <w:rPr>
                      <w:rFonts w:ascii="Lato" w:hAnsi="Lato"/>
                      <w:i/>
                      <w:sz w:val="20"/>
                      <w:szCs w:val="20"/>
                    </w:rPr>
                    <w:t xml:space="preserve">greater 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resistance, people can make a difference against injustice which exists in society: in </w:t>
                  </w:r>
                  <w:r w:rsidRPr="0082625A">
                    <w:rPr>
                      <w:rFonts w:ascii="Lato" w:hAnsi="Lato"/>
                      <w:i/>
                      <w:sz w:val="20"/>
                      <w:szCs w:val="20"/>
                    </w:rPr>
                    <w:t>Bless Me, Ultima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, the characters of Antonio and Ultima challenge the choice of taking a path of least resistance, as introduced b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y Johnson in </w:t>
                  </w:r>
                  <w:r w:rsidRPr="0082625A">
                    <w:rPr>
                      <w:rFonts w:ascii="Lato" w:hAnsi="Lato"/>
                      <w:i/>
                      <w:sz w:val="20"/>
                      <w:szCs w:val="20"/>
                    </w:rPr>
                    <w:t>Privilege, Power, and Difference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>, by standing up against injustices.</w:t>
                  </w:r>
                </w:p>
              </w:txbxContent>
            </v:textbox>
            <w10:wrap anchorx="page" anchory="page"/>
          </v:shape>
        </w:pict>
      </w:r>
      <w:r>
        <w:pict w14:anchorId="7C218772">
          <v:shape id="_x0000_s1032" type="#_x0000_t202" style="position:absolute;margin-left:89pt;margin-top:381.9pt;width:7.05pt;height:15.55pt;z-index:-2992;mso-position-horizontal-relative:page;mso-position-vertical-relative:page" filled="f" stroked="f">
            <v:textbox inset="0,0,0,0">
              <w:txbxContent>
                <w:p w14:paraId="39ED64D0" w14:textId="77777777" w:rsidR="00712CF6" w:rsidRDefault="0082625A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2D56087E">
          <v:shape id="_x0000_s1031" type="#_x0000_t202" style="position:absolute;margin-left:107pt;margin-top:382.9pt;width:432.4pt;height:52.15pt;z-index:-2968;mso-position-horizontal-relative:page;mso-position-vertical-relative:page" filled="f" stroked="f">
            <v:textbox inset="0,0,0,0">
              <w:txbxContent>
                <w:p w14:paraId="59BCBC5E" w14:textId="77777777" w:rsidR="00712CF6" w:rsidRPr="0082625A" w:rsidRDefault="0082625A">
                  <w:pPr>
                    <w:pStyle w:val="BodyText"/>
                    <w:ind w:right="-2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While the backgrounds of these two authors differ significantly, both discuss these two opposing types of education; Freire defines the concepts and </w:t>
                  </w:r>
                  <w:proofErr w:type="spellStart"/>
                  <w:r w:rsidRPr="0082625A">
                    <w:rPr>
                      <w:rFonts w:ascii="Lato" w:hAnsi="Lato"/>
                      <w:sz w:val="20"/>
                      <w:szCs w:val="20"/>
                    </w:rPr>
                    <w:t>Anyon</w:t>
                  </w:r>
                  <w:proofErr w:type="spellEnd"/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illustrates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them with her research. [I’m not as crazy about this one. I am left asking: what’s the point? What’s the bigger picture?]</w:t>
                  </w:r>
                </w:p>
              </w:txbxContent>
            </v:textbox>
            <w10:wrap anchorx="page" anchory="page"/>
          </v:shape>
        </w:pict>
      </w:r>
      <w:r>
        <w:pict w14:anchorId="589088C9">
          <v:shape id="_x0000_s1030" type="#_x0000_t202" style="position:absolute;margin-left:89pt;margin-top:457.4pt;width:7.05pt;height:15.55pt;z-index:-2944;mso-position-horizontal-relative:page;mso-position-vertical-relative:page" filled="f" stroked="f">
            <v:textbox inset="0,0,0,0">
              <w:txbxContent>
                <w:p w14:paraId="07F4B699" w14:textId="77777777" w:rsidR="00712CF6" w:rsidRDefault="0082625A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3BDC7E02">
          <v:shape id="_x0000_s1029" type="#_x0000_t202" style="position:absolute;margin-left:107pt;margin-top:458.4pt;width:427.6pt;height:52pt;z-index:-2920;mso-position-horizontal-relative:page;mso-position-vertical-relative:page" filled="f" stroked="f">
            <v:textbox inset="0,0,0,0">
              <w:txbxContent>
                <w:p w14:paraId="7348010D" w14:textId="77777777" w:rsidR="00712CF6" w:rsidRPr="0082625A" w:rsidRDefault="0082625A">
                  <w:pPr>
                    <w:pStyle w:val="BodyText"/>
                    <w:ind w:right="-5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>Looking at the two articles together makes it clear that geographical location can impact the kinds of struggles its citizens</w:t>
                  </w: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face and how those citizens are able to make the changes needed to improve the economy. Thus, we should realize that a one-size-fits-all approach is not effective.</w:t>
                  </w:r>
                </w:p>
              </w:txbxContent>
            </v:textbox>
            <w10:wrap anchorx="page" anchory="page"/>
          </v:shape>
        </w:pict>
      </w:r>
      <w:r>
        <w:pict w14:anchorId="14DAD74A">
          <v:shape id="_x0000_s1028" type="#_x0000_t202" style="position:absolute;margin-left:89pt;margin-top:532.9pt;width:7.05pt;height:15.55pt;z-index:-2896;mso-position-horizontal-relative:page;mso-position-vertical-relative:page" filled="f" stroked="f">
            <v:textbox inset="0,0,0,0">
              <w:txbxContent>
                <w:p w14:paraId="11435AB2" w14:textId="77777777" w:rsidR="00712CF6" w:rsidRDefault="0082625A">
                  <w:pPr>
                    <w:pStyle w:val="BodyText"/>
                    <w:spacing w:before="2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 w14:anchorId="2A81ED14">
          <v:shape id="_x0000_s1027" type="#_x0000_t202" style="position:absolute;margin-left:107pt;margin-top:533.85pt;width:398.55pt;height:39.55pt;z-index:-2872;mso-position-horizontal-relative:page;mso-position-vertical-relative:page" filled="f" stroked="f">
            <v:textbox inset="0,0,0,0">
              <w:txbxContent>
                <w:p w14:paraId="3DEB2123" w14:textId="77777777" w:rsidR="00712CF6" w:rsidRPr="0082625A" w:rsidRDefault="0082625A">
                  <w:pPr>
                    <w:pStyle w:val="BodyText"/>
                    <w:ind w:right="-1"/>
                    <w:rPr>
                      <w:rFonts w:ascii="Lato" w:hAnsi="Lato"/>
                      <w:sz w:val="20"/>
                      <w:szCs w:val="20"/>
                    </w:rPr>
                  </w:pPr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Examining how education becomes a tool to overcome limitations in </w:t>
                  </w:r>
                  <w:proofErr w:type="gramStart"/>
                  <w:r w:rsidRPr="0082625A">
                    <w:rPr>
                      <w:rFonts w:ascii="Lato" w:hAnsi="Lato"/>
                      <w:sz w:val="20"/>
                      <w:szCs w:val="20"/>
                    </w:rPr>
                    <w:t>both of these</w:t>
                  </w:r>
                  <w:proofErr w:type="gramEnd"/>
                  <w:r w:rsidRPr="0082625A">
                    <w:rPr>
                      <w:rFonts w:ascii="Lato" w:hAnsi="Lato"/>
                      <w:sz w:val="20"/>
                      <w:szCs w:val="20"/>
                    </w:rPr>
                    <w:t xml:space="preserve"> authors’ lives shows us the true power of education; it can be a mechanism for transforming one’s social identity.</w:t>
                  </w:r>
                </w:p>
              </w:txbxContent>
            </v:textbox>
            <w10:wrap anchorx="page" anchory="page"/>
          </v:shape>
        </w:pict>
      </w:r>
      <w:r>
        <w:pict w14:anchorId="5570DEC6">
          <v:shape id="_x0000_s1026" type="#_x0000_t202" style="position:absolute;margin-left:145.9pt;margin-top:169.85pt;width:59.1pt;height:12pt;z-index:-2848;mso-position-horizontal-relative:page;mso-position-vertical-relative:page" filled="f" stroked="f">
            <v:textbox inset="0,0,0,0">
              <w:txbxContent>
                <w:p w14:paraId="7607C5B1" w14:textId="77777777" w:rsidR="00712CF6" w:rsidRDefault="00712CF6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12CF6">
      <w:type w:val="continuous"/>
      <w:pgSz w:w="12240" w:h="15840"/>
      <w:pgMar w:top="14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6D"/>
    <w:multiLevelType w:val="hybridMultilevel"/>
    <w:tmpl w:val="F11E8B9A"/>
    <w:lvl w:ilvl="0" w:tplc="2FB0DEE8">
      <w:start w:val="1"/>
      <w:numFmt w:val="decimal"/>
      <w:lvlText w:val="%1."/>
      <w:lvlJc w:val="left"/>
      <w:pPr>
        <w:ind w:left="379" w:hanging="360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en-US"/>
      </w:rPr>
    </w:lvl>
    <w:lvl w:ilvl="1" w:tplc="2884CDFC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en-US"/>
      </w:rPr>
    </w:lvl>
    <w:lvl w:ilvl="2" w:tplc="FAF05074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3" w:tplc="0248F1AA">
      <w:numFmt w:val="bullet"/>
      <w:lvlText w:val="•"/>
      <w:lvlJc w:val="left"/>
      <w:pPr>
        <w:ind w:left="2879" w:hanging="360"/>
      </w:pPr>
      <w:rPr>
        <w:rFonts w:hint="default"/>
        <w:lang w:val="en-US" w:eastAsia="en-US" w:bidi="en-US"/>
      </w:rPr>
    </w:lvl>
    <w:lvl w:ilvl="4" w:tplc="9E50FBE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en-US"/>
      </w:rPr>
    </w:lvl>
    <w:lvl w:ilvl="5" w:tplc="4C8E515A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en-US"/>
      </w:rPr>
    </w:lvl>
    <w:lvl w:ilvl="6" w:tplc="6A326DB2">
      <w:numFmt w:val="bullet"/>
      <w:lvlText w:val="•"/>
      <w:lvlJc w:val="left"/>
      <w:pPr>
        <w:ind w:left="5378" w:hanging="360"/>
      </w:pPr>
      <w:rPr>
        <w:rFonts w:hint="default"/>
        <w:lang w:val="en-US" w:eastAsia="en-US" w:bidi="en-US"/>
      </w:rPr>
    </w:lvl>
    <w:lvl w:ilvl="7" w:tplc="BC02406E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en-US"/>
      </w:rPr>
    </w:lvl>
    <w:lvl w:ilvl="8" w:tplc="445C051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F6"/>
    <w:rsid w:val="00712CF6"/>
    <w:rsid w:val="0082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DC22A98"/>
  <w15:docId w15:val="{A360B6C2-18B7-4B06-B748-2A7FD780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Sunbal</cp:lastModifiedBy>
  <cp:revision>2</cp:revision>
  <dcterms:created xsi:type="dcterms:W3CDTF">2019-06-10T14:21:00Z</dcterms:created>
  <dcterms:modified xsi:type="dcterms:W3CDTF">2022-03-04T10:47:00Z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