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CB27" w14:textId="11A1EC9E" w:rsidR="0069612E" w:rsidRPr="0007797B" w:rsidRDefault="0007797B" w:rsidP="0007797B">
      <w:pPr>
        <w:spacing w:before="100" w:beforeAutospacing="1" w:after="100" w:afterAutospacing="1" w:line="240" w:lineRule="auto"/>
        <w:jc w:val="both"/>
        <w:rPr>
          <w:rFonts w:ascii="Lato" w:eastAsia="Times New Roman" w:hAnsi="Lato" w:cs="Times New Roman"/>
          <w:sz w:val="32"/>
          <w:szCs w:val="32"/>
        </w:rPr>
      </w:pPr>
      <w:r w:rsidRPr="0007797B">
        <w:rPr>
          <w:rFonts w:ascii="Lato" w:eastAsia="Times New Roman" w:hAnsi="Lato" w:cs="Times New Roman"/>
          <w:b/>
          <w:bCs/>
          <w:sz w:val="32"/>
          <w:szCs w:val="32"/>
        </w:rPr>
        <w:t xml:space="preserve">                                                </w:t>
      </w:r>
      <w:r w:rsidR="0069612E" w:rsidRPr="0007797B">
        <w:rPr>
          <w:rFonts w:ascii="Lato" w:eastAsia="Times New Roman" w:hAnsi="Lato" w:cs="Times New Roman"/>
          <w:b/>
          <w:bCs/>
          <w:sz w:val="32"/>
          <w:szCs w:val="32"/>
        </w:rPr>
        <w:t>Sample Literature Reviews</w:t>
      </w:r>
    </w:p>
    <w:p w14:paraId="5895A5EC" w14:textId="77777777" w:rsidR="0007797B" w:rsidRDefault="0007797B" w:rsidP="0007797B">
      <w:pPr>
        <w:spacing w:before="100" w:beforeAutospacing="1" w:after="100" w:afterAutospacing="1" w:line="240" w:lineRule="auto"/>
        <w:jc w:val="both"/>
        <w:rPr>
          <w:rFonts w:ascii="Lato" w:eastAsia="Times New Roman" w:hAnsi="Lato" w:cs="Times New Roman"/>
          <w:sz w:val="24"/>
          <w:szCs w:val="24"/>
        </w:rPr>
      </w:pPr>
    </w:p>
    <w:p w14:paraId="78E7E0FA" w14:textId="0BFF34B4"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Below I provide you with two literature reviews excerpted from published articles.  They can be a bit technical, but they provide you with a sense of what a literature review should look like.</w:t>
      </w:r>
    </w:p>
    <w:p w14:paraId="72AEE256"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 xml:space="preserve">Note that in each case, the literature review begins with </w:t>
      </w:r>
      <w:r w:rsidRPr="0007797B">
        <w:rPr>
          <w:rFonts w:ascii="Lato" w:eastAsia="Times New Roman" w:hAnsi="Lato" w:cs="Times New Roman"/>
          <w:i/>
          <w:iCs/>
          <w:sz w:val="24"/>
          <w:szCs w:val="24"/>
        </w:rPr>
        <w:t>a short introduction</w:t>
      </w:r>
      <w:r w:rsidRPr="0007797B">
        <w:rPr>
          <w:rFonts w:ascii="Lato" w:eastAsia="Times New Roman" w:hAnsi="Lato" w:cs="Times New Roman"/>
          <w:sz w:val="24"/>
          <w:szCs w:val="24"/>
        </w:rPr>
        <w:t xml:space="preserve"> that provides background on the topic and the sources covered.  Also, the sources discussed are arranged into </w:t>
      </w:r>
      <w:r w:rsidRPr="0007797B">
        <w:rPr>
          <w:rFonts w:ascii="Lato" w:eastAsia="Times New Roman" w:hAnsi="Lato" w:cs="Times New Roman"/>
          <w:i/>
          <w:iCs/>
          <w:sz w:val="24"/>
          <w:szCs w:val="24"/>
        </w:rPr>
        <w:t>paragraphs</w:t>
      </w:r>
      <w:r w:rsidRPr="0007797B">
        <w:rPr>
          <w:rFonts w:ascii="Lato" w:eastAsia="Times New Roman" w:hAnsi="Lato" w:cs="Times New Roman"/>
          <w:sz w:val="24"/>
          <w:szCs w:val="24"/>
        </w:rPr>
        <w:t xml:space="preserve"> that focus on one aspect or another of the topic.  The discussion of the various sources is </w:t>
      </w:r>
      <w:r w:rsidRPr="0007797B">
        <w:rPr>
          <w:rFonts w:ascii="Lato" w:eastAsia="Times New Roman" w:hAnsi="Lato" w:cs="Times New Roman"/>
          <w:i/>
          <w:iCs/>
          <w:sz w:val="24"/>
          <w:szCs w:val="24"/>
        </w:rPr>
        <w:t>organized logically</w:t>
      </w:r>
      <w:r w:rsidRPr="0007797B">
        <w:rPr>
          <w:rFonts w:ascii="Lato" w:eastAsia="Times New Roman" w:hAnsi="Lato" w:cs="Times New Roman"/>
          <w:sz w:val="24"/>
          <w:szCs w:val="24"/>
        </w:rPr>
        <w:t xml:space="preserve">.  Sources aren’t introduced randomly, one by one.  They’re </w:t>
      </w:r>
      <w:r w:rsidRPr="0007797B">
        <w:rPr>
          <w:rFonts w:ascii="Lato" w:eastAsia="Times New Roman" w:hAnsi="Lato" w:cs="Times New Roman"/>
          <w:i/>
          <w:iCs/>
          <w:sz w:val="24"/>
          <w:szCs w:val="24"/>
        </w:rPr>
        <w:t>grouped together</w:t>
      </w:r>
      <w:r w:rsidRPr="0007797B">
        <w:rPr>
          <w:rFonts w:ascii="Lato" w:eastAsia="Times New Roman" w:hAnsi="Lato" w:cs="Times New Roman"/>
          <w:sz w:val="24"/>
          <w:szCs w:val="24"/>
        </w:rPr>
        <w:t>.  All the sources that deal with similar ideas or information are in the same paragraph.  Sometimes, a particularly important or interesting source gets a paragraph to itself, but more typically, sources are dealt with in groups according to their subject matter or methodology.</w:t>
      </w:r>
    </w:p>
    <w:p w14:paraId="3A2DDF79"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 xml:space="preserve">In terms of </w:t>
      </w:r>
      <w:r w:rsidRPr="0007797B">
        <w:rPr>
          <w:rFonts w:ascii="Lato" w:eastAsia="Times New Roman" w:hAnsi="Lato" w:cs="Times New Roman"/>
          <w:i/>
          <w:iCs/>
          <w:sz w:val="24"/>
          <w:szCs w:val="24"/>
        </w:rPr>
        <w:t>evaluating the sources</w:t>
      </w:r>
      <w:r w:rsidRPr="0007797B">
        <w:rPr>
          <w:rFonts w:ascii="Lato" w:eastAsia="Times New Roman" w:hAnsi="Lato" w:cs="Times New Roman"/>
          <w:sz w:val="24"/>
          <w:szCs w:val="24"/>
        </w:rPr>
        <w:t xml:space="preserve">, note that the literature reviews focus on one area of overall weakness in the sources they cover.  Each source isn’t evaluated separately.  The strengths and weaknesses enumerated in the reviews are primarily the strengths and weaknesses of the literature as a whole.  What is evaluated isn’t individual sources so much as the whole collection of sources, taken together.  The </w:t>
      </w:r>
      <w:r w:rsidRPr="0007797B">
        <w:rPr>
          <w:rFonts w:ascii="Lato" w:eastAsia="Times New Roman" w:hAnsi="Lato" w:cs="Times New Roman"/>
          <w:i/>
          <w:iCs/>
          <w:sz w:val="24"/>
          <w:szCs w:val="24"/>
        </w:rPr>
        <w:t>claim</w:t>
      </w:r>
      <w:r w:rsidRPr="0007797B">
        <w:rPr>
          <w:rFonts w:ascii="Lato" w:eastAsia="Times New Roman" w:hAnsi="Lato" w:cs="Times New Roman"/>
          <w:sz w:val="24"/>
          <w:szCs w:val="24"/>
        </w:rPr>
        <w:t xml:space="preserve"> in a literature review isn’t that “Source X is/is not a good source” but that “the research on Topic X is/is not good and complete research.”</w:t>
      </w:r>
    </w:p>
    <w:p w14:paraId="0CE303E5"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So, as you consider and prepare your literature review, you will need to think about what criteria you should use to evaluate the literature on your topic collectively.  What claim can you make about the weakness(es) of the literature on your topic?  Where is the published research on your topic inadequate or incomplete?  What hasn’t been researched thoroughly yet?  What still needs corroboration or verification?  Where is there an overall need for more research?</w:t>
      </w:r>
    </w:p>
    <w:p w14:paraId="7C1920FC"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 xml:space="preserve">What the literature reviews below lack (because they’re all excerpted from longer articles) is a </w:t>
      </w:r>
      <w:r w:rsidRPr="0007797B">
        <w:rPr>
          <w:rFonts w:ascii="Lato" w:eastAsia="Times New Roman" w:hAnsi="Lato" w:cs="Times New Roman"/>
          <w:i/>
          <w:iCs/>
          <w:sz w:val="24"/>
          <w:szCs w:val="24"/>
        </w:rPr>
        <w:t>conclusion</w:t>
      </w:r>
      <w:r w:rsidRPr="0007797B">
        <w:rPr>
          <w:rFonts w:ascii="Lato" w:eastAsia="Times New Roman" w:hAnsi="Lato" w:cs="Times New Roman"/>
          <w:sz w:val="24"/>
          <w:szCs w:val="24"/>
        </w:rPr>
        <w:t>.  Your literature review should end with a brief conclusion that draws everything together and restates your main claim.</w:t>
      </w:r>
    </w:p>
    <w:p w14:paraId="6B13579C"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 xml:space="preserve">Like the examples below, you will need a </w:t>
      </w:r>
      <w:r w:rsidRPr="0007797B">
        <w:rPr>
          <w:rFonts w:ascii="Lato" w:eastAsia="Times New Roman" w:hAnsi="Lato" w:cs="Times New Roman"/>
          <w:i/>
          <w:iCs/>
          <w:sz w:val="24"/>
          <w:szCs w:val="24"/>
        </w:rPr>
        <w:t>references page</w:t>
      </w:r>
      <w:r w:rsidRPr="0007797B">
        <w:rPr>
          <w:rFonts w:ascii="Lato" w:eastAsia="Times New Roman" w:hAnsi="Lato" w:cs="Times New Roman"/>
          <w:sz w:val="24"/>
          <w:szCs w:val="24"/>
        </w:rPr>
        <w:t xml:space="preserve"> at the end of your literature review (preferably in APA or CBE style).  Unlike the examples below, however, your references page won’t be so long.  The lists of references below include all the sources used in the two articles (not just the sources used in the literature reviews that I excerpted from the articles).  Since you’re writing only a literature review (not an entire scholarly article), your list of references will be considerably shorter.  I included the complete lists of references below to give you some sense of how to document various kinds of sources.</w:t>
      </w:r>
    </w:p>
    <w:p w14:paraId="6014E372" w14:textId="77777777" w:rsidR="0069612E" w:rsidRPr="0007797B" w:rsidRDefault="0007797B" w:rsidP="0007797B">
      <w:pPr>
        <w:spacing w:after="0" w:line="240" w:lineRule="auto"/>
        <w:jc w:val="both"/>
        <w:rPr>
          <w:rFonts w:ascii="Lato" w:eastAsia="Times New Roman" w:hAnsi="Lato" w:cs="Times New Roman"/>
          <w:sz w:val="24"/>
          <w:szCs w:val="24"/>
        </w:rPr>
      </w:pPr>
      <w:r w:rsidRPr="0007797B">
        <w:rPr>
          <w:rFonts w:ascii="Lato" w:eastAsia="Times New Roman" w:hAnsi="Lato" w:cs="Times New Roman"/>
          <w:sz w:val="24"/>
          <w:szCs w:val="24"/>
        </w:rPr>
        <w:lastRenderedPageBreak/>
        <w:pict w14:anchorId="754E37F4">
          <v:rect id="_x0000_i1025" style="width:0;height:1.5pt" o:hralign="center" o:hrstd="t" o:hr="t" fillcolor="#a0a0a0" stroked="f"/>
        </w:pict>
      </w:r>
    </w:p>
    <w:p w14:paraId="1C667C49" w14:textId="77777777" w:rsidR="0069612E" w:rsidRPr="0007797B" w:rsidRDefault="0069612E" w:rsidP="0007797B">
      <w:pPr>
        <w:spacing w:before="100" w:beforeAutospacing="1" w:after="100" w:afterAutospacing="1" w:line="240" w:lineRule="auto"/>
        <w:jc w:val="both"/>
        <w:outlineLvl w:val="3"/>
        <w:rPr>
          <w:rFonts w:ascii="Lato" w:eastAsia="Times New Roman" w:hAnsi="Lato" w:cs="Times New Roman"/>
          <w:b/>
          <w:bCs/>
          <w:sz w:val="24"/>
          <w:szCs w:val="24"/>
        </w:rPr>
      </w:pPr>
      <w:r w:rsidRPr="0007797B">
        <w:rPr>
          <w:rFonts w:ascii="Lato" w:eastAsia="Times New Roman" w:hAnsi="Lato" w:cs="Times New Roman"/>
          <w:b/>
          <w:bCs/>
          <w:sz w:val="24"/>
          <w:szCs w:val="24"/>
        </w:rPr>
        <w:t xml:space="preserve">From “Can Small-City Downtowns Remain Viable? A National Study of Development Issues and Strategies,” </w:t>
      </w:r>
      <w:r w:rsidRPr="0007797B">
        <w:rPr>
          <w:rFonts w:ascii="Lato" w:eastAsia="Times New Roman" w:hAnsi="Lato" w:cs="Times New Roman"/>
          <w:b/>
          <w:bCs/>
          <w:i/>
          <w:iCs/>
          <w:sz w:val="24"/>
          <w:szCs w:val="24"/>
        </w:rPr>
        <w:t>Journal of the American Planning Association</w:t>
      </w:r>
      <w:r w:rsidRPr="0007797B">
        <w:rPr>
          <w:rFonts w:ascii="Lato" w:eastAsia="Times New Roman" w:hAnsi="Lato" w:cs="Times New Roman"/>
          <w:b/>
          <w:bCs/>
          <w:sz w:val="24"/>
          <w:szCs w:val="24"/>
        </w:rPr>
        <w:t xml:space="preserve"> 65 (1999), 270-284:</w:t>
      </w:r>
    </w:p>
    <w:p w14:paraId="22BAB744"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Downtowns play a critical role in the health of most freestanding small cities in the United States. The downtown constitutes a sizable share of a city's tax base--often more than any other district in the city--as well as the site for major public investments over the years. Given that most downtowns are situated where the city originated and contain many of the oldest and most recognizable buildings, they also embody the heritage of a community. For generations the downtown has served as the traditional gathering place for parades, festivals, celebrations, and other community events. And perhaps most importantly, the very identity of a small city is intertwined with the image projected by its downtown, to an even greater extent than holds true for a large city. Taken together, these factors clearly demonstrate that the downtown represents the heart and soul of most small cities.</w:t>
      </w:r>
    </w:p>
    <w:p w14:paraId="70156EC3"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Despite this importance, most of the professional and scholarly literature on downtown development has neglected small cities. Frieden and Sagalyn's (1999) widely cited book Downtown, Inc. concentrates on large-scale projects in Seattle, Boston, St. Paul, and San Diego, while Loukaitou-Sideris and Banerjee (1998) profile Los Angeles, San Francisco, and San Diego in their book on downtown design. Almost all the examples provided in Whyte (1988), Abbott (1993), and Robertson (1995) are from large cities, and Brooks and Young (1993) use New Orleans as their case study. The Downtown Development Handbook (McBee, 1992), considered by many to be the bible of downtown development, is heavily dependent on projects in large cities to illustrate key points. Articles addressing a particular downtown development strategy such as retailing (Robertson, 1997; Sawicki, 1989), stadiums (Noll &amp; Zimbalist, 1997; Rosentraub, Swindell, Pryzbylski, &amp; Mullins, 1994), pedestrianization (Byers, 1998; Robertson, 1993), and open space (Loukaitou-Sideris, 1993; Mozingo, 1989) all emphasize large cities as well. The professional magazine Urban Land has published numerous articles on downtown development in recent years, most of which feature a single large city (e.g., Holt, 1998; Howland, 1998; Lockwood, 1996)....</w:t>
      </w:r>
    </w:p>
    <w:p w14:paraId="01471E7D"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 xml:space="preserve">The scant literature on small-city downtowns does include a few noteworthy items. Francaviglia's Main Street Revisited (1996) provides an excellent overview of the origin and evolution of downtown street patterns and architecture and how these relate to today's image of "main street." While much of his discussion is relevant to cities of 25,000 to 50,000 population, the primary emphasis is on even smaller towns. Kenyon's (1989) study of 21 small cities in Georgia ranging in population from 3,000 to 43,000 demonstrates how the social and community significance of downtowns has exceeded the more traditional commercial function. Finally, the National Main Street Center has produced two useful volumes (1988; Dane, 1997). The earlier work reports on a national survey of downtown development in which nearly half the cities surveyed had less than 50,000 population.  The latter volume contains four-page profiles of 44 successful downtown development initiatives across the country; 41 of these profiles feature cities with less than 50,000 population, including 12 in the 25,000 to 50,000 range. The remainder of the </w:t>
      </w:r>
      <w:r w:rsidRPr="0007797B">
        <w:rPr>
          <w:rFonts w:ascii="Lato" w:eastAsia="Times New Roman" w:hAnsi="Lato" w:cs="Times New Roman"/>
          <w:sz w:val="24"/>
          <w:szCs w:val="24"/>
        </w:rPr>
        <w:lastRenderedPageBreak/>
        <w:t>professional literature on small-city downtowns tends to be nonanalytical and descriptive, and presents development efforts in one downtown (e.g., Means, 1997; Meek, 1995; Ryder &amp; Gray, 1988; Seachord, 1997; Suchman, 1998)....</w:t>
      </w:r>
    </w:p>
    <w:p w14:paraId="20694767" w14:textId="77777777" w:rsidR="0069612E" w:rsidRPr="0007797B" w:rsidRDefault="0069612E" w:rsidP="0007797B">
      <w:pPr>
        <w:spacing w:before="100" w:beforeAutospacing="1" w:after="100" w:afterAutospacing="1" w:line="240" w:lineRule="auto"/>
        <w:rPr>
          <w:rFonts w:ascii="Lato" w:eastAsia="Times New Roman" w:hAnsi="Lato" w:cs="Times New Roman"/>
          <w:sz w:val="20"/>
          <w:szCs w:val="20"/>
        </w:rPr>
      </w:pPr>
      <w:r w:rsidRPr="0007797B">
        <w:rPr>
          <w:rFonts w:ascii="Lato" w:eastAsia="Times New Roman" w:hAnsi="Lato" w:cs="Times New Roman"/>
          <w:sz w:val="24"/>
          <w:szCs w:val="24"/>
        </w:rPr>
        <w:t>REFERENCES</w:t>
      </w:r>
      <w:r w:rsidRPr="0007797B">
        <w:rPr>
          <w:rFonts w:ascii="Lato" w:eastAsia="Times New Roman" w:hAnsi="Lato" w:cs="Times New Roman"/>
          <w:sz w:val="24"/>
          <w:szCs w:val="24"/>
        </w:rPr>
        <w:br/>
      </w:r>
      <w:r w:rsidRPr="0007797B">
        <w:rPr>
          <w:rFonts w:ascii="Lato" w:eastAsia="Times New Roman" w:hAnsi="Lato" w:cs="Times New Roman"/>
          <w:sz w:val="24"/>
          <w:szCs w:val="24"/>
        </w:rPr>
        <w:br/>
      </w:r>
      <w:r w:rsidRPr="0007797B">
        <w:rPr>
          <w:rFonts w:ascii="Lato" w:eastAsia="Times New Roman" w:hAnsi="Lato" w:cs="Times New Roman"/>
          <w:sz w:val="20"/>
          <w:szCs w:val="20"/>
        </w:rPr>
        <w:t>Abbott, C. (1993). Five downtown strategies: Policy discourse and downtown planning since 1945. Journal of Policy History, 5, 5-27. </w:t>
      </w:r>
      <w:r w:rsidRPr="0007797B">
        <w:rPr>
          <w:rFonts w:ascii="Lato" w:eastAsia="Times New Roman" w:hAnsi="Lato" w:cs="Times New Roman"/>
          <w:sz w:val="20"/>
          <w:szCs w:val="20"/>
        </w:rPr>
        <w:br/>
      </w:r>
      <w:r w:rsidRPr="0007797B">
        <w:rPr>
          <w:rFonts w:ascii="Lato" w:eastAsia="Times New Roman" w:hAnsi="Lato" w:cs="Times New Roman"/>
          <w:sz w:val="20"/>
          <w:szCs w:val="20"/>
        </w:rPr>
        <w:br/>
        <w:t>Breen, A., &amp; Rigby, D. (1994). Waterfronts: Cities reclaim their edge. New York: McGraw-Hill. </w:t>
      </w:r>
      <w:r w:rsidRPr="0007797B">
        <w:rPr>
          <w:rFonts w:ascii="Lato" w:eastAsia="Times New Roman" w:hAnsi="Lato" w:cs="Times New Roman"/>
          <w:sz w:val="20"/>
          <w:szCs w:val="20"/>
        </w:rPr>
        <w:br/>
      </w:r>
      <w:r w:rsidRPr="0007797B">
        <w:rPr>
          <w:rFonts w:ascii="Lato" w:eastAsia="Times New Roman" w:hAnsi="Lato" w:cs="Times New Roman"/>
          <w:sz w:val="20"/>
          <w:szCs w:val="20"/>
        </w:rPr>
        <w:br/>
        <w:t>Brooks, J. S., &amp; Young, A. H. (1993). Revitalizing the central business district in the face of decline. Town Planning Review, 64, 251-271. </w:t>
      </w:r>
      <w:r w:rsidRPr="0007797B">
        <w:rPr>
          <w:rFonts w:ascii="Lato" w:eastAsia="Times New Roman" w:hAnsi="Lato" w:cs="Times New Roman"/>
          <w:sz w:val="20"/>
          <w:szCs w:val="20"/>
        </w:rPr>
        <w:br/>
      </w:r>
      <w:r w:rsidRPr="0007797B">
        <w:rPr>
          <w:rFonts w:ascii="Lato" w:eastAsia="Times New Roman" w:hAnsi="Lato" w:cs="Times New Roman"/>
          <w:sz w:val="20"/>
          <w:szCs w:val="20"/>
        </w:rPr>
        <w:br/>
        <w:t>Brown, J. R., &amp; Lauber, M. (1995). Comeback cities. Urban Land, 54(8), 46-51, 83. </w:t>
      </w:r>
      <w:r w:rsidRPr="0007797B">
        <w:rPr>
          <w:rFonts w:ascii="Lato" w:eastAsia="Times New Roman" w:hAnsi="Lato" w:cs="Times New Roman"/>
          <w:sz w:val="20"/>
          <w:szCs w:val="20"/>
        </w:rPr>
        <w:br/>
      </w:r>
      <w:r w:rsidRPr="0007797B">
        <w:rPr>
          <w:rFonts w:ascii="Lato" w:eastAsia="Times New Roman" w:hAnsi="Lato" w:cs="Times New Roman"/>
          <w:sz w:val="20"/>
          <w:szCs w:val="20"/>
        </w:rPr>
        <w:br/>
        <w:t>Byers, J. (1998). The privatization of downtown public space: The emerging grade separated city in North America. Journal of Planning Education and Research, 17, 189-205. </w:t>
      </w:r>
      <w:r w:rsidRPr="0007797B">
        <w:rPr>
          <w:rFonts w:ascii="Lato" w:eastAsia="Times New Roman" w:hAnsi="Lato" w:cs="Times New Roman"/>
          <w:sz w:val="20"/>
          <w:szCs w:val="20"/>
        </w:rPr>
        <w:br/>
      </w:r>
      <w:r w:rsidRPr="0007797B">
        <w:rPr>
          <w:rFonts w:ascii="Lato" w:eastAsia="Times New Roman" w:hAnsi="Lato" w:cs="Times New Roman"/>
          <w:sz w:val="20"/>
          <w:szCs w:val="20"/>
        </w:rPr>
        <w:br/>
        <w:t>Carson City, Nevada. (1992, September). Downtown master plan element. Carson City: Author. </w:t>
      </w:r>
      <w:r w:rsidRPr="0007797B">
        <w:rPr>
          <w:rFonts w:ascii="Lato" w:eastAsia="Times New Roman" w:hAnsi="Lato" w:cs="Times New Roman"/>
          <w:sz w:val="20"/>
          <w:szCs w:val="20"/>
        </w:rPr>
        <w:br/>
      </w:r>
      <w:r w:rsidRPr="0007797B">
        <w:rPr>
          <w:rFonts w:ascii="Lato" w:eastAsia="Times New Roman" w:hAnsi="Lato" w:cs="Times New Roman"/>
          <w:sz w:val="20"/>
          <w:szCs w:val="20"/>
        </w:rPr>
        <w:br/>
        <w:t>City of Auburn, New York (1991). Auburn comprehensive plan. Auburn: Author. </w:t>
      </w:r>
      <w:r w:rsidRPr="0007797B">
        <w:rPr>
          <w:rFonts w:ascii="Lato" w:eastAsia="Times New Roman" w:hAnsi="Lato" w:cs="Times New Roman"/>
          <w:sz w:val="20"/>
          <w:szCs w:val="20"/>
        </w:rPr>
        <w:br/>
      </w:r>
      <w:r w:rsidRPr="0007797B">
        <w:rPr>
          <w:rFonts w:ascii="Lato" w:eastAsia="Times New Roman" w:hAnsi="Lato" w:cs="Times New Roman"/>
          <w:sz w:val="20"/>
          <w:szCs w:val="20"/>
        </w:rPr>
        <w:br/>
        <w:t>Dane, S. G. (1997). Main Street success stories. Washington, DC: National Main Street Center. </w:t>
      </w:r>
      <w:r w:rsidRPr="0007797B">
        <w:rPr>
          <w:rFonts w:ascii="Lato" w:eastAsia="Times New Roman" w:hAnsi="Lato" w:cs="Times New Roman"/>
          <w:sz w:val="20"/>
          <w:szCs w:val="20"/>
        </w:rPr>
        <w:br/>
      </w:r>
      <w:r w:rsidRPr="0007797B">
        <w:rPr>
          <w:rFonts w:ascii="Lato" w:eastAsia="Times New Roman" w:hAnsi="Lato" w:cs="Times New Roman"/>
          <w:sz w:val="20"/>
          <w:szCs w:val="20"/>
        </w:rPr>
        <w:br/>
        <w:t>Diaz, K. (1996, December 22). Minneapolis maps out downtown's future. Minneapolis Star-Tribune, pp. B1, B3. </w:t>
      </w:r>
      <w:r w:rsidRPr="0007797B">
        <w:rPr>
          <w:rFonts w:ascii="Lato" w:eastAsia="Times New Roman" w:hAnsi="Lato" w:cs="Times New Roman"/>
          <w:sz w:val="20"/>
          <w:szCs w:val="20"/>
        </w:rPr>
        <w:br/>
      </w:r>
      <w:r w:rsidRPr="0007797B">
        <w:rPr>
          <w:rFonts w:ascii="Lato" w:eastAsia="Times New Roman" w:hAnsi="Lato" w:cs="Times New Roman"/>
          <w:sz w:val="20"/>
          <w:szCs w:val="20"/>
        </w:rPr>
        <w:br/>
        <w:t>Du Fresne, K. (1997, September 21). Coalition will address downtown parking. Nevada Appeal, p. A3. </w:t>
      </w:r>
      <w:r w:rsidRPr="0007797B">
        <w:rPr>
          <w:rFonts w:ascii="Lato" w:eastAsia="Times New Roman" w:hAnsi="Lato" w:cs="Times New Roman"/>
          <w:sz w:val="20"/>
          <w:szCs w:val="20"/>
        </w:rPr>
        <w:br/>
      </w:r>
      <w:r w:rsidRPr="0007797B">
        <w:rPr>
          <w:rFonts w:ascii="Lato" w:eastAsia="Times New Roman" w:hAnsi="Lato" w:cs="Times New Roman"/>
          <w:sz w:val="20"/>
          <w:szCs w:val="20"/>
        </w:rPr>
        <w:br/>
        <w:t>Francaviglia, R. V. (1996). Main street revisited. Iowa City: University of Iowa Press. </w:t>
      </w:r>
      <w:r w:rsidRPr="0007797B">
        <w:rPr>
          <w:rFonts w:ascii="Lato" w:eastAsia="Times New Roman" w:hAnsi="Lato" w:cs="Times New Roman"/>
          <w:sz w:val="20"/>
          <w:szCs w:val="20"/>
        </w:rPr>
        <w:br/>
      </w:r>
      <w:r w:rsidRPr="0007797B">
        <w:rPr>
          <w:rFonts w:ascii="Lato" w:eastAsia="Times New Roman" w:hAnsi="Lato" w:cs="Times New Roman"/>
          <w:sz w:val="20"/>
          <w:szCs w:val="20"/>
        </w:rPr>
        <w:br/>
        <w:t>Frieden, B. J., &amp; Sagalyn, L. B. (1989). Downtown, Inc. Cambridge, MA: MIT Press. </w:t>
      </w:r>
      <w:r w:rsidRPr="0007797B">
        <w:rPr>
          <w:rFonts w:ascii="Lato" w:eastAsia="Times New Roman" w:hAnsi="Lato" w:cs="Times New Roman"/>
          <w:sz w:val="20"/>
          <w:szCs w:val="20"/>
        </w:rPr>
        <w:br/>
      </w:r>
      <w:r w:rsidRPr="0007797B">
        <w:rPr>
          <w:rFonts w:ascii="Lato" w:eastAsia="Times New Roman" w:hAnsi="Lato" w:cs="Times New Roman"/>
          <w:sz w:val="20"/>
          <w:szCs w:val="20"/>
        </w:rPr>
        <w:br/>
        <w:t>Gillette, H. (1985). The evolution of the planned shopping center in suburb and city. Journal of the American Planning Association, 51, 449-460. </w:t>
      </w:r>
      <w:r w:rsidRPr="0007797B">
        <w:rPr>
          <w:rFonts w:ascii="Lato" w:eastAsia="Times New Roman" w:hAnsi="Lato" w:cs="Times New Roman"/>
          <w:sz w:val="20"/>
          <w:szCs w:val="20"/>
        </w:rPr>
        <w:br/>
      </w:r>
      <w:r w:rsidRPr="0007797B">
        <w:rPr>
          <w:rFonts w:ascii="Lato" w:eastAsia="Times New Roman" w:hAnsi="Lato" w:cs="Times New Roman"/>
          <w:sz w:val="20"/>
          <w:szCs w:val="20"/>
        </w:rPr>
        <w:br/>
        <w:t>Holt, N. D. (1998). Remaking downtown Denver. Urban Land, 57(4), 54-58, 113. </w:t>
      </w:r>
      <w:r w:rsidRPr="0007797B">
        <w:rPr>
          <w:rFonts w:ascii="Lato" w:eastAsia="Times New Roman" w:hAnsi="Lato" w:cs="Times New Roman"/>
          <w:sz w:val="20"/>
          <w:szCs w:val="20"/>
        </w:rPr>
        <w:br/>
      </w:r>
      <w:r w:rsidRPr="0007797B">
        <w:rPr>
          <w:rFonts w:ascii="Lato" w:eastAsia="Times New Roman" w:hAnsi="Lato" w:cs="Times New Roman"/>
          <w:sz w:val="20"/>
          <w:szCs w:val="20"/>
        </w:rPr>
        <w:br/>
        <w:t>Houstoun, L. (1990). From street to mall and back again. Planning, 56(6), 4-10. </w:t>
      </w:r>
      <w:r w:rsidRPr="0007797B">
        <w:rPr>
          <w:rFonts w:ascii="Lato" w:eastAsia="Times New Roman" w:hAnsi="Lato" w:cs="Times New Roman"/>
          <w:sz w:val="20"/>
          <w:szCs w:val="20"/>
        </w:rPr>
        <w:br/>
      </w:r>
      <w:r w:rsidRPr="0007797B">
        <w:rPr>
          <w:rFonts w:ascii="Lato" w:eastAsia="Times New Roman" w:hAnsi="Lato" w:cs="Times New Roman"/>
          <w:sz w:val="20"/>
          <w:szCs w:val="20"/>
        </w:rPr>
        <w:br/>
        <w:t>Howland, L. (1998). Resurgence in downtown Washington. Urban Land, 57(3), 80-84, 97. </w:t>
      </w:r>
      <w:r w:rsidRPr="0007797B">
        <w:rPr>
          <w:rFonts w:ascii="Lato" w:eastAsia="Times New Roman" w:hAnsi="Lato" w:cs="Times New Roman"/>
          <w:sz w:val="20"/>
          <w:szCs w:val="20"/>
        </w:rPr>
        <w:br/>
      </w:r>
      <w:r w:rsidRPr="0007797B">
        <w:rPr>
          <w:rFonts w:ascii="Lato" w:eastAsia="Times New Roman" w:hAnsi="Lato" w:cs="Times New Roman"/>
          <w:sz w:val="20"/>
          <w:szCs w:val="20"/>
        </w:rPr>
        <w:br/>
        <w:t>Jouziatis, C. (1998, April 7). Suburbs strolling into the past. USA Today, p. 3A. </w:t>
      </w:r>
      <w:r w:rsidRPr="0007797B">
        <w:rPr>
          <w:rFonts w:ascii="Lato" w:eastAsia="Times New Roman" w:hAnsi="Lato" w:cs="Times New Roman"/>
          <w:sz w:val="20"/>
          <w:szCs w:val="20"/>
        </w:rPr>
        <w:br/>
      </w:r>
      <w:r w:rsidRPr="0007797B">
        <w:rPr>
          <w:rFonts w:ascii="Lato" w:eastAsia="Times New Roman" w:hAnsi="Lato" w:cs="Times New Roman"/>
          <w:sz w:val="20"/>
          <w:szCs w:val="20"/>
        </w:rPr>
        <w:br/>
        <w:t>Kenyon, J. B. (1989). From central business district to central social district: The revitalization of the small Georgia city. Small Town, 20(2), 4-17. </w:t>
      </w:r>
      <w:r w:rsidRPr="0007797B">
        <w:rPr>
          <w:rFonts w:ascii="Lato" w:eastAsia="Times New Roman" w:hAnsi="Lato" w:cs="Times New Roman"/>
          <w:sz w:val="20"/>
          <w:szCs w:val="20"/>
        </w:rPr>
        <w:br/>
      </w:r>
      <w:r w:rsidRPr="0007797B">
        <w:rPr>
          <w:rFonts w:ascii="Lato" w:eastAsia="Times New Roman" w:hAnsi="Lato" w:cs="Times New Roman"/>
          <w:sz w:val="20"/>
          <w:szCs w:val="20"/>
        </w:rPr>
        <w:br/>
        <w:t>Knack, R. E. (1998). Downtown where the living is easy. Planning, 64(8), 4-8. </w:t>
      </w:r>
      <w:r w:rsidRPr="0007797B">
        <w:rPr>
          <w:rFonts w:ascii="Lato" w:eastAsia="Times New Roman" w:hAnsi="Lato" w:cs="Times New Roman"/>
          <w:sz w:val="20"/>
          <w:szCs w:val="20"/>
        </w:rPr>
        <w:br/>
      </w:r>
      <w:r w:rsidRPr="0007797B">
        <w:rPr>
          <w:rFonts w:ascii="Lato" w:eastAsia="Times New Roman" w:hAnsi="Lato" w:cs="Times New Roman"/>
          <w:sz w:val="20"/>
          <w:szCs w:val="20"/>
        </w:rPr>
        <w:br/>
        <w:t>Kunstler, J. H. (1993). The geography of nowhere. New York: Touchstone. </w:t>
      </w:r>
      <w:r w:rsidRPr="0007797B">
        <w:rPr>
          <w:rFonts w:ascii="Lato" w:eastAsia="Times New Roman" w:hAnsi="Lato" w:cs="Times New Roman"/>
          <w:sz w:val="20"/>
          <w:szCs w:val="20"/>
        </w:rPr>
        <w:br/>
      </w:r>
      <w:r w:rsidRPr="0007797B">
        <w:rPr>
          <w:rFonts w:ascii="Lato" w:eastAsia="Times New Roman" w:hAnsi="Lato" w:cs="Times New Roman"/>
          <w:sz w:val="20"/>
          <w:szCs w:val="20"/>
        </w:rPr>
        <w:br/>
      </w:r>
      <w:r w:rsidRPr="0007797B">
        <w:rPr>
          <w:rFonts w:ascii="Lato" w:eastAsia="Times New Roman" w:hAnsi="Lato" w:cs="Times New Roman"/>
          <w:sz w:val="20"/>
          <w:szCs w:val="20"/>
        </w:rPr>
        <w:lastRenderedPageBreak/>
        <w:t>Lockwood, C. (1996). San Francisco reclaims its downtown waterfront. Urban Land, 54(10), 63-67. </w:t>
      </w:r>
      <w:r w:rsidRPr="0007797B">
        <w:rPr>
          <w:rFonts w:ascii="Lato" w:eastAsia="Times New Roman" w:hAnsi="Lato" w:cs="Times New Roman"/>
          <w:sz w:val="20"/>
          <w:szCs w:val="20"/>
        </w:rPr>
        <w:br/>
      </w:r>
      <w:r w:rsidRPr="0007797B">
        <w:rPr>
          <w:rFonts w:ascii="Lato" w:eastAsia="Times New Roman" w:hAnsi="Lato" w:cs="Times New Roman"/>
          <w:sz w:val="20"/>
          <w:szCs w:val="20"/>
        </w:rPr>
        <w:br/>
        <w:t>Lockwood, C. (1997). Putting the urb in the suburbs. Planning; 63(6), 18-21. </w:t>
      </w:r>
      <w:r w:rsidRPr="0007797B">
        <w:rPr>
          <w:rFonts w:ascii="Lato" w:eastAsia="Times New Roman" w:hAnsi="Lato" w:cs="Times New Roman"/>
          <w:sz w:val="20"/>
          <w:szCs w:val="20"/>
        </w:rPr>
        <w:br/>
      </w:r>
      <w:r w:rsidRPr="0007797B">
        <w:rPr>
          <w:rFonts w:ascii="Lato" w:eastAsia="Times New Roman" w:hAnsi="Lato" w:cs="Times New Roman"/>
          <w:sz w:val="20"/>
          <w:szCs w:val="20"/>
        </w:rPr>
        <w:br/>
        <w:t>Lorch, B. J., &amp; Smith, M. J. (1993). Pedestrian movement and the downtown enclosed shopping center. Journal of the American Planning Association, 59, 75-86. </w:t>
      </w:r>
      <w:r w:rsidRPr="0007797B">
        <w:rPr>
          <w:rFonts w:ascii="Lato" w:eastAsia="Times New Roman" w:hAnsi="Lato" w:cs="Times New Roman"/>
          <w:sz w:val="20"/>
          <w:szCs w:val="20"/>
        </w:rPr>
        <w:br/>
      </w:r>
      <w:r w:rsidRPr="0007797B">
        <w:rPr>
          <w:rFonts w:ascii="Lato" w:eastAsia="Times New Roman" w:hAnsi="Lato" w:cs="Times New Roman"/>
          <w:sz w:val="20"/>
          <w:szCs w:val="20"/>
        </w:rPr>
        <w:br/>
        <w:t>Loukaitou-Sideris, A. (1993). Privatization of public open space: The Los Angeles experience. Town Planning Review, 64, 139-167. </w:t>
      </w:r>
      <w:r w:rsidRPr="0007797B">
        <w:rPr>
          <w:rFonts w:ascii="Lato" w:eastAsia="Times New Roman" w:hAnsi="Lato" w:cs="Times New Roman"/>
          <w:sz w:val="20"/>
          <w:szCs w:val="20"/>
        </w:rPr>
        <w:br/>
      </w:r>
      <w:r w:rsidRPr="0007797B">
        <w:rPr>
          <w:rFonts w:ascii="Lato" w:eastAsia="Times New Roman" w:hAnsi="Lato" w:cs="Times New Roman"/>
          <w:sz w:val="20"/>
          <w:szCs w:val="20"/>
        </w:rPr>
        <w:br/>
        <w:t>Loukaitou-Sideris, A., &amp; Banerjee, T. (1998). Urban design downtown. Berkeley: University of California Press. </w:t>
      </w:r>
      <w:r w:rsidRPr="0007797B">
        <w:rPr>
          <w:rFonts w:ascii="Lato" w:eastAsia="Times New Roman" w:hAnsi="Lato" w:cs="Times New Roman"/>
          <w:sz w:val="20"/>
          <w:szCs w:val="20"/>
        </w:rPr>
        <w:br/>
      </w:r>
      <w:r w:rsidRPr="0007797B">
        <w:rPr>
          <w:rFonts w:ascii="Lato" w:eastAsia="Times New Roman" w:hAnsi="Lato" w:cs="Times New Roman"/>
          <w:sz w:val="20"/>
          <w:szCs w:val="20"/>
        </w:rPr>
        <w:br/>
        <w:t>McBee, S. (1992). Downtown development handbook. Washington, DC: Urban Land Institute. </w:t>
      </w:r>
      <w:r w:rsidRPr="0007797B">
        <w:rPr>
          <w:rFonts w:ascii="Lato" w:eastAsia="Times New Roman" w:hAnsi="Lato" w:cs="Times New Roman"/>
          <w:sz w:val="20"/>
          <w:szCs w:val="20"/>
        </w:rPr>
        <w:br/>
      </w:r>
      <w:r w:rsidRPr="0007797B">
        <w:rPr>
          <w:rFonts w:ascii="Lato" w:eastAsia="Times New Roman" w:hAnsi="Lato" w:cs="Times New Roman"/>
          <w:sz w:val="20"/>
          <w:szCs w:val="20"/>
        </w:rPr>
        <w:br/>
        <w:t>Means, A. C. (1997). Downtown revitalization in small cities. Urban Land, 56(1), 26-31, 56. </w:t>
      </w:r>
      <w:r w:rsidRPr="0007797B">
        <w:rPr>
          <w:rFonts w:ascii="Lato" w:eastAsia="Times New Roman" w:hAnsi="Lato" w:cs="Times New Roman"/>
          <w:sz w:val="20"/>
          <w:szCs w:val="20"/>
        </w:rPr>
        <w:br/>
      </w:r>
      <w:r w:rsidRPr="0007797B">
        <w:rPr>
          <w:rFonts w:ascii="Lato" w:eastAsia="Times New Roman" w:hAnsi="Lato" w:cs="Times New Roman"/>
          <w:sz w:val="20"/>
          <w:szCs w:val="20"/>
        </w:rPr>
        <w:br/>
        <w:t>Meek, M. (1995). Bonaparte, Iowa, organizes a comprehensive volunteer effort to save its downtown. Small Town, 26(3), 4-9.</w:t>
      </w:r>
      <w:r w:rsidRPr="0007797B">
        <w:rPr>
          <w:rFonts w:ascii="Lato" w:eastAsia="Times New Roman" w:hAnsi="Lato" w:cs="Times New Roman"/>
          <w:sz w:val="20"/>
          <w:szCs w:val="20"/>
        </w:rPr>
        <w:br/>
      </w:r>
      <w:r w:rsidRPr="0007797B">
        <w:rPr>
          <w:rFonts w:ascii="Lato" w:eastAsia="Times New Roman" w:hAnsi="Lato" w:cs="Times New Roman"/>
          <w:sz w:val="20"/>
          <w:szCs w:val="20"/>
        </w:rPr>
        <w:br/>
        <w:t>Milder, N. D. (1987). Crime and downtown revitalization. Urban Land, 46(9), 16-19. </w:t>
      </w:r>
      <w:r w:rsidRPr="0007797B">
        <w:rPr>
          <w:rFonts w:ascii="Lato" w:eastAsia="Times New Roman" w:hAnsi="Lato" w:cs="Times New Roman"/>
          <w:sz w:val="20"/>
          <w:szCs w:val="20"/>
        </w:rPr>
        <w:br/>
      </w:r>
      <w:r w:rsidRPr="0007797B">
        <w:rPr>
          <w:rFonts w:ascii="Lato" w:eastAsia="Times New Roman" w:hAnsi="Lato" w:cs="Times New Roman"/>
          <w:sz w:val="20"/>
          <w:szCs w:val="20"/>
        </w:rPr>
        <w:br/>
        <w:t>Miller, T. K. (1998). Sports venues bring economic energy back downtown. Urban Land, 57(2), 53-55. </w:t>
      </w:r>
      <w:r w:rsidRPr="0007797B">
        <w:rPr>
          <w:rFonts w:ascii="Lato" w:eastAsia="Times New Roman" w:hAnsi="Lato" w:cs="Times New Roman"/>
          <w:sz w:val="20"/>
          <w:szCs w:val="20"/>
        </w:rPr>
        <w:br/>
      </w:r>
      <w:r w:rsidRPr="0007797B">
        <w:rPr>
          <w:rFonts w:ascii="Lato" w:eastAsia="Times New Roman" w:hAnsi="Lato" w:cs="Times New Roman"/>
          <w:sz w:val="20"/>
          <w:szCs w:val="20"/>
        </w:rPr>
        <w:br/>
        <w:t>Mozingo, L. (1989). Women and downtown open spaces. Places, 6(1), 38-47. </w:t>
      </w:r>
      <w:r w:rsidRPr="0007797B">
        <w:rPr>
          <w:rFonts w:ascii="Lato" w:eastAsia="Times New Roman" w:hAnsi="Lato" w:cs="Times New Roman"/>
          <w:sz w:val="20"/>
          <w:szCs w:val="20"/>
        </w:rPr>
        <w:br/>
      </w:r>
      <w:r w:rsidRPr="0007797B">
        <w:rPr>
          <w:rFonts w:ascii="Lato" w:eastAsia="Times New Roman" w:hAnsi="Lato" w:cs="Times New Roman"/>
          <w:sz w:val="20"/>
          <w:szCs w:val="20"/>
        </w:rPr>
        <w:br/>
        <w:t>National Main Street Center. (1988). Revitalizing downtown 1976-1986. Washington, DC: Author. </w:t>
      </w:r>
      <w:r w:rsidRPr="0007797B">
        <w:rPr>
          <w:rFonts w:ascii="Lato" w:eastAsia="Times New Roman" w:hAnsi="Lato" w:cs="Times New Roman"/>
          <w:sz w:val="20"/>
          <w:szCs w:val="20"/>
        </w:rPr>
        <w:br/>
      </w:r>
      <w:r w:rsidRPr="0007797B">
        <w:rPr>
          <w:rFonts w:ascii="Lato" w:eastAsia="Times New Roman" w:hAnsi="Lato" w:cs="Times New Roman"/>
          <w:sz w:val="20"/>
          <w:szCs w:val="20"/>
        </w:rPr>
        <w:br/>
        <w:t>Noll, R., &amp; Zimbalist, A. (1997). Sports, jobs, and taxes: The economic impact of sports teams and stadiums. Washington, DC: Brookings Institution Press. </w:t>
      </w:r>
      <w:r w:rsidRPr="0007797B">
        <w:rPr>
          <w:rFonts w:ascii="Lato" w:eastAsia="Times New Roman" w:hAnsi="Lato" w:cs="Times New Roman"/>
          <w:sz w:val="20"/>
          <w:szCs w:val="20"/>
        </w:rPr>
        <w:br/>
      </w:r>
      <w:r w:rsidRPr="0007797B">
        <w:rPr>
          <w:rFonts w:ascii="Lato" w:eastAsia="Times New Roman" w:hAnsi="Lato" w:cs="Times New Roman"/>
          <w:sz w:val="20"/>
          <w:szCs w:val="20"/>
        </w:rPr>
        <w:br/>
        <w:t>Robertson, K. A. (1993). Pedestrianization strategies for downtown planners: Skywalks v. pedestrian malls. Journal of the American Planning Association, 59, 361-370. </w:t>
      </w:r>
      <w:r w:rsidRPr="0007797B">
        <w:rPr>
          <w:rFonts w:ascii="Lato" w:eastAsia="Times New Roman" w:hAnsi="Lato" w:cs="Times New Roman"/>
          <w:sz w:val="20"/>
          <w:szCs w:val="20"/>
        </w:rPr>
        <w:br/>
      </w:r>
      <w:r w:rsidRPr="0007797B">
        <w:rPr>
          <w:rFonts w:ascii="Lato" w:eastAsia="Times New Roman" w:hAnsi="Lato" w:cs="Times New Roman"/>
          <w:sz w:val="20"/>
          <w:szCs w:val="20"/>
        </w:rPr>
        <w:br/>
        <w:t>Robertson, K. A. (1995). Downtown redevelopment strategies in the United States: An end-of-the-century assessment. Journal of the American Planning Association, 61, 429-437. </w:t>
      </w:r>
      <w:r w:rsidRPr="0007797B">
        <w:rPr>
          <w:rFonts w:ascii="Lato" w:eastAsia="Times New Roman" w:hAnsi="Lato" w:cs="Times New Roman"/>
          <w:sz w:val="20"/>
          <w:szCs w:val="20"/>
        </w:rPr>
        <w:br/>
      </w:r>
      <w:r w:rsidRPr="0007797B">
        <w:rPr>
          <w:rFonts w:ascii="Lato" w:eastAsia="Times New Roman" w:hAnsi="Lato" w:cs="Times New Roman"/>
          <w:sz w:val="20"/>
          <w:szCs w:val="20"/>
        </w:rPr>
        <w:br/>
        <w:t>Robertson, K. A. (1997). Downtown retail revitalization: A review of American development strategies. Planning Perspectives, 12, 383-401. </w:t>
      </w:r>
      <w:r w:rsidRPr="0007797B">
        <w:rPr>
          <w:rFonts w:ascii="Lato" w:eastAsia="Times New Roman" w:hAnsi="Lato" w:cs="Times New Roman"/>
          <w:sz w:val="20"/>
          <w:szCs w:val="20"/>
        </w:rPr>
        <w:br/>
      </w:r>
      <w:r w:rsidRPr="0007797B">
        <w:rPr>
          <w:rFonts w:ascii="Lato" w:eastAsia="Times New Roman" w:hAnsi="Lato" w:cs="Times New Roman"/>
          <w:sz w:val="20"/>
          <w:szCs w:val="20"/>
        </w:rPr>
        <w:br/>
        <w:t>Rosentraub, M. S., Swindell, D., Przybylski, M., &amp; Mullins, D. R. (1994). Sport and downtown development. Journal of Urban Affairs, 14, 221-239. </w:t>
      </w:r>
      <w:r w:rsidRPr="0007797B">
        <w:rPr>
          <w:rFonts w:ascii="Lato" w:eastAsia="Times New Roman" w:hAnsi="Lato" w:cs="Times New Roman"/>
          <w:sz w:val="20"/>
          <w:szCs w:val="20"/>
        </w:rPr>
        <w:br/>
      </w:r>
      <w:r w:rsidRPr="0007797B">
        <w:rPr>
          <w:rFonts w:ascii="Lato" w:eastAsia="Times New Roman" w:hAnsi="Lato" w:cs="Times New Roman"/>
          <w:sz w:val="20"/>
          <w:szCs w:val="20"/>
        </w:rPr>
        <w:br/>
        <w:t>Ryder, B., &amp; Gray, K. (1988). Developing a downtown design assistance program in Pullman, Washington. Small Town, 19(2), 4-13. </w:t>
      </w:r>
      <w:r w:rsidRPr="0007797B">
        <w:rPr>
          <w:rFonts w:ascii="Lato" w:eastAsia="Times New Roman" w:hAnsi="Lato" w:cs="Times New Roman"/>
          <w:sz w:val="20"/>
          <w:szCs w:val="20"/>
        </w:rPr>
        <w:br/>
      </w:r>
      <w:r w:rsidRPr="0007797B">
        <w:rPr>
          <w:rFonts w:ascii="Lato" w:eastAsia="Times New Roman" w:hAnsi="Lato" w:cs="Times New Roman"/>
          <w:sz w:val="20"/>
          <w:szCs w:val="20"/>
        </w:rPr>
        <w:br/>
        <w:t>Sawicki, D. S. (1989). The festival marketplace as public policy. Journal of the American Planning Association, 55, 347-361. </w:t>
      </w:r>
      <w:r w:rsidRPr="0007797B">
        <w:rPr>
          <w:rFonts w:ascii="Lato" w:eastAsia="Times New Roman" w:hAnsi="Lato" w:cs="Times New Roman"/>
          <w:sz w:val="20"/>
          <w:szCs w:val="20"/>
        </w:rPr>
        <w:br/>
      </w:r>
      <w:r w:rsidRPr="0007797B">
        <w:rPr>
          <w:rFonts w:ascii="Lato" w:eastAsia="Times New Roman" w:hAnsi="Lato" w:cs="Times New Roman"/>
          <w:sz w:val="20"/>
          <w:szCs w:val="20"/>
        </w:rPr>
        <w:br/>
        <w:t>Seachord, D. (1997). Bringing investment back downtown: A case study of Puyallop, Washington. Small Town, 28(2), 22-29. </w:t>
      </w:r>
      <w:r w:rsidRPr="0007797B">
        <w:rPr>
          <w:rFonts w:ascii="Lato" w:eastAsia="Times New Roman" w:hAnsi="Lato" w:cs="Times New Roman"/>
          <w:sz w:val="20"/>
          <w:szCs w:val="20"/>
        </w:rPr>
        <w:br/>
      </w:r>
      <w:r w:rsidRPr="0007797B">
        <w:rPr>
          <w:rFonts w:ascii="Lato" w:eastAsia="Times New Roman" w:hAnsi="Lato" w:cs="Times New Roman"/>
          <w:sz w:val="20"/>
          <w:szCs w:val="20"/>
        </w:rPr>
        <w:br/>
        <w:t>Snepenger, D. J., Reiman, S., Johnson, J., &amp; Snepenger, M. (1998). Is downtown mainly for tourists? Journal of Travel Research, 36, 5-12. </w:t>
      </w:r>
      <w:r w:rsidRPr="0007797B">
        <w:rPr>
          <w:rFonts w:ascii="Lato" w:eastAsia="Times New Roman" w:hAnsi="Lato" w:cs="Times New Roman"/>
          <w:sz w:val="20"/>
          <w:szCs w:val="20"/>
        </w:rPr>
        <w:br/>
      </w:r>
      <w:r w:rsidRPr="0007797B">
        <w:rPr>
          <w:rFonts w:ascii="Lato" w:eastAsia="Times New Roman" w:hAnsi="Lato" w:cs="Times New Roman"/>
          <w:sz w:val="20"/>
          <w:szCs w:val="20"/>
        </w:rPr>
        <w:lastRenderedPageBreak/>
        <w:br/>
        <w:t>Suchman, D. (1998). Rebuilding downtown Grand Forks. Urban Land, 57(2), 80-83, 94. </w:t>
      </w:r>
      <w:r w:rsidRPr="0007797B">
        <w:rPr>
          <w:rFonts w:ascii="Lato" w:eastAsia="Times New Roman" w:hAnsi="Lato" w:cs="Times New Roman"/>
          <w:sz w:val="20"/>
          <w:szCs w:val="20"/>
        </w:rPr>
        <w:br/>
      </w:r>
      <w:r w:rsidRPr="0007797B">
        <w:rPr>
          <w:rFonts w:ascii="Lato" w:eastAsia="Times New Roman" w:hAnsi="Lato" w:cs="Times New Roman"/>
          <w:sz w:val="20"/>
          <w:szCs w:val="20"/>
        </w:rPr>
        <w:br/>
        <w:t>United States Census Bureau. (1997). 1990 to 1996 cities and places population estimates. Available www.census.gov/population/www/estimates/cityplace.html </w:t>
      </w:r>
      <w:r w:rsidRPr="0007797B">
        <w:rPr>
          <w:rFonts w:ascii="Lato" w:eastAsia="Times New Roman" w:hAnsi="Lato" w:cs="Times New Roman"/>
          <w:sz w:val="20"/>
          <w:szCs w:val="20"/>
        </w:rPr>
        <w:br/>
      </w:r>
      <w:r w:rsidRPr="0007797B">
        <w:rPr>
          <w:rFonts w:ascii="Lato" w:eastAsia="Times New Roman" w:hAnsi="Lato" w:cs="Times New Roman"/>
          <w:sz w:val="20"/>
          <w:szCs w:val="20"/>
        </w:rPr>
        <w:br/>
        <w:t>Wausau Center. (1996). Annual report. Wausau, WI: Author. </w:t>
      </w:r>
      <w:r w:rsidRPr="0007797B">
        <w:rPr>
          <w:rFonts w:ascii="Lato" w:eastAsia="Times New Roman" w:hAnsi="Lato" w:cs="Times New Roman"/>
          <w:sz w:val="20"/>
          <w:szCs w:val="20"/>
        </w:rPr>
        <w:br/>
      </w:r>
      <w:r w:rsidRPr="0007797B">
        <w:rPr>
          <w:rFonts w:ascii="Lato" w:eastAsia="Times New Roman" w:hAnsi="Lato" w:cs="Times New Roman"/>
          <w:sz w:val="20"/>
          <w:szCs w:val="20"/>
        </w:rPr>
        <w:br/>
        <w:t>Whyte, W. H. (1988). City: Rediscovering the center. New York: Anchor. </w:t>
      </w:r>
    </w:p>
    <w:p w14:paraId="01E4F16C" w14:textId="77777777" w:rsidR="0069612E" w:rsidRPr="0007797B" w:rsidRDefault="0007797B" w:rsidP="0007797B">
      <w:pPr>
        <w:spacing w:after="0" w:line="240" w:lineRule="auto"/>
        <w:jc w:val="both"/>
        <w:rPr>
          <w:rFonts w:ascii="Lato" w:eastAsia="Times New Roman" w:hAnsi="Lato" w:cs="Times New Roman"/>
          <w:sz w:val="24"/>
          <w:szCs w:val="24"/>
        </w:rPr>
      </w:pPr>
      <w:r w:rsidRPr="0007797B">
        <w:rPr>
          <w:rFonts w:ascii="Lato" w:eastAsia="Times New Roman" w:hAnsi="Lato" w:cs="Times New Roman"/>
          <w:sz w:val="24"/>
          <w:szCs w:val="24"/>
        </w:rPr>
        <w:pict w14:anchorId="54C591D6">
          <v:rect id="_x0000_i1026" style="width:0;height:1.5pt" o:hralign="center" o:hrstd="t" o:hr="t" fillcolor="#a0a0a0" stroked="f"/>
        </w:pict>
      </w:r>
    </w:p>
    <w:p w14:paraId="470E6149" w14:textId="77777777" w:rsidR="0069612E" w:rsidRPr="0007797B" w:rsidRDefault="0069612E" w:rsidP="0007797B">
      <w:pPr>
        <w:spacing w:before="100" w:beforeAutospacing="1" w:after="100" w:afterAutospacing="1" w:line="240" w:lineRule="auto"/>
        <w:jc w:val="both"/>
        <w:outlineLvl w:val="3"/>
        <w:rPr>
          <w:rFonts w:ascii="Lato" w:eastAsia="Times New Roman" w:hAnsi="Lato" w:cs="Times New Roman"/>
          <w:b/>
          <w:bCs/>
          <w:sz w:val="24"/>
          <w:szCs w:val="24"/>
        </w:rPr>
      </w:pPr>
      <w:r w:rsidRPr="0007797B">
        <w:rPr>
          <w:rFonts w:ascii="Lato" w:eastAsia="Times New Roman" w:hAnsi="Lato" w:cs="Times New Roman"/>
          <w:b/>
          <w:bCs/>
          <w:sz w:val="24"/>
          <w:szCs w:val="24"/>
        </w:rPr>
        <w:t xml:space="preserve">From Vaughan Dickson and Tony Myatt, “The Determinants of Provincial Minimum Wages in Canada,” </w:t>
      </w:r>
      <w:r w:rsidRPr="0007797B">
        <w:rPr>
          <w:rFonts w:ascii="Lato" w:eastAsia="Times New Roman" w:hAnsi="Lato" w:cs="Times New Roman"/>
          <w:b/>
          <w:bCs/>
          <w:i/>
          <w:iCs/>
          <w:sz w:val="24"/>
          <w:szCs w:val="24"/>
        </w:rPr>
        <w:t>Journal of Labor Research</w:t>
      </w:r>
      <w:r w:rsidRPr="0007797B">
        <w:rPr>
          <w:rFonts w:ascii="Lato" w:eastAsia="Times New Roman" w:hAnsi="Lato" w:cs="Times New Roman"/>
          <w:b/>
          <w:bCs/>
          <w:sz w:val="24"/>
          <w:szCs w:val="24"/>
        </w:rPr>
        <w:t xml:space="preserve"> 23 (2002), 57-68:</w:t>
      </w:r>
    </w:p>
    <w:p w14:paraId="0DB713B1"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In the last few years, prompted largely by the work of Card and Kruger (1995), numerous articles on the employment effects of minimum wage legislation have appeared. This renewed interest in how minimum wages affect employment leads naturally to another question: What factors determine the minimum wage? Despite the ubiquity of minimum wage legislation, this question has received surprisingly little attention. One reason may be that in the U.S. the minimum wage is legislated at the federal rather than at the state level of government. Since this federal wage changes only occasionally, most U.S. studies have been limited to cross-sectional studies that focus on how the characteristics of the states, and the party affiliation of legislators, influence the vote on proposed changes in the federal minimum wage (Silberman and Durbin, 1970; Kau and Rubin, 1978; Bloch, 1980; Seltzer, 1995).[1] However, as pointed out by Baker et al. (1999), Canada offers some unique advantages for minimum wage studies: Since the Canadian minimum wage is under provincial, not federal jurisdiction, there has been substantial variation in the level and timing of changes in the wage across provinces, thus providing the opportunity to explore a relatively rich panel data set. To date, only one... study (Blais et al., 1989) has investigated the determinants of provincial minimum wages using a pooled data set extending across eight years (1975 to 1982) and nine provinces....</w:t>
      </w:r>
    </w:p>
    <w:p w14:paraId="437B17C9"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 xml:space="preserve">As noted, U.S. studies have usually been cross sectional and have examined what variables influenced congressional voting for increases in the federal minimum wage.[3] For example, Bloch (1993) related state wage levels and proportions of unionized employees to votes by senators to amend the 1977 and 1989 Federal Labor Standards Act and thereby increase the minimum wage. For each year he found only the union variable increased the probability of an in-favor vote - and only for Republicans, since Democrats almost universally support minimum wage increases. An earlier contribution is Silberman and Durden (1976) who examined congressmen's votes for the 1973 amendment to increase the minimum wage. Using variables for each congressional district, they found larger political contributions by unions and larger proportions of low-income families increased the probability of an affirmative vote, while larger campaign contributions from small business and larger proportions of teen-age workers reduced the probability. Kau and Rubin (1978) expanded Silberman and Durden's analysis to five separate cross sections </w:t>
      </w:r>
      <w:r w:rsidRPr="0007797B">
        <w:rPr>
          <w:rFonts w:ascii="Lato" w:eastAsia="Times New Roman" w:hAnsi="Lato" w:cs="Times New Roman"/>
          <w:sz w:val="24"/>
          <w:szCs w:val="24"/>
        </w:rPr>
        <w:lastRenderedPageBreak/>
        <w:t>covering five legislated increases in the federal minimum wage between 1949 and 1974. They found that higher state wages and a measure of the congressperson's liberalism were always positively and significantly associated with votes for, while percentage of blacks in the state was negatively related, but not significant, in all the cross sections. Unionization in the state's work force and political party of the legislator were never significant; the latter result probably occurred because northern and southern Democrats typically voted on opposite sides.</w:t>
      </w:r>
    </w:p>
    <w:p w14:paraId="644C537B"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More recently, Seltzer (1995) explored support in both the House and Senate for the 1938 introduction of the federal minimum wage law. He found variables representing small business and low-wage workers decreased support for the bill, while ideology (liberals for, conservatives against) was also important. To anticipate future problems, Seltzer emphasized that not only are some variables inevitably theoretically ambiguous (a low-wage worker may rationally support or oppose minimum wage increases depending on whether job loss is expected), but also the coefficients on some variables must be interpreted cautiously. For example, should the coefficient for a variable measuring teen workers in the labor force be interpreted as their demand for higher wages, or does the coefficient better reflect the demands of well-organized firms that disproportionally hire younger workers?</w:t>
      </w:r>
    </w:p>
    <w:p w14:paraId="5F2B913D" w14:textId="77777777" w:rsidR="0069612E" w:rsidRPr="0007797B" w:rsidRDefault="0069612E" w:rsidP="0007797B">
      <w:pPr>
        <w:spacing w:before="100" w:beforeAutospacing="1" w:after="100" w:afterAutospacing="1" w:line="240" w:lineRule="auto"/>
        <w:jc w:val="both"/>
        <w:rPr>
          <w:rFonts w:ascii="Lato" w:eastAsia="Times New Roman" w:hAnsi="Lato" w:cs="Times New Roman"/>
          <w:sz w:val="24"/>
          <w:szCs w:val="24"/>
        </w:rPr>
      </w:pPr>
      <w:r w:rsidRPr="0007797B">
        <w:rPr>
          <w:rFonts w:ascii="Lato" w:eastAsia="Times New Roman" w:hAnsi="Lato" w:cs="Times New Roman"/>
          <w:sz w:val="24"/>
          <w:szCs w:val="24"/>
        </w:rPr>
        <w:t>In contrast to the U.S., Canada presents a better opportunity to study variations in minimum wages across jurisdictions and time, so it is perhaps surprising that the only study, to our knowledge, that examines Canadian minimum wage determination is Blais et al. (1989). They related the minimum wage, measured as the minimum wage divided by the average manufacturing wage, to the percentages of union workers, women, and 15 to 19-year-olds in the labor force, the current year unemployment rate, the inflation rate, the percentage of employment in small firms (less than 20 employees), and a "convergence" variable that measures average manufacturing wages in a province divided by average wages in Canada. This model was tested with ordinary least squares for a pooled sample covering nine provinces for the years 1975 to 1982, with no fixed effects for provinces or years. All variables had negative coefficients that were significant at the 5 percent level, except for the union variable which was, unexpectedly, negative and insignificant....</w:t>
      </w:r>
    </w:p>
    <w:p w14:paraId="256FBF28" w14:textId="77777777" w:rsidR="0069612E" w:rsidRPr="0007797B" w:rsidRDefault="0069612E" w:rsidP="0007797B">
      <w:pPr>
        <w:spacing w:before="100" w:beforeAutospacing="1" w:after="100" w:afterAutospacing="1" w:line="240" w:lineRule="auto"/>
        <w:rPr>
          <w:rFonts w:ascii="Lato" w:eastAsia="Times New Roman" w:hAnsi="Lato" w:cs="Times New Roman"/>
          <w:sz w:val="24"/>
          <w:szCs w:val="24"/>
        </w:rPr>
      </w:pPr>
      <w:r w:rsidRPr="0007797B">
        <w:rPr>
          <w:rFonts w:ascii="Lato" w:eastAsia="Times New Roman" w:hAnsi="Lato" w:cs="Times New Roman"/>
          <w:sz w:val="24"/>
          <w:szCs w:val="24"/>
        </w:rPr>
        <w:t>REFERENCES</w:t>
      </w:r>
    </w:p>
    <w:p w14:paraId="4B052DE2" w14:textId="77777777" w:rsidR="0069612E" w:rsidRPr="0007797B" w:rsidRDefault="0069612E" w:rsidP="0007797B">
      <w:pPr>
        <w:spacing w:before="100" w:beforeAutospacing="1" w:after="100" w:afterAutospacing="1" w:line="240" w:lineRule="auto"/>
        <w:rPr>
          <w:rFonts w:ascii="Lato" w:eastAsia="Times New Roman" w:hAnsi="Lato" w:cs="Times New Roman"/>
          <w:sz w:val="20"/>
          <w:szCs w:val="20"/>
        </w:rPr>
      </w:pPr>
      <w:r w:rsidRPr="0007797B">
        <w:rPr>
          <w:rFonts w:ascii="Lato" w:eastAsia="Times New Roman" w:hAnsi="Lato" w:cs="Times New Roman"/>
          <w:sz w:val="20"/>
          <w:szCs w:val="20"/>
        </w:rPr>
        <w:t>Abizadeh, Sohrab and John A. Gray. "Politics and Provincial Government Spending in Canada." Canadian Public Administration 35 (Winter 1992): 519-33.</w:t>
      </w:r>
      <w:r w:rsidRPr="0007797B">
        <w:rPr>
          <w:rFonts w:ascii="Lato" w:eastAsia="Times New Roman" w:hAnsi="Lato" w:cs="Times New Roman"/>
          <w:sz w:val="20"/>
          <w:szCs w:val="20"/>
        </w:rPr>
        <w:br/>
      </w:r>
      <w:r w:rsidRPr="0007797B">
        <w:rPr>
          <w:rFonts w:ascii="Lato" w:eastAsia="Times New Roman" w:hAnsi="Lato" w:cs="Times New Roman"/>
          <w:sz w:val="20"/>
          <w:szCs w:val="20"/>
        </w:rPr>
        <w:br/>
        <w:t>Akyeampong, Earnest B. "Working for Minimum Wage." Perspectives on Labour Income. Statistics Canada Catalogue 75-001E (Winter 1989): 8-20. </w:t>
      </w:r>
      <w:r w:rsidRPr="0007797B">
        <w:rPr>
          <w:rFonts w:ascii="Lato" w:eastAsia="Times New Roman" w:hAnsi="Lato" w:cs="Times New Roman"/>
          <w:sz w:val="20"/>
          <w:szCs w:val="20"/>
        </w:rPr>
        <w:br/>
      </w:r>
      <w:r w:rsidRPr="0007797B">
        <w:rPr>
          <w:rFonts w:ascii="Lato" w:eastAsia="Times New Roman" w:hAnsi="Lato" w:cs="Times New Roman"/>
          <w:sz w:val="20"/>
          <w:szCs w:val="20"/>
        </w:rPr>
        <w:br/>
        <w:t>Baker, Michael, Dwayne Benjamin, and Schuchita Stanger. "The Highs and Lows of the Wage Effect: A Time-Series Cross-Section Study of the Canadian Law." Journal of Labor Economics 17 (April 1999): 318-50. </w:t>
      </w:r>
      <w:r w:rsidRPr="0007797B">
        <w:rPr>
          <w:rFonts w:ascii="Lato" w:eastAsia="Times New Roman" w:hAnsi="Lato" w:cs="Times New Roman"/>
          <w:sz w:val="20"/>
          <w:szCs w:val="20"/>
        </w:rPr>
        <w:br/>
      </w:r>
      <w:r w:rsidRPr="0007797B">
        <w:rPr>
          <w:rFonts w:ascii="Lato" w:eastAsia="Times New Roman" w:hAnsi="Lato" w:cs="Times New Roman"/>
          <w:sz w:val="20"/>
          <w:szCs w:val="20"/>
        </w:rPr>
        <w:br/>
        <w:t>Blais, Andre, Jean-Michel Cousineau, and Kenneth McRoberts. "The Determinants of Minimum Wage Rates." Public Choice 62 (July 1989): 15-24. </w:t>
      </w:r>
      <w:r w:rsidRPr="0007797B">
        <w:rPr>
          <w:rFonts w:ascii="Lato" w:eastAsia="Times New Roman" w:hAnsi="Lato" w:cs="Times New Roman"/>
          <w:sz w:val="20"/>
          <w:szCs w:val="20"/>
        </w:rPr>
        <w:br/>
      </w:r>
      <w:r w:rsidRPr="0007797B">
        <w:rPr>
          <w:rFonts w:ascii="Lato" w:eastAsia="Times New Roman" w:hAnsi="Lato" w:cs="Times New Roman"/>
          <w:sz w:val="20"/>
          <w:szCs w:val="20"/>
        </w:rPr>
        <w:br/>
      </w:r>
      <w:r w:rsidRPr="0007797B">
        <w:rPr>
          <w:rFonts w:ascii="Lato" w:eastAsia="Times New Roman" w:hAnsi="Lato" w:cs="Times New Roman"/>
          <w:sz w:val="20"/>
          <w:szCs w:val="20"/>
        </w:rPr>
        <w:lastRenderedPageBreak/>
        <w:t>Bloch, Farrell E. "Political Support for Minimum Wage Legislation: 1989." Journal of Labor Research 14 (Spring 1993): 187-90. </w:t>
      </w:r>
      <w:r w:rsidRPr="0007797B">
        <w:rPr>
          <w:rFonts w:ascii="Lato" w:eastAsia="Times New Roman" w:hAnsi="Lato" w:cs="Times New Roman"/>
          <w:sz w:val="20"/>
          <w:szCs w:val="20"/>
        </w:rPr>
        <w:br/>
      </w:r>
      <w:r w:rsidRPr="0007797B">
        <w:rPr>
          <w:rFonts w:ascii="Lato" w:eastAsia="Times New Roman" w:hAnsi="Lato" w:cs="Times New Roman"/>
          <w:sz w:val="20"/>
          <w:szCs w:val="20"/>
        </w:rPr>
        <w:br/>
        <w:t>Card, David and Alan Kruger. Myth and Measurement: The New Economics of the Minimum Wage. Princeton: Princeton University Press, 1995. </w:t>
      </w:r>
      <w:r w:rsidRPr="0007797B">
        <w:rPr>
          <w:rFonts w:ascii="Lato" w:eastAsia="Times New Roman" w:hAnsi="Lato" w:cs="Times New Roman"/>
          <w:sz w:val="20"/>
          <w:szCs w:val="20"/>
        </w:rPr>
        <w:br/>
      </w:r>
      <w:r w:rsidRPr="0007797B">
        <w:rPr>
          <w:rFonts w:ascii="Lato" w:eastAsia="Times New Roman" w:hAnsi="Lato" w:cs="Times New Roman"/>
          <w:sz w:val="20"/>
          <w:szCs w:val="20"/>
        </w:rPr>
        <w:br/>
        <w:t>Cox, James C. and Ronald L. Oaxaca. "The Political Economy of Minimum Wage Legislation." Economic Inquiry 20 (October 1982): 533-55. </w:t>
      </w:r>
      <w:r w:rsidRPr="0007797B">
        <w:rPr>
          <w:rFonts w:ascii="Lato" w:eastAsia="Times New Roman" w:hAnsi="Lato" w:cs="Times New Roman"/>
          <w:sz w:val="20"/>
          <w:szCs w:val="20"/>
        </w:rPr>
        <w:br/>
      </w:r>
      <w:r w:rsidRPr="0007797B">
        <w:rPr>
          <w:rFonts w:ascii="Lato" w:eastAsia="Times New Roman" w:hAnsi="Lato" w:cs="Times New Roman"/>
          <w:sz w:val="20"/>
          <w:szCs w:val="20"/>
        </w:rPr>
        <w:br/>
        <w:t>Fortin, Pierre. "Unemployment Insurance Meets the Classical Labor Supply Model." Economics Letters 14 (1984): 275-81. </w:t>
      </w:r>
      <w:r w:rsidRPr="0007797B">
        <w:rPr>
          <w:rFonts w:ascii="Lato" w:eastAsia="Times New Roman" w:hAnsi="Lato" w:cs="Times New Roman"/>
          <w:sz w:val="20"/>
          <w:szCs w:val="20"/>
        </w:rPr>
        <w:br/>
      </w:r>
      <w:r w:rsidRPr="0007797B">
        <w:rPr>
          <w:rFonts w:ascii="Lato" w:eastAsia="Times New Roman" w:hAnsi="Lato" w:cs="Times New Roman"/>
          <w:sz w:val="20"/>
          <w:szCs w:val="20"/>
        </w:rPr>
        <w:br/>
        <w:t>Kalt, Joseph P. and Mark A. Zupan. "Capture and Ideology in the Economic Theory of Politics." American Economic Review 74 (June 1984): 279-300. </w:t>
      </w:r>
      <w:r w:rsidRPr="0007797B">
        <w:rPr>
          <w:rFonts w:ascii="Lato" w:eastAsia="Times New Roman" w:hAnsi="Lato" w:cs="Times New Roman"/>
          <w:sz w:val="20"/>
          <w:szCs w:val="20"/>
        </w:rPr>
        <w:br/>
      </w:r>
      <w:r w:rsidRPr="0007797B">
        <w:rPr>
          <w:rFonts w:ascii="Lato" w:eastAsia="Times New Roman" w:hAnsi="Lato" w:cs="Times New Roman"/>
          <w:sz w:val="20"/>
          <w:szCs w:val="20"/>
        </w:rPr>
        <w:br/>
        <w:t>Kau, James B. and Paul H. Rubin. "Voting on Minimum Wages: A Time-Series Analysis." Journal of Political Economy 86 (April 1978): 337-42. </w:t>
      </w:r>
      <w:r w:rsidRPr="0007797B">
        <w:rPr>
          <w:rFonts w:ascii="Lato" w:eastAsia="Times New Roman" w:hAnsi="Lato" w:cs="Times New Roman"/>
          <w:sz w:val="20"/>
          <w:szCs w:val="20"/>
        </w:rPr>
        <w:br/>
      </w:r>
      <w:r w:rsidRPr="0007797B">
        <w:rPr>
          <w:rFonts w:ascii="Lato" w:eastAsia="Times New Roman" w:hAnsi="Lato" w:cs="Times New Roman"/>
          <w:sz w:val="20"/>
          <w:szCs w:val="20"/>
        </w:rPr>
        <w:br/>
        <w:t>Mueller, Dennis. Public Choice II . Cambridge: Cambridge University Press, 1989. </w:t>
      </w:r>
      <w:r w:rsidRPr="0007797B">
        <w:rPr>
          <w:rFonts w:ascii="Lato" w:eastAsia="Times New Roman" w:hAnsi="Lato" w:cs="Times New Roman"/>
          <w:sz w:val="20"/>
          <w:szCs w:val="20"/>
        </w:rPr>
        <w:br/>
      </w:r>
      <w:r w:rsidRPr="0007797B">
        <w:rPr>
          <w:rFonts w:ascii="Lato" w:eastAsia="Times New Roman" w:hAnsi="Lato" w:cs="Times New Roman"/>
          <w:sz w:val="20"/>
          <w:szCs w:val="20"/>
        </w:rPr>
        <w:br/>
        <w:t>Peltzman, Sam. "Toward a More General Theory of Regulation." Journal of Law and Economics 19 (August 1976): 211-40. </w:t>
      </w:r>
      <w:r w:rsidRPr="0007797B">
        <w:rPr>
          <w:rFonts w:ascii="Lato" w:eastAsia="Times New Roman" w:hAnsi="Lato" w:cs="Times New Roman"/>
          <w:sz w:val="20"/>
          <w:szCs w:val="20"/>
        </w:rPr>
        <w:br/>
      </w:r>
      <w:r w:rsidRPr="0007797B">
        <w:rPr>
          <w:rFonts w:ascii="Lato" w:eastAsia="Times New Roman" w:hAnsi="Lato" w:cs="Times New Roman"/>
          <w:sz w:val="20"/>
          <w:szCs w:val="20"/>
        </w:rPr>
        <w:br/>
        <w:t>Salop, Steven C. and David T. Scheffman. "Raising Rivals Costs." American Economic Review 73 (May 1983): 267-71. </w:t>
      </w:r>
      <w:r w:rsidRPr="0007797B">
        <w:rPr>
          <w:rFonts w:ascii="Lato" w:eastAsia="Times New Roman" w:hAnsi="Lato" w:cs="Times New Roman"/>
          <w:sz w:val="20"/>
          <w:szCs w:val="20"/>
        </w:rPr>
        <w:br/>
      </w:r>
      <w:r w:rsidRPr="0007797B">
        <w:rPr>
          <w:rFonts w:ascii="Lato" w:eastAsia="Times New Roman" w:hAnsi="Lato" w:cs="Times New Roman"/>
          <w:sz w:val="20"/>
          <w:szCs w:val="20"/>
        </w:rPr>
        <w:br/>
        <w:t>Seltzer, Andrew J. "The Political Economy of the Fair Labor Standards Act of 1938." Journal of Political Economy 103 (December 1996): 1302-42. </w:t>
      </w:r>
      <w:r w:rsidRPr="0007797B">
        <w:rPr>
          <w:rFonts w:ascii="Lato" w:eastAsia="Times New Roman" w:hAnsi="Lato" w:cs="Times New Roman"/>
          <w:sz w:val="20"/>
          <w:szCs w:val="20"/>
        </w:rPr>
        <w:br/>
      </w:r>
      <w:r w:rsidRPr="0007797B">
        <w:rPr>
          <w:rFonts w:ascii="Lato" w:eastAsia="Times New Roman" w:hAnsi="Lato" w:cs="Times New Roman"/>
          <w:sz w:val="20"/>
          <w:szCs w:val="20"/>
        </w:rPr>
        <w:br/>
        <w:t>Silberman Jonathan I. and Garey C. Durden. "Determining Legislative Preferences on the Minimum Wage: An Economic Approach." Journal of Political Economy 84 (April 1976): 317-29. </w:t>
      </w:r>
      <w:r w:rsidRPr="0007797B">
        <w:rPr>
          <w:rFonts w:ascii="Lato" w:eastAsia="Times New Roman" w:hAnsi="Lato" w:cs="Times New Roman"/>
          <w:sz w:val="20"/>
          <w:szCs w:val="20"/>
        </w:rPr>
        <w:br/>
      </w:r>
      <w:r w:rsidRPr="0007797B">
        <w:rPr>
          <w:rFonts w:ascii="Lato" w:eastAsia="Times New Roman" w:hAnsi="Lato" w:cs="Times New Roman"/>
          <w:sz w:val="20"/>
          <w:szCs w:val="20"/>
        </w:rPr>
        <w:br/>
        <w:t>Simon, R.J. Public Opinion in America, 1936-1970. Chicago: Rand McNally, 1974. </w:t>
      </w:r>
      <w:r w:rsidRPr="0007797B">
        <w:rPr>
          <w:rFonts w:ascii="Lato" w:eastAsia="Times New Roman" w:hAnsi="Lato" w:cs="Times New Roman"/>
          <w:sz w:val="20"/>
          <w:szCs w:val="20"/>
        </w:rPr>
        <w:br/>
      </w:r>
      <w:r w:rsidRPr="0007797B">
        <w:rPr>
          <w:rFonts w:ascii="Lato" w:eastAsia="Times New Roman" w:hAnsi="Lato" w:cs="Times New Roman"/>
          <w:sz w:val="20"/>
          <w:szCs w:val="20"/>
        </w:rPr>
        <w:br/>
        <w:t>Sobel, Russell S. "Theory and Evidence on the Political Economy of Minimum Wage." Journal of Political Economy 107 (August 1999): 761-85. </w:t>
      </w:r>
      <w:r w:rsidRPr="0007797B">
        <w:rPr>
          <w:rFonts w:ascii="Lato" w:eastAsia="Times New Roman" w:hAnsi="Lato" w:cs="Times New Roman"/>
          <w:sz w:val="20"/>
          <w:szCs w:val="20"/>
        </w:rPr>
        <w:br/>
      </w:r>
      <w:r w:rsidRPr="0007797B">
        <w:rPr>
          <w:rFonts w:ascii="Lato" w:eastAsia="Times New Roman" w:hAnsi="Lato" w:cs="Times New Roman"/>
          <w:sz w:val="20"/>
          <w:szCs w:val="20"/>
        </w:rPr>
        <w:br/>
        <w:t>Stigler, George. "The Theory of Economic Regulation." Bell Journal of Economics and Management Science 2 (Spring 1971): 3-21.</w:t>
      </w:r>
    </w:p>
    <w:p w14:paraId="20BE1477" w14:textId="77777777" w:rsidR="0069612E" w:rsidRPr="0007797B" w:rsidRDefault="0007797B" w:rsidP="0007797B">
      <w:pPr>
        <w:spacing w:after="0" w:line="240" w:lineRule="auto"/>
        <w:rPr>
          <w:rFonts w:ascii="Lato" w:eastAsia="Times New Roman" w:hAnsi="Lato" w:cs="Times New Roman"/>
          <w:sz w:val="24"/>
          <w:szCs w:val="24"/>
        </w:rPr>
      </w:pPr>
      <w:r w:rsidRPr="0007797B">
        <w:rPr>
          <w:rFonts w:ascii="Lato" w:eastAsia="Times New Roman" w:hAnsi="Lato" w:cs="Times New Roman"/>
          <w:sz w:val="24"/>
          <w:szCs w:val="24"/>
        </w:rPr>
        <w:pict w14:anchorId="3A78A4DF">
          <v:rect id="_x0000_i1027" style="width:0;height:1.5pt" o:hrstd="t" o:hr="t" fillcolor="#a0a0a0" stroked="f"/>
        </w:pict>
      </w:r>
    </w:p>
    <w:p w14:paraId="3723D925" w14:textId="77777777" w:rsidR="00F662D6" w:rsidRPr="0007797B" w:rsidRDefault="0007797B" w:rsidP="0007797B">
      <w:pPr>
        <w:rPr>
          <w:rFonts w:ascii="Lato" w:hAnsi="Lato"/>
        </w:rPr>
      </w:pPr>
    </w:p>
    <w:sectPr w:rsidR="00F662D6" w:rsidRPr="0007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2E"/>
    <w:rsid w:val="000103AF"/>
    <w:rsid w:val="0007797B"/>
    <w:rsid w:val="0069612E"/>
    <w:rsid w:val="00BD69AF"/>
    <w:rsid w:val="00D9247B"/>
    <w:rsid w:val="00FF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30EF"/>
  <w15:chartTrackingRefBased/>
  <w15:docId w15:val="{FA8CD0B2-AABB-4C17-A3AE-755ABA0B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McIver, John</dc:creator>
  <cp:keywords/>
  <dc:description/>
  <cp:lastModifiedBy>92321</cp:lastModifiedBy>
  <cp:revision>4</cp:revision>
  <dcterms:created xsi:type="dcterms:W3CDTF">2013-09-04T02:01:00Z</dcterms:created>
  <dcterms:modified xsi:type="dcterms:W3CDTF">2022-03-04T07:04:00Z</dcterms:modified>
</cp:coreProperties>
</file>