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463A45" w14:textId="77777777" w:rsidR="00794628" w:rsidRPr="007D22C4" w:rsidRDefault="007D22C4">
      <w:pPr>
        <w:spacing w:line="0" w:lineRule="atLeast"/>
        <w:ind w:right="-19"/>
        <w:jc w:val="center"/>
        <w:rPr>
          <w:rFonts w:ascii="Century Gothic" w:eastAsia="Cambria" w:hAnsi="Century Gothic"/>
          <w:b/>
          <w:sz w:val="40"/>
          <w:szCs w:val="40"/>
        </w:rPr>
      </w:pPr>
      <w:r w:rsidRPr="007D22C4">
        <w:rPr>
          <w:rFonts w:ascii="Century Gothic" w:eastAsia="Cambria" w:hAnsi="Century Gothic"/>
          <w:b/>
          <w:sz w:val="40"/>
          <w:szCs w:val="40"/>
        </w:rPr>
        <w:t>ENGAGEMENT LETTER</w:t>
      </w:r>
    </w:p>
    <w:p w14:paraId="413633D8" w14:textId="77777777" w:rsidR="00794628" w:rsidRPr="007D22C4" w:rsidRDefault="00794628">
      <w:pPr>
        <w:spacing w:line="359" w:lineRule="exact"/>
        <w:rPr>
          <w:rFonts w:ascii="Century Gothic" w:eastAsia="Times New Roman" w:hAnsi="Century Gothic"/>
          <w:sz w:val="24"/>
          <w:szCs w:val="24"/>
        </w:rPr>
      </w:pPr>
    </w:p>
    <w:p w14:paraId="576FC9F2" w14:textId="77777777" w:rsidR="00794628" w:rsidRPr="007D22C4" w:rsidRDefault="00794628">
      <w:pPr>
        <w:spacing w:line="301" w:lineRule="exact"/>
        <w:rPr>
          <w:rFonts w:ascii="Century Gothic" w:eastAsia="Times New Roman" w:hAnsi="Century Gothic"/>
          <w:sz w:val="24"/>
          <w:szCs w:val="24"/>
        </w:rPr>
      </w:pPr>
    </w:p>
    <w:p w14:paraId="491AD01A" w14:textId="77777777" w:rsidR="001840E4" w:rsidRDefault="001840E4" w:rsidP="001840E4">
      <w:pPr>
        <w:spacing w:line="276" w:lineRule="auto"/>
        <w:rPr>
          <w:rFonts w:ascii="Century Gothic" w:eastAsia="Cambria" w:hAnsi="Century Gothic"/>
          <w:sz w:val="24"/>
          <w:szCs w:val="24"/>
        </w:rPr>
      </w:pPr>
    </w:p>
    <w:p w14:paraId="76A33901" w14:textId="7EBA389D" w:rsidR="007D22C4" w:rsidRPr="007D22C4" w:rsidRDefault="007D22C4" w:rsidP="001840E4">
      <w:pPr>
        <w:spacing w:line="276" w:lineRule="auto"/>
        <w:rPr>
          <w:rFonts w:ascii="Century Gothic" w:eastAsia="Cambria" w:hAnsi="Century Gothic"/>
          <w:sz w:val="24"/>
          <w:szCs w:val="24"/>
        </w:rPr>
      </w:pPr>
      <w:r w:rsidRPr="007D22C4">
        <w:rPr>
          <w:rFonts w:ascii="Century Gothic" w:eastAsia="Cambria" w:hAnsi="Century Gothic"/>
          <w:sz w:val="24"/>
          <w:szCs w:val="24"/>
        </w:rPr>
        <w:t>Dear Client:</w:t>
      </w:r>
    </w:p>
    <w:p w14:paraId="6ECED15F" w14:textId="77777777" w:rsidR="007D22C4" w:rsidRPr="007D22C4" w:rsidRDefault="007D22C4" w:rsidP="001840E4">
      <w:pPr>
        <w:spacing w:line="276" w:lineRule="auto"/>
        <w:ind w:left="720"/>
        <w:rPr>
          <w:rFonts w:ascii="Century Gothic" w:eastAsia="Cambria" w:hAnsi="Century Gothic"/>
          <w:sz w:val="24"/>
          <w:szCs w:val="24"/>
        </w:rPr>
      </w:pPr>
    </w:p>
    <w:p w14:paraId="0F432D04" w14:textId="77777777" w:rsidR="007D22C4" w:rsidRPr="007D22C4" w:rsidRDefault="007D22C4" w:rsidP="001840E4">
      <w:pPr>
        <w:tabs>
          <w:tab w:val="left" w:pos="990"/>
        </w:tabs>
        <w:spacing w:line="276" w:lineRule="auto"/>
        <w:rPr>
          <w:rFonts w:ascii="Century Gothic" w:eastAsia="Cambria" w:hAnsi="Century Gothic"/>
          <w:sz w:val="24"/>
          <w:szCs w:val="24"/>
        </w:rPr>
      </w:pPr>
      <w:r w:rsidRPr="007D22C4">
        <w:rPr>
          <w:rFonts w:ascii="Century Gothic" w:eastAsia="Cambria" w:hAnsi="Century Gothic"/>
          <w:sz w:val="24"/>
          <w:szCs w:val="24"/>
        </w:rPr>
        <w:t>This letter will confirm our conference on</w:t>
      </w:r>
      <w:r w:rsidRPr="007D22C4">
        <w:rPr>
          <w:rFonts w:ascii="Century Gothic" w:eastAsia="Cambria" w:hAnsi="Century Gothic"/>
          <w:b/>
          <w:bCs/>
          <w:sz w:val="24"/>
          <w:szCs w:val="24"/>
        </w:rPr>
        <w:t>(date)</w:t>
      </w:r>
      <w:r w:rsidRPr="007D22C4">
        <w:rPr>
          <w:rFonts w:ascii="Century Gothic" w:eastAsia="Cambria" w:hAnsi="Century Gothic"/>
          <w:sz w:val="24"/>
          <w:szCs w:val="24"/>
        </w:rPr>
        <w:t xml:space="preserve">and the fact that </w:t>
      </w:r>
      <w:proofErr w:type="gramStart"/>
      <w:r w:rsidRPr="007D22C4">
        <w:rPr>
          <w:rFonts w:ascii="Century Gothic" w:eastAsia="Cambria" w:hAnsi="Century Gothic"/>
          <w:sz w:val="24"/>
          <w:szCs w:val="24"/>
        </w:rPr>
        <w:t>our</w:t>
      </w:r>
      <w:proofErr w:type="gramEnd"/>
    </w:p>
    <w:p w14:paraId="1F229D8A" w14:textId="77777777" w:rsidR="007D22C4" w:rsidRPr="007D22C4" w:rsidRDefault="007D22C4" w:rsidP="001840E4">
      <w:pPr>
        <w:spacing w:line="276" w:lineRule="auto"/>
        <w:rPr>
          <w:rFonts w:ascii="Century Gothic" w:eastAsia="Cambria" w:hAnsi="Century Gothic"/>
          <w:b/>
          <w:bCs/>
          <w:sz w:val="24"/>
          <w:szCs w:val="24"/>
        </w:rPr>
      </w:pPr>
      <w:r w:rsidRPr="007D22C4">
        <w:rPr>
          <w:rFonts w:ascii="Century Gothic" w:eastAsia="Cambria" w:hAnsi="Century Gothic"/>
          <w:sz w:val="24"/>
          <w:szCs w:val="24"/>
        </w:rPr>
        <w:t>office is now representing you in the following matter(s):</w:t>
      </w:r>
      <w:r w:rsidRPr="007D22C4">
        <w:rPr>
          <w:rFonts w:ascii="Century Gothic" w:eastAsia="Cambria" w:hAnsi="Century Gothic"/>
          <w:sz w:val="24"/>
          <w:szCs w:val="24"/>
        </w:rPr>
        <w:tab/>
      </w:r>
      <w:r w:rsidRPr="007D22C4">
        <w:rPr>
          <w:rFonts w:ascii="Century Gothic" w:eastAsia="Cambria" w:hAnsi="Century Gothic"/>
          <w:b/>
          <w:bCs/>
          <w:sz w:val="24"/>
          <w:szCs w:val="24"/>
        </w:rPr>
        <w:t>(See User Note 1</w:t>
      </w:r>
    </w:p>
    <w:p w14:paraId="0E027B9F" w14:textId="77777777" w:rsidR="007D22C4" w:rsidRPr="007D22C4" w:rsidRDefault="007D22C4" w:rsidP="001840E4">
      <w:pPr>
        <w:spacing w:line="276" w:lineRule="auto"/>
        <w:rPr>
          <w:rFonts w:ascii="Century Gothic" w:eastAsia="Cambria" w:hAnsi="Century Gothic"/>
          <w:b/>
          <w:bCs/>
          <w:sz w:val="24"/>
          <w:szCs w:val="24"/>
        </w:rPr>
      </w:pPr>
      <w:r w:rsidRPr="007D22C4">
        <w:rPr>
          <w:rFonts w:ascii="Century Gothic" w:eastAsia="Cambria" w:hAnsi="Century Gothic"/>
          <w:b/>
          <w:bCs/>
          <w:sz w:val="24"/>
          <w:szCs w:val="24"/>
        </w:rPr>
        <w:t>Below)</w:t>
      </w:r>
      <w:r w:rsidRPr="007D22C4">
        <w:rPr>
          <w:rFonts w:ascii="Century Gothic" w:eastAsia="Cambria" w:hAnsi="Century Gothic"/>
          <w:b/>
          <w:bCs/>
          <w:sz w:val="24"/>
          <w:szCs w:val="24"/>
        </w:rPr>
        <w:tab/>
      </w:r>
    </w:p>
    <w:p w14:paraId="104D36FD" w14:textId="77777777" w:rsidR="007D22C4" w:rsidRPr="007D22C4" w:rsidRDefault="007D22C4" w:rsidP="001840E4">
      <w:pPr>
        <w:spacing w:line="276" w:lineRule="auto"/>
        <w:ind w:left="720"/>
        <w:rPr>
          <w:rFonts w:ascii="Century Gothic" w:eastAsia="Cambria" w:hAnsi="Century Gothic"/>
          <w:sz w:val="24"/>
          <w:szCs w:val="24"/>
        </w:rPr>
      </w:pPr>
    </w:p>
    <w:p w14:paraId="7D435289" w14:textId="77777777" w:rsidR="00794628" w:rsidRPr="007D22C4" w:rsidRDefault="00794628" w:rsidP="001840E4">
      <w:pPr>
        <w:spacing w:line="276" w:lineRule="auto"/>
        <w:rPr>
          <w:rFonts w:ascii="Century Gothic" w:eastAsia="Cambria" w:hAnsi="Century Gothic"/>
          <w:sz w:val="24"/>
          <w:szCs w:val="24"/>
        </w:rPr>
      </w:pPr>
      <w:r w:rsidRPr="007D22C4">
        <w:rPr>
          <w:rFonts w:ascii="Century Gothic" w:eastAsia="Cambria" w:hAnsi="Century Gothic"/>
          <w:sz w:val="24"/>
          <w:szCs w:val="24"/>
        </w:rPr>
        <w:t xml:space="preserve">We are glad to have you as a client </w:t>
      </w:r>
      <w:proofErr w:type="gramStart"/>
      <w:r w:rsidRPr="007D22C4">
        <w:rPr>
          <w:rFonts w:ascii="Century Gothic" w:eastAsia="Cambria" w:hAnsi="Century Gothic"/>
          <w:sz w:val="24"/>
          <w:szCs w:val="24"/>
        </w:rPr>
        <w:t>in regard to</w:t>
      </w:r>
      <w:proofErr w:type="gramEnd"/>
      <w:r w:rsidRPr="007D22C4">
        <w:rPr>
          <w:rFonts w:ascii="Century Gothic" w:eastAsia="Cambria" w:hAnsi="Century Gothic"/>
          <w:sz w:val="24"/>
          <w:szCs w:val="24"/>
        </w:rPr>
        <w:t xml:space="preserve"> this matter. If you wish for us to</w:t>
      </w:r>
    </w:p>
    <w:p w14:paraId="1AC24EAD" w14:textId="77777777" w:rsidR="00794628" w:rsidRPr="007D22C4" w:rsidRDefault="00794628" w:rsidP="001840E4">
      <w:pPr>
        <w:spacing w:line="276" w:lineRule="auto"/>
        <w:rPr>
          <w:rFonts w:ascii="Century Gothic" w:eastAsia="Times New Roman" w:hAnsi="Century Gothic"/>
          <w:sz w:val="24"/>
          <w:szCs w:val="24"/>
        </w:rPr>
      </w:pPr>
    </w:p>
    <w:p w14:paraId="2B5114E5" w14:textId="77777777" w:rsidR="00794628" w:rsidRPr="007D22C4" w:rsidRDefault="00794628" w:rsidP="001840E4">
      <w:pPr>
        <w:spacing w:line="276" w:lineRule="auto"/>
        <w:ind w:right="240"/>
        <w:rPr>
          <w:rFonts w:ascii="Century Gothic" w:eastAsia="Cambria" w:hAnsi="Century Gothic"/>
          <w:b/>
          <w:sz w:val="24"/>
          <w:szCs w:val="24"/>
          <w:u w:val="single"/>
        </w:rPr>
      </w:pPr>
      <w:r w:rsidRPr="007D22C4">
        <w:rPr>
          <w:rFonts w:ascii="Century Gothic" w:eastAsia="Cambria" w:hAnsi="Century Gothic"/>
          <w:sz w:val="24"/>
          <w:szCs w:val="24"/>
        </w:rPr>
        <w:t xml:space="preserve">represent you in any matter other than that stated above, we will be happy to review that matter with you and determine if we can be of service to you. </w:t>
      </w:r>
      <w:r w:rsidRPr="007D22C4">
        <w:rPr>
          <w:rFonts w:ascii="Century Gothic" w:eastAsia="Cambria" w:hAnsi="Century Gothic"/>
          <w:b/>
          <w:sz w:val="24"/>
          <w:szCs w:val="24"/>
          <w:u w:val="single"/>
        </w:rPr>
        <w:t>[See User Note 2 Below]</w:t>
      </w:r>
    </w:p>
    <w:p w14:paraId="609B6B0F" w14:textId="77777777" w:rsidR="00794628" w:rsidRPr="007D22C4" w:rsidRDefault="00794628" w:rsidP="001840E4">
      <w:pPr>
        <w:spacing w:line="276" w:lineRule="auto"/>
        <w:rPr>
          <w:rFonts w:ascii="Century Gothic" w:eastAsia="Times New Roman" w:hAnsi="Century Gothic"/>
          <w:sz w:val="24"/>
          <w:szCs w:val="24"/>
        </w:rPr>
      </w:pPr>
    </w:p>
    <w:p w14:paraId="4566FE6F" w14:textId="77777777" w:rsidR="00794628" w:rsidRPr="007D22C4" w:rsidRDefault="00794628" w:rsidP="001840E4">
      <w:pPr>
        <w:spacing w:line="276" w:lineRule="auto"/>
        <w:rPr>
          <w:rFonts w:ascii="Century Gothic" w:eastAsia="Times New Roman" w:hAnsi="Century Gothic"/>
          <w:sz w:val="24"/>
          <w:szCs w:val="24"/>
        </w:rPr>
      </w:pPr>
    </w:p>
    <w:p w14:paraId="1B3BB5F4" w14:textId="77777777" w:rsidR="00794628" w:rsidRPr="007D22C4" w:rsidRDefault="00794628" w:rsidP="001840E4">
      <w:pPr>
        <w:spacing w:line="276" w:lineRule="auto"/>
        <w:ind w:firstLine="720"/>
        <w:rPr>
          <w:rFonts w:ascii="Century Gothic" w:eastAsia="Cambria" w:hAnsi="Century Gothic"/>
          <w:sz w:val="24"/>
          <w:szCs w:val="24"/>
        </w:rPr>
      </w:pPr>
      <w:r w:rsidRPr="007D22C4">
        <w:rPr>
          <w:rFonts w:ascii="Century Gothic" w:eastAsia="Cambria" w:hAnsi="Century Gothic"/>
          <w:sz w:val="24"/>
          <w:szCs w:val="24"/>
        </w:rPr>
        <w:t xml:space="preserve">Our fees are outlined in our fee agreement, which we have already discussed and a copy of which is enclosed. (Note: If agreement has not yet been signed, send two signed copies of fee agreement and request that the client sign one and return it to you.) Our file retention policy is outlined in our fee agreement. Please note we will maintain your file for the </w:t>
      </w:r>
      <w:proofErr w:type="gramStart"/>
      <w:r w:rsidRPr="007D22C4">
        <w:rPr>
          <w:rFonts w:ascii="Century Gothic" w:eastAsia="Cambria" w:hAnsi="Century Gothic"/>
          <w:sz w:val="24"/>
          <w:szCs w:val="24"/>
        </w:rPr>
        <w:t>period of time</w:t>
      </w:r>
      <w:proofErr w:type="gramEnd"/>
      <w:r w:rsidRPr="007D22C4">
        <w:rPr>
          <w:rFonts w:ascii="Century Gothic" w:eastAsia="Cambria" w:hAnsi="Century Gothic"/>
          <w:sz w:val="24"/>
          <w:szCs w:val="24"/>
        </w:rPr>
        <w:t xml:space="preserve"> set forth in the fee agreement, after which time your file may be destroyed without further notice to you. You may request your file at </w:t>
      </w:r>
      <w:proofErr w:type="spellStart"/>
      <w:r w:rsidRPr="007D22C4">
        <w:rPr>
          <w:rFonts w:ascii="Century Gothic" w:eastAsia="Cambria" w:hAnsi="Century Gothic"/>
          <w:sz w:val="24"/>
          <w:szCs w:val="24"/>
        </w:rPr>
        <w:t>anytime</w:t>
      </w:r>
      <w:proofErr w:type="spellEnd"/>
      <w:r w:rsidRPr="007D22C4">
        <w:rPr>
          <w:rFonts w:ascii="Century Gothic" w:eastAsia="Cambria" w:hAnsi="Century Gothic"/>
          <w:sz w:val="24"/>
          <w:szCs w:val="24"/>
        </w:rPr>
        <w:t xml:space="preserve"> during, upon the conclusion of, or, within the </w:t>
      </w:r>
      <w:proofErr w:type="gramStart"/>
      <w:r w:rsidRPr="007D22C4">
        <w:rPr>
          <w:rFonts w:ascii="Century Gothic" w:eastAsia="Cambria" w:hAnsi="Century Gothic"/>
          <w:sz w:val="24"/>
          <w:szCs w:val="24"/>
        </w:rPr>
        <w:t>time period</w:t>
      </w:r>
      <w:proofErr w:type="gramEnd"/>
      <w:r w:rsidRPr="007D22C4">
        <w:rPr>
          <w:rFonts w:ascii="Century Gothic" w:eastAsia="Cambria" w:hAnsi="Century Gothic"/>
          <w:sz w:val="24"/>
          <w:szCs w:val="24"/>
        </w:rPr>
        <w:t xml:space="preserve"> set forth in the fee agreement, after the conclusion of, this matter.</w:t>
      </w:r>
    </w:p>
    <w:p w14:paraId="5CC00C02" w14:textId="77777777" w:rsidR="00794628" w:rsidRPr="007D22C4" w:rsidRDefault="00794628" w:rsidP="001840E4">
      <w:pPr>
        <w:spacing w:line="276" w:lineRule="auto"/>
        <w:rPr>
          <w:rFonts w:ascii="Century Gothic" w:eastAsia="Times New Roman" w:hAnsi="Century Gothic"/>
          <w:sz w:val="24"/>
          <w:szCs w:val="24"/>
        </w:rPr>
      </w:pPr>
    </w:p>
    <w:p w14:paraId="4E9995AC" w14:textId="77777777" w:rsidR="00794628" w:rsidRPr="007D22C4" w:rsidRDefault="00794628" w:rsidP="001840E4">
      <w:pPr>
        <w:spacing w:line="276" w:lineRule="auto"/>
        <w:ind w:right="140" w:firstLine="360"/>
        <w:rPr>
          <w:rFonts w:ascii="Century Gothic" w:eastAsia="Cambria" w:hAnsi="Century Gothic"/>
          <w:sz w:val="24"/>
          <w:szCs w:val="24"/>
        </w:rPr>
      </w:pPr>
      <w:r w:rsidRPr="007D22C4">
        <w:rPr>
          <w:rFonts w:ascii="Century Gothic" w:eastAsia="Cambria" w:hAnsi="Century Gothic"/>
          <w:sz w:val="24"/>
          <w:szCs w:val="24"/>
        </w:rPr>
        <w:t>We will keep you informed as this matter progresses. In the meantime, if you have any questions, please call. Thank you for choosing our firm to represent you in this matter.</w:t>
      </w:r>
    </w:p>
    <w:p w14:paraId="750FC55E" w14:textId="77777777" w:rsidR="00794628" w:rsidRPr="007D22C4" w:rsidRDefault="00794628" w:rsidP="001840E4">
      <w:pPr>
        <w:spacing w:line="276" w:lineRule="auto"/>
        <w:rPr>
          <w:rFonts w:ascii="Century Gothic" w:eastAsia="Times New Roman" w:hAnsi="Century Gothic"/>
          <w:sz w:val="24"/>
          <w:szCs w:val="24"/>
        </w:rPr>
      </w:pPr>
    </w:p>
    <w:p w14:paraId="5C06C53F" w14:textId="77777777" w:rsidR="007D22C4" w:rsidRPr="007D22C4" w:rsidRDefault="007D22C4" w:rsidP="001840E4">
      <w:pPr>
        <w:spacing w:line="276" w:lineRule="auto"/>
        <w:rPr>
          <w:rFonts w:ascii="Century Gothic" w:eastAsia="Times New Roman" w:hAnsi="Century Gothic"/>
          <w:sz w:val="24"/>
          <w:szCs w:val="24"/>
        </w:rPr>
      </w:pPr>
    </w:p>
    <w:p w14:paraId="0AC9D656" w14:textId="77777777" w:rsidR="00794628" w:rsidRPr="007D22C4" w:rsidRDefault="00794628" w:rsidP="001840E4">
      <w:pPr>
        <w:spacing w:line="276" w:lineRule="auto"/>
        <w:rPr>
          <w:rFonts w:ascii="Century Gothic" w:eastAsia="Cambria" w:hAnsi="Century Gothic"/>
          <w:sz w:val="24"/>
          <w:szCs w:val="24"/>
        </w:rPr>
      </w:pPr>
      <w:r w:rsidRPr="007D22C4">
        <w:rPr>
          <w:rFonts w:ascii="Century Gothic" w:eastAsia="Cambria" w:hAnsi="Century Gothic"/>
          <w:sz w:val="24"/>
          <w:szCs w:val="24"/>
        </w:rPr>
        <w:t>Very truly yours,</w:t>
      </w:r>
    </w:p>
    <w:p w14:paraId="3B8890D4" w14:textId="77777777" w:rsidR="00794628" w:rsidRPr="007D22C4" w:rsidRDefault="00794628" w:rsidP="001840E4">
      <w:pPr>
        <w:spacing w:line="276" w:lineRule="auto"/>
        <w:rPr>
          <w:rFonts w:ascii="Century Gothic" w:eastAsia="Times New Roman" w:hAnsi="Century Gothic"/>
          <w:sz w:val="24"/>
          <w:szCs w:val="24"/>
        </w:rPr>
      </w:pPr>
    </w:p>
    <w:p w14:paraId="0128E27F" w14:textId="77777777" w:rsidR="00794628" w:rsidRPr="007D22C4" w:rsidRDefault="00794628" w:rsidP="001840E4">
      <w:pPr>
        <w:spacing w:line="276" w:lineRule="auto"/>
        <w:rPr>
          <w:rFonts w:ascii="Century Gothic" w:eastAsia="Cambria" w:hAnsi="Century Gothic"/>
          <w:sz w:val="24"/>
          <w:szCs w:val="24"/>
        </w:rPr>
      </w:pPr>
      <w:r w:rsidRPr="007D22C4">
        <w:rPr>
          <w:rFonts w:ascii="Century Gothic" w:eastAsia="Cambria" w:hAnsi="Century Gothic"/>
          <w:sz w:val="24"/>
          <w:szCs w:val="24"/>
        </w:rPr>
        <w:t>Enclosure</w:t>
      </w:r>
    </w:p>
    <w:p w14:paraId="1885CE92" w14:textId="77777777" w:rsidR="00794628" w:rsidRPr="007D22C4" w:rsidRDefault="00794628" w:rsidP="001840E4">
      <w:pPr>
        <w:spacing w:line="276" w:lineRule="auto"/>
        <w:rPr>
          <w:rFonts w:ascii="Century Gothic" w:eastAsia="Times New Roman" w:hAnsi="Century Gothic"/>
          <w:sz w:val="24"/>
          <w:szCs w:val="24"/>
        </w:rPr>
      </w:pPr>
      <w:bookmarkStart w:id="0" w:name="page3"/>
      <w:bookmarkEnd w:id="0"/>
    </w:p>
    <w:p w14:paraId="605285DD" w14:textId="77777777" w:rsidR="00794628" w:rsidRPr="007D22C4" w:rsidRDefault="00794628" w:rsidP="001840E4">
      <w:pPr>
        <w:spacing w:line="276" w:lineRule="auto"/>
        <w:rPr>
          <w:rFonts w:ascii="Century Gothic" w:eastAsia="Times New Roman" w:hAnsi="Century Gothic"/>
          <w:sz w:val="24"/>
          <w:szCs w:val="24"/>
        </w:rPr>
        <w:sectPr w:rsidR="00794628" w:rsidRPr="007D22C4" w:rsidSect="00702598">
          <w:pgSz w:w="12240" w:h="15840"/>
          <w:pgMar w:top="1440" w:right="1440" w:bottom="1440" w:left="1440" w:header="0" w:footer="0" w:gutter="0"/>
          <w:cols w:space="0" w:equalWidth="0">
            <w:col w:w="9360"/>
          </w:cols>
          <w:docGrid w:linePitch="360"/>
        </w:sectPr>
      </w:pPr>
    </w:p>
    <w:p w14:paraId="58E657EC" w14:textId="77777777" w:rsidR="00794628" w:rsidRPr="007D22C4" w:rsidRDefault="00794628" w:rsidP="001840E4">
      <w:pPr>
        <w:spacing w:line="276" w:lineRule="auto"/>
        <w:rPr>
          <w:rFonts w:ascii="Century Gothic" w:eastAsia="Cambria" w:hAnsi="Century Gothic"/>
          <w:sz w:val="22"/>
          <w:szCs w:val="22"/>
        </w:rPr>
      </w:pPr>
      <w:r w:rsidRPr="007D22C4">
        <w:rPr>
          <w:rFonts w:ascii="Century Gothic" w:eastAsia="Cambria" w:hAnsi="Century Gothic"/>
          <w:b/>
          <w:sz w:val="22"/>
          <w:szCs w:val="22"/>
          <w:u w:val="single"/>
        </w:rPr>
        <w:lastRenderedPageBreak/>
        <w:t>User Note 1</w:t>
      </w:r>
      <w:r w:rsidRPr="007D22C4">
        <w:rPr>
          <w:rFonts w:ascii="Century Gothic" w:eastAsia="Cambria" w:hAnsi="Century Gothic"/>
          <w:b/>
          <w:sz w:val="22"/>
          <w:szCs w:val="22"/>
        </w:rPr>
        <w:t xml:space="preserve"> </w:t>
      </w:r>
      <w:r w:rsidRPr="007D22C4">
        <w:rPr>
          <w:rFonts w:ascii="Century Gothic" w:eastAsia="Cambria" w:hAnsi="Century Gothic"/>
          <w:sz w:val="22"/>
          <w:szCs w:val="22"/>
        </w:rPr>
        <w:t>–</w:t>
      </w:r>
    </w:p>
    <w:p w14:paraId="17C7D8CC" w14:textId="77777777" w:rsidR="00794628" w:rsidRPr="007D22C4" w:rsidRDefault="00794628" w:rsidP="001840E4">
      <w:pPr>
        <w:spacing w:line="276" w:lineRule="auto"/>
        <w:rPr>
          <w:rFonts w:ascii="Century Gothic" w:eastAsia="Times New Roman" w:hAnsi="Century Gothic"/>
          <w:sz w:val="22"/>
          <w:szCs w:val="22"/>
        </w:rPr>
      </w:pPr>
    </w:p>
    <w:p w14:paraId="68D4B857" w14:textId="77777777" w:rsidR="00794628" w:rsidRPr="007D22C4" w:rsidRDefault="00794628" w:rsidP="001840E4">
      <w:pPr>
        <w:spacing w:line="276" w:lineRule="auto"/>
        <w:rPr>
          <w:rFonts w:ascii="Century Gothic" w:eastAsia="Cambria" w:hAnsi="Century Gothic"/>
          <w:sz w:val="22"/>
          <w:szCs w:val="22"/>
        </w:rPr>
      </w:pPr>
      <w:r w:rsidRPr="007D22C4">
        <w:rPr>
          <w:rFonts w:ascii="Century Gothic" w:eastAsia="Cambria" w:hAnsi="Century Gothic"/>
          <w:sz w:val="22"/>
          <w:szCs w:val="22"/>
        </w:rPr>
        <w:t>From a risk management perspective, the most important goal of an Engagement Letter is to craft an accurate and unambiguous statement regarding the Scope of the Representation. Insert a clear, unequivocal description of the legal services to be provided, including, if applicable, the level of services--</w:t>
      </w:r>
      <w:proofErr w:type="gramStart"/>
      <w:r w:rsidRPr="007D22C4">
        <w:rPr>
          <w:rFonts w:ascii="Century Gothic" w:eastAsia="Cambria" w:hAnsi="Century Gothic"/>
          <w:sz w:val="22"/>
          <w:szCs w:val="22"/>
        </w:rPr>
        <w:t>e.g.</w:t>
      </w:r>
      <w:proofErr w:type="gramEnd"/>
      <w:r w:rsidRPr="007D22C4">
        <w:rPr>
          <w:rFonts w:ascii="Century Gothic" w:eastAsia="Cambria" w:hAnsi="Century Gothic"/>
          <w:sz w:val="22"/>
          <w:szCs w:val="22"/>
        </w:rPr>
        <w:t xml:space="preserve"> administrative review, trial, appeal, etc. While the description should fully describe the anticipated services, the attorney should take care in drafting the description to avoid a conclusion by the client that the client can expect to receive more representation or services than the attorney intends to provide.</w:t>
      </w:r>
    </w:p>
    <w:p w14:paraId="43B0BE38" w14:textId="77777777" w:rsidR="00794628" w:rsidRPr="007D22C4" w:rsidRDefault="00794628" w:rsidP="001840E4">
      <w:pPr>
        <w:spacing w:line="276" w:lineRule="auto"/>
        <w:rPr>
          <w:rFonts w:ascii="Century Gothic" w:eastAsia="Times New Roman" w:hAnsi="Century Gothic"/>
          <w:sz w:val="22"/>
          <w:szCs w:val="22"/>
        </w:rPr>
      </w:pPr>
    </w:p>
    <w:p w14:paraId="6E7E314C" w14:textId="77777777" w:rsidR="00794628" w:rsidRPr="007D22C4" w:rsidRDefault="00794628" w:rsidP="001840E4">
      <w:pPr>
        <w:spacing w:line="276" w:lineRule="auto"/>
        <w:ind w:right="360"/>
        <w:rPr>
          <w:rFonts w:ascii="Century Gothic" w:eastAsia="Cambria" w:hAnsi="Century Gothic"/>
          <w:sz w:val="22"/>
          <w:szCs w:val="22"/>
        </w:rPr>
      </w:pPr>
      <w:r w:rsidRPr="007D22C4">
        <w:rPr>
          <w:rFonts w:ascii="Century Gothic" w:eastAsia="Cambria" w:hAnsi="Century Gothic"/>
          <w:sz w:val="22"/>
          <w:szCs w:val="22"/>
        </w:rPr>
        <w:t>Further, if an attorney knows, or reasonably should know, of alternative or additional recoveries or causes of action the client has, the attorney should so inform the client, as well as inform the client whether the attorney will represent the client in that/those matters, and if not, to advise the client that independent representation is appropriate if</w:t>
      </w:r>
    </w:p>
    <w:p w14:paraId="7A363155" w14:textId="77777777" w:rsidR="00794628" w:rsidRPr="007D22C4" w:rsidRDefault="00794628" w:rsidP="001840E4">
      <w:pPr>
        <w:spacing w:line="276" w:lineRule="auto"/>
        <w:rPr>
          <w:rFonts w:ascii="Century Gothic" w:eastAsia="Times New Roman" w:hAnsi="Century Gothic"/>
          <w:sz w:val="22"/>
          <w:szCs w:val="22"/>
        </w:rPr>
      </w:pPr>
    </w:p>
    <w:p w14:paraId="0C0F8C7B" w14:textId="77777777" w:rsidR="00794628" w:rsidRPr="007D22C4" w:rsidRDefault="00794628" w:rsidP="001840E4">
      <w:pPr>
        <w:spacing w:line="276" w:lineRule="auto"/>
        <w:ind w:right="160"/>
        <w:rPr>
          <w:rFonts w:ascii="Century Gothic" w:eastAsia="Cambria" w:hAnsi="Century Gothic"/>
          <w:sz w:val="22"/>
          <w:szCs w:val="22"/>
        </w:rPr>
      </w:pPr>
      <w:r w:rsidRPr="007D22C4">
        <w:rPr>
          <w:rFonts w:ascii="Century Gothic" w:eastAsia="Cambria" w:hAnsi="Century Gothic"/>
          <w:sz w:val="22"/>
          <w:szCs w:val="22"/>
        </w:rPr>
        <w:t xml:space="preserve">the client wishes to pursue them, to inform the client about potential statute of limitations issues and admonish the client to </w:t>
      </w:r>
      <w:proofErr w:type="gramStart"/>
      <w:r w:rsidRPr="007D22C4">
        <w:rPr>
          <w:rFonts w:ascii="Century Gothic" w:eastAsia="Cambria" w:hAnsi="Century Gothic"/>
          <w:sz w:val="22"/>
          <w:szCs w:val="22"/>
        </w:rPr>
        <w:t>take action</w:t>
      </w:r>
      <w:proofErr w:type="gramEnd"/>
      <w:r w:rsidRPr="007D22C4">
        <w:rPr>
          <w:rFonts w:ascii="Century Gothic" w:eastAsia="Cambria" w:hAnsi="Century Gothic"/>
          <w:sz w:val="22"/>
          <w:szCs w:val="22"/>
        </w:rPr>
        <w:t xml:space="preserve"> timely. See, for example, </w:t>
      </w:r>
      <w:r w:rsidRPr="007D22C4">
        <w:rPr>
          <w:rFonts w:ascii="Century Gothic" w:eastAsia="Cambria" w:hAnsi="Century Gothic"/>
          <w:i/>
          <w:sz w:val="22"/>
          <w:szCs w:val="22"/>
        </w:rPr>
        <w:t xml:space="preserve">Keef v. </w:t>
      </w:r>
      <w:proofErr w:type="spellStart"/>
      <w:r w:rsidRPr="007D22C4">
        <w:rPr>
          <w:rFonts w:ascii="Century Gothic" w:eastAsia="Cambria" w:hAnsi="Century Gothic"/>
          <w:i/>
          <w:sz w:val="22"/>
          <w:szCs w:val="22"/>
        </w:rPr>
        <w:t>Widuch</w:t>
      </w:r>
      <w:proofErr w:type="spellEnd"/>
      <w:r w:rsidRPr="007D22C4">
        <w:rPr>
          <w:rFonts w:ascii="Century Gothic" w:eastAsia="Cambria" w:hAnsi="Century Gothic"/>
          <w:sz w:val="22"/>
          <w:szCs w:val="22"/>
        </w:rPr>
        <w:t>, 747</w:t>
      </w:r>
    </w:p>
    <w:p w14:paraId="4B8D153D" w14:textId="77777777" w:rsidR="00794628" w:rsidRPr="007D22C4" w:rsidRDefault="00794628" w:rsidP="001840E4">
      <w:pPr>
        <w:spacing w:line="276" w:lineRule="auto"/>
        <w:rPr>
          <w:rFonts w:ascii="Century Gothic" w:eastAsia="Times New Roman" w:hAnsi="Century Gothic"/>
          <w:sz w:val="22"/>
          <w:szCs w:val="22"/>
        </w:rPr>
      </w:pPr>
    </w:p>
    <w:p w14:paraId="7E7494BB" w14:textId="77777777" w:rsidR="00794628" w:rsidRPr="007D22C4" w:rsidRDefault="00794628" w:rsidP="001840E4">
      <w:pPr>
        <w:spacing w:line="276" w:lineRule="auto"/>
        <w:ind w:right="80"/>
        <w:rPr>
          <w:rFonts w:ascii="Century Gothic" w:eastAsia="Cambria" w:hAnsi="Century Gothic"/>
          <w:sz w:val="22"/>
          <w:szCs w:val="22"/>
        </w:rPr>
      </w:pPr>
      <w:r w:rsidRPr="007D22C4">
        <w:rPr>
          <w:rFonts w:ascii="Century Gothic" w:eastAsia="Cambria" w:hAnsi="Century Gothic"/>
          <w:sz w:val="22"/>
          <w:szCs w:val="22"/>
        </w:rPr>
        <w:t>N.E.2d 992 (</w:t>
      </w:r>
      <w:proofErr w:type="spellStart"/>
      <w:r w:rsidRPr="007D22C4">
        <w:rPr>
          <w:rFonts w:ascii="Century Gothic" w:eastAsia="Cambria" w:hAnsi="Century Gothic"/>
          <w:sz w:val="22"/>
          <w:szCs w:val="22"/>
        </w:rPr>
        <w:t>Ill.App</w:t>
      </w:r>
      <w:proofErr w:type="spellEnd"/>
      <w:r w:rsidRPr="007D22C4">
        <w:rPr>
          <w:rFonts w:ascii="Century Gothic" w:eastAsia="Cambria" w:hAnsi="Century Gothic"/>
          <w:sz w:val="22"/>
          <w:szCs w:val="22"/>
        </w:rPr>
        <w:t>. 2001) (Although a representation agreement may limit the scope of representation to a particular legal course of action, the client must be made to understand that the course of action is not the sole potential remedy and that there exist other courses of action that are not being pursued. Workers' compensation attorneys have a duty of care to advise clients about the possibility of third-party actions involving a defective product, that the third-party action could be barred if not brought within the statute of limitations, and either to investigate such claims or to advise the clients to consult other counsel.)</w:t>
      </w:r>
    </w:p>
    <w:p w14:paraId="597AC663" w14:textId="77777777" w:rsidR="00794628" w:rsidRPr="007D22C4" w:rsidRDefault="00794628" w:rsidP="001840E4">
      <w:pPr>
        <w:spacing w:line="276" w:lineRule="auto"/>
        <w:rPr>
          <w:rFonts w:ascii="Century Gothic" w:eastAsia="Times New Roman" w:hAnsi="Century Gothic"/>
          <w:sz w:val="22"/>
          <w:szCs w:val="22"/>
        </w:rPr>
      </w:pPr>
    </w:p>
    <w:p w14:paraId="5619B8ED" w14:textId="77777777" w:rsidR="00794628" w:rsidRPr="007D22C4" w:rsidRDefault="00794628" w:rsidP="001840E4">
      <w:pPr>
        <w:spacing w:line="276" w:lineRule="auto"/>
        <w:ind w:right="280"/>
        <w:rPr>
          <w:rFonts w:ascii="Century Gothic" w:eastAsia="Cambria" w:hAnsi="Century Gothic"/>
          <w:sz w:val="22"/>
          <w:szCs w:val="22"/>
        </w:rPr>
      </w:pPr>
      <w:r w:rsidRPr="007D22C4">
        <w:rPr>
          <w:rFonts w:ascii="Century Gothic" w:eastAsia="Cambria" w:hAnsi="Century Gothic"/>
          <w:sz w:val="22"/>
          <w:szCs w:val="22"/>
        </w:rPr>
        <w:t>An attorney may not be aware, at the time of the inception of the representation, of other recoveries or causes of action. Ordinarily, they do not become apparent until after the attorney has further investigated the client’s matter, or by way of traditional discovery. However, at whatever stage of the representation the attorney knows or should know of the other recovery or cause or action, the duty to so inform the client arises at that time.</w:t>
      </w:r>
    </w:p>
    <w:p w14:paraId="33D84AB1" w14:textId="77777777" w:rsidR="00794628" w:rsidRPr="007D22C4" w:rsidRDefault="00794628" w:rsidP="001840E4">
      <w:pPr>
        <w:spacing w:line="276" w:lineRule="auto"/>
        <w:rPr>
          <w:rFonts w:ascii="Century Gothic" w:eastAsia="Times New Roman" w:hAnsi="Century Gothic"/>
          <w:sz w:val="22"/>
          <w:szCs w:val="22"/>
        </w:rPr>
      </w:pPr>
    </w:p>
    <w:p w14:paraId="0BB6460A" w14:textId="77777777" w:rsidR="00794628" w:rsidRPr="007D22C4" w:rsidRDefault="00794628" w:rsidP="001840E4">
      <w:pPr>
        <w:spacing w:line="276" w:lineRule="auto"/>
        <w:rPr>
          <w:rFonts w:ascii="Century Gothic" w:eastAsia="Cambria" w:hAnsi="Century Gothic"/>
          <w:sz w:val="22"/>
          <w:szCs w:val="22"/>
        </w:rPr>
      </w:pPr>
      <w:r w:rsidRPr="007D22C4">
        <w:rPr>
          <w:rFonts w:ascii="Century Gothic" w:eastAsia="Cambria" w:hAnsi="Century Gothic"/>
          <w:b/>
          <w:sz w:val="22"/>
          <w:szCs w:val="22"/>
          <w:u w:val="single"/>
        </w:rPr>
        <w:t>User Note 2</w:t>
      </w:r>
      <w:r w:rsidRPr="007D22C4">
        <w:rPr>
          <w:rFonts w:ascii="Century Gothic" w:eastAsia="Cambria" w:hAnsi="Century Gothic"/>
          <w:sz w:val="22"/>
          <w:szCs w:val="22"/>
        </w:rPr>
        <w:t>-</w:t>
      </w:r>
    </w:p>
    <w:p w14:paraId="6AA9AA06" w14:textId="77777777" w:rsidR="00794628" w:rsidRPr="007D22C4" w:rsidRDefault="00794628" w:rsidP="001840E4">
      <w:pPr>
        <w:spacing w:line="276" w:lineRule="auto"/>
        <w:rPr>
          <w:rFonts w:ascii="Century Gothic" w:eastAsia="Times New Roman" w:hAnsi="Century Gothic"/>
          <w:sz w:val="22"/>
          <w:szCs w:val="22"/>
        </w:rPr>
      </w:pPr>
    </w:p>
    <w:p w14:paraId="09EC9175" w14:textId="77777777" w:rsidR="00794628" w:rsidRPr="007D22C4" w:rsidRDefault="00794628" w:rsidP="001840E4">
      <w:pPr>
        <w:spacing w:line="276" w:lineRule="auto"/>
        <w:ind w:right="20"/>
        <w:rPr>
          <w:rFonts w:ascii="Century Gothic" w:eastAsia="Cambria" w:hAnsi="Century Gothic"/>
          <w:sz w:val="22"/>
          <w:szCs w:val="22"/>
        </w:rPr>
      </w:pPr>
      <w:r w:rsidRPr="007D22C4">
        <w:rPr>
          <w:rFonts w:ascii="Century Gothic" w:eastAsia="Cambria" w:hAnsi="Century Gothic"/>
          <w:sz w:val="22"/>
          <w:szCs w:val="22"/>
        </w:rPr>
        <w:t xml:space="preserve">Although a representation agreement may limit the scope of representation to a particular legal course of action, if other remedies or even separate causes of action </w:t>
      </w:r>
      <w:r w:rsidRPr="007D22C4">
        <w:rPr>
          <w:rFonts w:ascii="Century Gothic" w:eastAsia="Cambria" w:hAnsi="Century Gothic"/>
          <w:sz w:val="22"/>
          <w:szCs w:val="22"/>
        </w:rPr>
        <w:lastRenderedPageBreak/>
        <w:t xml:space="preserve">are available to the client the attorney must inform the client of the alternatives and whether the attorney is or will pursue them. Failing to properly inform the client of the alternatives and the lawyer’s role in them exposes the attorney to potential malpractice for injuries suffered by the client resulting from missed opportunities in pursuing the alternatives. If the lawyer declines to represent the client in the alternative matters, the lawyer must inform the client of </w:t>
      </w:r>
      <w:proofErr w:type="gramStart"/>
      <w:r w:rsidRPr="007D22C4">
        <w:rPr>
          <w:rFonts w:ascii="Century Gothic" w:eastAsia="Cambria" w:hAnsi="Century Gothic"/>
          <w:sz w:val="22"/>
          <w:szCs w:val="22"/>
        </w:rPr>
        <w:t>that</w:t>
      </w:r>
      <w:proofErr w:type="gramEnd"/>
      <w:r w:rsidRPr="007D22C4">
        <w:rPr>
          <w:rFonts w:ascii="Century Gothic" w:eastAsia="Cambria" w:hAnsi="Century Gothic"/>
          <w:sz w:val="22"/>
          <w:szCs w:val="22"/>
        </w:rPr>
        <w:t xml:space="preserve"> and that the client should timely seek other counsel to represent them if they wish to pursue them.</w:t>
      </w:r>
    </w:p>
    <w:p w14:paraId="5394F0D9" w14:textId="77777777" w:rsidR="00794628" w:rsidRPr="007D22C4" w:rsidRDefault="00794628">
      <w:pPr>
        <w:spacing w:line="20" w:lineRule="exact"/>
        <w:rPr>
          <w:rFonts w:ascii="Century Gothic" w:eastAsia="Times New Roman" w:hAnsi="Century Gothic"/>
          <w:sz w:val="24"/>
          <w:szCs w:val="24"/>
        </w:rPr>
      </w:pPr>
    </w:p>
    <w:sectPr w:rsidR="00794628" w:rsidRPr="007D22C4" w:rsidSect="00702598">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C4"/>
    <w:rsid w:val="001840E4"/>
    <w:rsid w:val="00702598"/>
    <w:rsid w:val="00794628"/>
    <w:rsid w:val="007D22C4"/>
    <w:rsid w:val="00CB2BDC"/>
    <w:rsid w:val="00F4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73777"/>
  <w15:chartTrackingRefBased/>
  <w15:docId w15:val="{29CEF4E9-A1E2-4402-9E01-CF793414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5</cp:revision>
  <cp:lastPrinted>2022-06-22T19:57:00Z</cp:lastPrinted>
  <dcterms:created xsi:type="dcterms:W3CDTF">2022-06-22T17:36:00Z</dcterms:created>
  <dcterms:modified xsi:type="dcterms:W3CDTF">2022-06-22T19:57:00Z</dcterms:modified>
</cp:coreProperties>
</file>