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21D80DB" w14:textId="294D3121" w:rsidR="00000000" w:rsidRPr="0060384B" w:rsidRDefault="00FB45BD">
      <w:pPr>
        <w:spacing w:line="0" w:lineRule="atLeast"/>
        <w:ind w:left="560"/>
        <w:rPr>
          <w:rFonts w:ascii="Lato" w:eastAsia="Arial" w:hAnsi="Lato"/>
          <w:color w:val="000000" w:themeColor="text1"/>
          <w:sz w:val="24"/>
          <w:szCs w:val="24"/>
        </w:rPr>
      </w:pPr>
      <w:bookmarkStart w:id="0" w:name="page1"/>
      <w:bookmarkEnd w:id="0"/>
      <w:r w:rsidRPr="0060384B">
        <w:rPr>
          <w:rFonts w:ascii="Lato" w:hAnsi="Lato"/>
          <w:noProof/>
          <w:color w:val="000000" w:themeColor="text1"/>
          <w:sz w:val="24"/>
          <w:szCs w:val="24"/>
        </w:rPr>
        <mc:AlternateContent>
          <mc:Choice Requires="wps">
            <w:drawing>
              <wp:anchor distT="0" distB="0" distL="114300" distR="114300" simplePos="0" relativeHeight="251644416" behindDoc="1" locked="0" layoutInCell="1" allowOverlap="1" wp14:anchorId="0C64C94E" wp14:editId="6E328B2E">
                <wp:simplePos x="0" y="0"/>
                <wp:positionH relativeFrom="page">
                  <wp:posOffset>0</wp:posOffset>
                </wp:positionH>
                <wp:positionV relativeFrom="page">
                  <wp:posOffset>0</wp:posOffset>
                </wp:positionV>
                <wp:extent cx="7772400" cy="635000"/>
                <wp:effectExtent l="0" t="0" r="19050" b="12700"/>
                <wp:wrapNone/>
                <wp:docPr id="2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35000"/>
                        </a:xfrm>
                        <a:prstGeom prst="rect">
                          <a:avLst/>
                        </a:prstGeom>
                        <a:solidFill>
                          <a:schemeClr val="bg2">
                            <a:lumMod val="90000"/>
                          </a:schemeClr>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A988F" id="Rectangle 2" o:spid="_x0000_s1026" style="position:absolute;margin-left:0;margin-top:0;width:612pt;height:50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" fillcolor="#cfcdcd [2894]" strokecolor="white">
                <w10:wrap anchorx="page" anchory="page"/>
              </v:rect>
            </w:pict>
          </mc:Fallback>
        </mc:AlternateContent>
      </w:r>
      <w:r w:rsidR="00CA5F6F" w:rsidRPr="0060384B">
        <w:rPr>
          <w:rFonts w:ascii="Lato" w:eastAsia="Arial" w:hAnsi="Lato"/>
          <w:color w:val="000000" w:themeColor="text1"/>
          <w:sz w:val="24"/>
          <w:szCs w:val="24"/>
        </w:rPr>
        <w:t>NIH BYPASS BUDGET PROPOSAL FOR FISCAL YEAR 20</w:t>
      </w:r>
      <w:r w:rsidR="0060384B" w:rsidRPr="0060384B">
        <w:rPr>
          <w:rFonts w:ascii="Lato" w:eastAsia="Arial" w:hAnsi="Lato"/>
          <w:color w:val="000000" w:themeColor="text1"/>
          <w:sz w:val="24"/>
          <w:szCs w:val="24"/>
        </w:rPr>
        <w:t>XX</w:t>
      </w:r>
    </w:p>
    <w:p w14:paraId="00E5288E" w14:textId="77777777" w:rsidR="00000000" w:rsidRPr="0060384B" w:rsidRDefault="00CA5F6F">
      <w:pPr>
        <w:spacing w:line="200" w:lineRule="exact"/>
        <w:rPr>
          <w:rFonts w:ascii="Lato" w:eastAsia="Times New Roman" w:hAnsi="Lato"/>
          <w:color w:val="000000" w:themeColor="text1"/>
          <w:sz w:val="24"/>
          <w:szCs w:val="24"/>
        </w:rPr>
      </w:pPr>
    </w:p>
    <w:p w14:paraId="72517EA3" w14:textId="77777777" w:rsidR="00000000" w:rsidRPr="0060384B" w:rsidRDefault="00CA5F6F">
      <w:pPr>
        <w:spacing w:line="247" w:lineRule="exact"/>
        <w:rPr>
          <w:rFonts w:ascii="Lato" w:eastAsia="Times New Roman" w:hAnsi="Lato"/>
          <w:color w:val="000000" w:themeColor="text1"/>
          <w:sz w:val="24"/>
          <w:szCs w:val="24"/>
        </w:rPr>
      </w:pPr>
    </w:p>
    <w:p w14:paraId="3B74361E" w14:textId="77777777" w:rsidR="00000000" w:rsidRPr="0060384B" w:rsidRDefault="00CA5F6F">
      <w:pPr>
        <w:spacing w:line="0" w:lineRule="atLeast"/>
        <w:rPr>
          <w:rFonts w:ascii="Lato" w:eastAsia="Times New Roman" w:hAnsi="Lato"/>
          <w:color w:val="000000" w:themeColor="text1"/>
          <w:sz w:val="24"/>
          <w:szCs w:val="24"/>
        </w:rPr>
      </w:pPr>
      <w:r w:rsidRPr="0060384B">
        <w:rPr>
          <w:rFonts w:ascii="Lato" w:eastAsia="Times New Roman" w:hAnsi="Lato"/>
          <w:color w:val="000000" w:themeColor="text1"/>
          <w:sz w:val="24"/>
          <w:szCs w:val="24"/>
        </w:rPr>
        <w:t>Together We Succeed</w:t>
      </w:r>
    </w:p>
    <w:p w14:paraId="744CE880" w14:textId="77777777" w:rsidR="00000000" w:rsidRPr="0060384B" w:rsidRDefault="00CA5F6F">
      <w:pPr>
        <w:spacing w:line="203" w:lineRule="auto"/>
        <w:jc w:val="both"/>
        <w:rPr>
          <w:rFonts w:ascii="Lato" w:eastAsia="Times New Roman" w:hAnsi="Lato"/>
          <w:b/>
          <w:color w:val="000000" w:themeColor="text1"/>
          <w:sz w:val="24"/>
          <w:szCs w:val="24"/>
        </w:rPr>
      </w:pPr>
      <w:r w:rsidRPr="0060384B">
        <w:rPr>
          <w:rFonts w:ascii="Lato" w:eastAsia="Times New Roman" w:hAnsi="Lato"/>
          <w:b/>
          <w:color w:val="000000" w:themeColor="text1"/>
          <w:sz w:val="24"/>
          <w:szCs w:val="24"/>
        </w:rPr>
        <w:t>Accelerating Research on Alzheimer</w:t>
      </w:r>
      <w:r w:rsidRPr="0060384B">
        <w:rPr>
          <w:rFonts w:ascii="Lato" w:eastAsia="Times New Roman" w:hAnsi="Lato"/>
          <w:b/>
          <w:color w:val="000000" w:themeColor="text1"/>
          <w:sz w:val="24"/>
          <w:szCs w:val="24"/>
        </w:rPr>
        <w:t>’s Disease &amp; Related Dementias</w:t>
      </w:r>
    </w:p>
    <w:p w14:paraId="45805AE7" w14:textId="115635A9" w:rsidR="00000000" w:rsidRPr="0060384B" w:rsidRDefault="00FB45BD">
      <w:pPr>
        <w:spacing w:line="20" w:lineRule="exact"/>
        <w:rPr>
          <w:rFonts w:ascii="Lato" w:eastAsia="Times New Roman" w:hAnsi="Lato"/>
          <w:color w:val="000000" w:themeColor="text1"/>
          <w:sz w:val="24"/>
          <w:szCs w:val="24"/>
        </w:rPr>
      </w:pPr>
      <w:r w:rsidRPr="0060384B">
        <w:rPr>
          <w:rFonts w:ascii="Lato" w:eastAsia="Times New Roman" w:hAnsi="Lato"/>
          <w:b/>
          <w:noProof/>
          <w:color w:val="000000" w:themeColor="text1"/>
          <w:sz w:val="24"/>
          <w:szCs w:val="24"/>
        </w:rPr>
        <w:drawing>
          <wp:anchor distT="0" distB="0" distL="114300" distR="114300" simplePos="0" relativeHeight="251645440" behindDoc="1" locked="0" layoutInCell="1" allowOverlap="1" wp14:anchorId="118B696A" wp14:editId="77FCA7A8">
            <wp:simplePos x="0" y="0"/>
            <wp:positionH relativeFrom="column">
              <wp:posOffset>-431165</wp:posOffset>
            </wp:positionH>
            <wp:positionV relativeFrom="paragraph">
              <wp:posOffset>186690</wp:posOffset>
            </wp:positionV>
            <wp:extent cx="7772400" cy="6190615"/>
            <wp:effectExtent l="0" t="0" r="0" b="635"/>
            <wp:wrapNone/>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BEBA8EAE-BF5A-486C-A8C5-ECC9F3942E4B}">
                          <a14:imgProps xmlns:a14="http://schemas.microsoft.com/office/drawing/2010/main">
                            <a14:imgLayer r:embed="rId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772400" cy="6190615"/>
                    </a:xfrm>
                    <a:prstGeom prst="rect">
                      <a:avLst/>
                    </a:prstGeom>
                    <a:noFill/>
                  </pic:spPr>
                </pic:pic>
              </a:graphicData>
            </a:graphic>
            <wp14:sizeRelH relativeFrom="page">
              <wp14:pctWidth>0</wp14:pctWidth>
            </wp14:sizeRelH>
            <wp14:sizeRelV relativeFrom="page">
              <wp14:pctHeight>0</wp14:pctHeight>
            </wp14:sizeRelV>
          </wp:anchor>
        </w:drawing>
      </w:r>
    </w:p>
    <w:p w14:paraId="682C390A" w14:textId="77777777" w:rsidR="00000000" w:rsidRPr="0060384B" w:rsidRDefault="00CA5F6F">
      <w:pPr>
        <w:spacing w:line="200" w:lineRule="exact"/>
        <w:rPr>
          <w:rFonts w:ascii="Lato" w:eastAsia="Times New Roman" w:hAnsi="Lato"/>
          <w:color w:val="000000" w:themeColor="text1"/>
          <w:sz w:val="24"/>
          <w:szCs w:val="24"/>
        </w:rPr>
      </w:pPr>
    </w:p>
    <w:p w14:paraId="03952EC5" w14:textId="77777777" w:rsidR="00000000" w:rsidRPr="0060384B" w:rsidRDefault="00CA5F6F">
      <w:pPr>
        <w:spacing w:line="200" w:lineRule="exact"/>
        <w:rPr>
          <w:rFonts w:ascii="Lato" w:eastAsia="Times New Roman" w:hAnsi="Lato"/>
          <w:color w:val="000000" w:themeColor="text1"/>
          <w:sz w:val="24"/>
          <w:szCs w:val="24"/>
        </w:rPr>
      </w:pPr>
    </w:p>
    <w:p w14:paraId="0D2FF1E5" w14:textId="77777777" w:rsidR="00000000" w:rsidRPr="0060384B" w:rsidRDefault="00CA5F6F">
      <w:pPr>
        <w:spacing w:line="200" w:lineRule="exact"/>
        <w:rPr>
          <w:rFonts w:ascii="Lato" w:eastAsia="Times New Roman" w:hAnsi="Lato"/>
          <w:color w:val="000000" w:themeColor="text1"/>
          <w:sz w:val="24"/>
          <w:szCs w:val="24"/>
        </w:rPr>
      </w:pPr>
    </w:p>
    <w:p w14:paraId="035F85C2" w14:textId="77777777" w:rsidR="00000000" w:rsidRPr="0060384B" w:rsidRDefault="00CA5F6F">
      <w:pPr>
        <w:spacing w:line="200" w:lineRule="exact"/>
        <w:rPr>
          <w:rFonts w:ascii="Lato" w:eastAsia="Times New Roman" w:hAnsi="Lato"/>
          <w:color w:val="000000" w:themeColor="text1"/>
          <w:sz w:val="24"/>
          <w:szCs w:val="24"/>
        </w:rPr>
      </w:pPr>
    </w:p>
    <w:p w14:paraId="029B135C" w14:textId="77777777" w:rsidR="00000000" w:rsidRPr="0060384B" w:rsidRDefault="00CA5F6F">
      <w:pPr>
        <w:spacing w:line="200" w:lineRule="exact"/>
        <w:rPr>
          <w:rFonts w:ascii="Lato" w:eastAsia="Times New Roman" w:hAnsi="Lato"/>
          <w:color w:val="000000" w:themeColor="text1"/>
          <w:sz w:val="24"/>
          <w:szCs w:val="24"/>
        </w:rPr>
      </w:pPr>
    </w:p>
    <w:p w14:paraId="12426686" w14:textId="77777777" w:rsidR="00000000" w:rsidRPr="0060384B" w:rsidRDefault="00CA5F6F">
      <w:pPr>
        <w:spacing w:line="200" w:lineRule="exact"/>
        <w:rPr>
          <w:rFonts w:ascii="Lato" w:eastAsia="Times New Roman" w:hAnsi="Lato"/>
          <w:color w:val="000000" w:themeColor="text1"/>
          <w:sz w:val="24"/>
          <w:szCs w:val="24"/>
        </w:rPr>
      </w:pPr>
    </w:p>
    <w:p w14:paraId="1863DBB5" w14:textId="77777777" w:rsidR="00000000" w:rsidRPr="0060384B" w:rsidRDefault="00CA5F6F">
      <w:pPr>
        <w:spacing w:line="200" w:lineRule="exact"/>
        <w:rPr>
          <w:rFonts w:ascii="Lato" w:eastAsia="Times New Roman" w:hAnsi="Lato"/>
          <w:color w:val="000000" w:themeColor="text1"/>
          <w:sz w:val="24"/>
          <w:szCs w:val="24"/>
        </w:rPr>
      </w:pPr>
    </w:p>
    <w:p w14:paraId="49F05BA3" w14:textId="77777777" w:rsidR="00000000" w:rsidRPr="0060384B" w:rsidRDefault="00CA5F6F">
      <w:pPr>
        <w:spacing w:line="200" w:lineRule="exact"/>
        <w:rPr>
          <w:rFonts w:ascii="Lato" w:eastAsia="Times New Roman" w:hAnsi="Lato"/>
          <w:color w:val="000000" w:themeColor="text1"/>
          <w:sz w:val="24"/>
          <w:szCs w:val="24"/>
        </w:rPr>
      </w:pPr>
    </w:p>
    <w:p w14:paraId="24F84E7D" w14:textId="77777777" w:rsidR="00000000" w:rsidRPr="0060384B" w:rsidRDefault="00CA5F6F">
      <w:pPr>
        <w:spacing w:line="200" w:lineRule="exact"/>
        <w:rPr>
          <w:rFonts w:ascii="Lato" w:eastAsia="Times New Roman" w:hAnsi="Lato"/>
          <w:color w:val="000000" w:themeColor="text1"/>
          <w:sz w:val="24"/>
          <w:szCs w:val="24"/>
        </w:rPr>
      </w:pPr>
    </w:p>
    <w:p w14:paraId="64E7D5D1" w14:textId="77777777" w:rsidR="00000000" w:rsidRPr="0060384B" w:rsidRDefault="00CA5F6F">
      <w:pPr>
        <w:spacing w:line="200" w:lineRule="exact"/>
        <w:rPr>
          <w:rFonts w:ascii="Lato" w:eastAsia="Times New Roman" w:hAnsi="Lato"/>
          <w:color w:val="000000" w:themeColor="text1"/>
          <w:sz w:val="24"/>
          <w:szCs w:val="24"/>
        </w:rPr>
      </w:pPr>
    </w:p>
    <w:p w14:paraId="2D02ACE9" w14:textId="77777777" w:rsidR="00000000" w:rsidRPr="0060384B" w:rsidRDefault="00CA5F6F">
      <w:pPr>
        <w:spacing w:line="200" w:lineRule="exact"/>
        <w:rPr>
          <w:rFonts w:ascii="Lato" w:eastAsia="Times New Roman" w:hAnsi="Lato"/>
          <w:color w:val="000000" w:themeColor="text1"/>
          <w:sz w:val="24"/>
          <w:szCs w:val="24"/>
        </w:rPr>
      </w:pPr>
    </w:p>
    <w:p w14:paraId="5AB03565" w14:textId="77777777" w:rsidR="00000000" w:rsidRPr="0060384B" w:rsidRDefault="00CA5F6F">
      <w:pPr>
        <w:spacing w:line="200" w:lineRule="exact"/>
        <w:rPr>
          <w:rFonts w:ascii="Lato" w:eastAsia="Times New Roman" w:hAnsi="Lato"/>
          <w:color w:val="000000" w:themeColor="text1"/>
          <w:sz w:val="24"/>
          <w:szCs w:val="24"/>
        </w:rPr>
      </w:pPr>
    </w:p>
    <w:p w14:paraId="34FD39DC" w14:textId="77777777" w:rsidR="00000000" w:rsidRPr="0060384B" w:rsidRDefault="00CA5F6F">
      <w:pPr>
        <w:spacing w:line="200" w:lineRule="exact"/>
        <w:rPr>
          <w:rFonts w:ascii="Lato" w:eastAsia="Times New Roman" w:hAnsi="Lato"/>
          <w:color w:val="000000" w:themeColor="text1"/>
          <w:sz w:val="24"/>
          <w:szCs w:val="24"/>
        </w:rPr>
      </w:pPr>
    </w:p>
    <w:p w14:paraId="71A1826A" w14:textId="77777777" w:rsidR="00000000" w:rsidRPr="0060384B" w:rsidRDefault="00CA5F6F">
      <w:pPr>
        <w:spacing w:line="200" w:lineRule="exact"/>
        <w:rPr>
          <w:rFonts w:ascii="Lato" w:eastAsia="Times New Roman" w:hAnsi="Lato"/>
          <w:color w:val="000000" w:themeColor="text1"/>
          <w:sz w:val="24"/>
          <w:szCs w:val="24"/>
        </w:rPr>
      </w:pPr>
    </w:p>
    <w:p w14:paraId="5C150003" w14:textId="77777777" w:rsidR="00000000" w:rsidRPr="0060384B" w:rsidRDefault="00CA5F6F">
      <w:pPr>
        <w:spacing w:line="200" w:lineRule="exact"/>
        <w:rPr>
          <w:rFonts w:ascii="Lato" w:eastAsia="Times New Roman" w:hAnsi="Lato"/>
          <w:color w:val="000000" w:themeColor="text1"/>
          <w:sz w:val="24"/>
          <w:szCs w:val="24"/>
        </w:rPr>
      </w:pPr>
    </w:p>
    <w:p w14:paraId="2CAE5553" w14:textId="77777777" w:rsidR="00000000" w:rsidRPr="0060384B" w:rsidRDefault="00CA5F6F">
      <w:pPr>
        <w:spacing w:line="200" w:lineRule="exact"/>
        <w:rPr>
          <w:rFonts w:ascii="Lato" w:eastAsia="Times New Roman" w:hAnsi="Lato"/>
          <w:color w:val="000000" w:themeColor="text1"/>
          <w:sz w:val="24"/>
          <w:szCs w:val="24"/>
        </w:rPr>
      </w:pPr>
    </w:p>
    <w:p w14:paraId="370C09A6" w14:textId="77777777" w:rsidR="00000000" w:rsidRPr="0060384B" w:rsidRDefault="00CA5F6F">
      <w:pPr>
        <w:spacing w:line="200" w:lineRule="exact"/>
        <w:rPr>
          <w:rFonts w:ascii="Lato" w:eastAsia="Times New Roman" w:hAnsi="Lato"/>
          <w:color w:val="000000" w:themeColor="text1"/>
          <w:sz w:val="24"/>
          <w:szCs w:val="24"/>
        </w:rPr>
      </w:pPr>
    </w:p>
    <w:p w14:paraId="63DAFD7E" w14:textId="77777777" w:rsidR="00000000" w:rsidRPr="0060384B" w:rsidRDefault="00CA5F6F">
      <w:pPr>
        <w:spacing w:line="200" w:lineRule="exact"/>
        <w:rPr>
          <w:rFonts w:ascii="Lato" w:eastAsia="Times New Roman" w:hAnsi="Lato"/>
          <w:color w:val="000000" w:themeColor="text1"/>
          <w:sz w:val="24"/>
          <w:szCs w:val="24"/>
        </w:rPr>
      </w:pPr>
    </w:p>
    <w:p w14:paraId="633BC2F5" w14:textId="77777777" w:rsidR="00000000" w:rsidRPr="0060384B" w:rsidRDefault="00CA5F6F">
      <w:pPr>
        <w:spacing w:line="200" w:lineRule="exact"/>
        <w:rPr>
          <w:rFonts w:ascii="Lato" w:eastAsia="Times New Roman" w:hAnsi="Lato"/>
          <w:color w:val="000000" w:themeColor="text1"/>
          <w:sz w:val="24"/>
          <w:szCs w:val="24"/>
        </w:rPr>
      </w:pPr>
    </w:p>
    <w:p w14:paraId="06B31855" w14:textId="77777777" w:rsidR="00000000" w:rsidRPr="0060384B" w:rsidRDefault="00CA5F6F">
      <w:pPr>
        <w:spacing w:line="200" w:lineRule="exact"/>
        <w:rPr>
          <w:rFonts w:ascii="Lato" w:eastAsia="Times New Roman" w:hAnsi="Lato"/>
          <w:color w:val="000000" w:themeColor="text1"/>
          <w:sz w:val="24"/>
          <w:szCs w:val="24"/>
        </w:rPr>
      </w:pPr>
    </w:p>
    <w:p w14:paraId="1FB93ADD" w14:textId="77777777" w:rsidR="00000000" w:rsidRPr="0060384B" w:rsidRDefault="00CA5F6F">
      <w:pPr>
        <w:spacing w:line="200" w:lineRule="exact"/>
        <w:rPr>
          <w:rFonts w:ascii="Lato" w:eastAsia="Times New Roman" w:hAnsi="Lato"/>
          <w:color w:val="000000" w:themeColor="text1"/>
          <w:sz w:val="24"/>
          <w:szCs w:val="24"/>
        </w:rPr>
      </w:pPr>
    </w:p>
    <w:p w14:paraId="2013FCCA" w14:textId="77777777" w:rsidR="00000000" w:rsidRPr="0060384B" w:rsidRDefault="00CA5F6F">
      <w:pPr>
        <w:spacing w:line="200" w:lineRule="exact"/>
        <w:rPr>
          <w:rFonts w:ascii="Lato" w:eastAsia="Times New Roman" w:hAnsi="Lato"/>
          <w:color w:val="000000" w:themeColor="text1"/>
          <w:sz w:val="24"/>
          <w:szCs w:val="24"/>
        </w:rPr>
      </w:pPr>
    </w:p>
    <w:p w14:paraId="39D59651" w14:textId="77777777" w:rsidR="00000000" w:rsidRPr="0060384B" w:rsidRDefault="00CA5F6F">
      <w:pPr>
        <w:spacing w:line="200" w:lineRule="exact"/>
        <w:rPr>
          <w:rFonts w:ascii="Lato" w:eastAsia="Times New Roman" w:hAnsi="Lato"/>
          <w:color w:val="000000" w:themeColor="text1"/>
          <w:sz w:val="24"/>
          <w:szCs w:val="24"/>
        </w:rPr>
      </w:pPr>
    </w:p>
    <w:p w14:paraId="51F47F76" w14:textId="77777777" w:rsidR="00000000" w:rsidRPr="0060384B" w:rsidRDefault="00CA5F6F">
      <w:pPr>
        <w:spacing w:line="200" w:lineRule="exact"/>
        <w:rPr>
          <w:rFonts w:ascii="Lato" w:eastAsia="Times New Roman" w:hAnsi="Lato"/>
          <w:color w:val="000000" w:themeColor="text1"/>
          <w:sz w:val="24"/>
          <w:szCs w:val="24"/>
        </w:rPr>
      </w:pPr>
    </w:p>
    <w:p w14:paraId="2BCAAA22" w14:textId="77777777" w:rsidR="00000000" w:rsidRPr="0060384B" w:rsidRDefault="00CA5F6F">
      <w:pPr>
        <w:spacing w:line="200" w:lineRule="exact"/>
        <w:rPr>
          <w:rFonts w:ascii="Lato" w:eastAsia="Times New Roman" w:hAnsi="Lato"/>
          <w:color w:val="000000" w:themeColor="text1"/>
          <w:sz w:val="24"/>
          <w:szCs w:val="24"/>
        </w:rPr>
      </w:pPr>
    </w:p>
    <w:p w14:paraId="18EDB325" w14:textId="77777777" w:rsidR="00000000" w:rsidRPr="0060384B" w:rsidRDefault="00CA5F6F">
      <w:pPr>
        <w:spacing w:line="200" w:lineRule="exact"/>
        <w:rPr>
          <w:rFonts w:ascii="Lato" w:eastAsia="Times New Roman" w:hAnsi="Lato"/>
          <w:color w:val="000000" w:themeColor="text1"/>
          <w:sz w:val="24"/>
          <w:szCs w:val="24"/>
        </w:rPr>
      </w:pPr>
    </w:p>
    <w:p w14:paraId="71FE4F48" w14:textId="77777777" w:rsidR="00000000" w:rsidRPr="0060384B" w:rsidRDefault="00CA5F6F">
      <w:pPr>
        <w:spacing w:line="200" w:lineRule="exact"/>
        <w:rPr>
          <w:rFonts w:ascii="Lato" w:eastAsia="Times New Roman" w:hAnsi="Lato"/>
          <w:color w:val="000000" w:themeColor="text1"/>
          <w:sz w:val="24"/>
          <w:szCs w:val="24"/>
        </w:rPr>
      </w:pPr>
    </w:p>
    <w:p w14:paraId="443469E1" w14:textId="77777777" w:rsidR="00000000" w:rsidRPr="0060384B" w:rsidRDefault="00CA5F6F">
      <w:pPr>
        <w:spacing w:line="200" w:lineRule="exact"/>
        <w:rPr>
          <w:rFonts w:ascii="Lato" w:eastAsia="Times New Roman" w:hAnsi="Lato"/>
          <w:color w:val="000000" w:themeColor="text1"/>
          <w:sz w:val="24"/>
          <w:szCs w:val="24"/>
        </w:rPr>
      </w:pPr>
    </w:p>
    <w:p w14:paraId="29CEA5CC" w14:textId="77777777" w:rsidR="00000000" w:rsidRPr="0060384B" w:rsidRDefault="00CA5F6F">
      <w:pPr>
        <w:spacing w:line="200" w:lineRule="exact"/>
        <w:rPr>
          <w:rFonts w:ascii="Lato" w:eastAsia="Times New Roman" w:hAnsi="Lato"/>
          <w:color w:val="000000" w:themeColor="text1"/>
          <w:sz w:val="24"/>
          <w:szCs w:val="24"/>
        </w:rPr>
      </w:pPr>
    </w:p>
    <w:p w14:paraId="77BB3A67" w14:textId="77777777" w:rsidR="00000000" w:rsidRPr="0060384B" w:rsidRDefault="00CA5F6F">
      <w:pPr>
        <w:spacing w:line="200" w:lineRule="exact"/>
        <w:rPr>
          <w:rFonts w:ascii="Lato" w:eastAsia="Times New Roman" w:hAnsi="Lato"/>
          <w:color w:val="000000" w:themeColor="text1"/>
          <w:sz w:val="24"/>
          <w:szCs w:val="24"/>
        </w:rPr>
      </w:pPr>
    </w:p>
    <w:p w14:paraId="64BC8391" w14:textId="77777777" w:rsidR="00000000" w:rsidRPr="0060384B" w:rsidRDefault="00CA5F6F">
      <w:pPr>
        <w:spacing w:line="200" w:lineRule="exact"/>
        <w:rPr>
          <w:rFonts w:ascii="Lato" w:eastAsia="Times New Roman" w:hAnsi="Lato"/>
          <w:color w:val="000000" w:themeColor="text1"/>
          <w:sz w:val="24"/>
          <w:szCs w:val="24"/>
        </w:rPr>
      </w:pPr>
    </w:p>
    <w:p w14:paraId="2F103F26" w14:textId="77777777" w:rsidR="00000000" w:rsidRPr="0060384B" w:rsidRDefault="00CA5F6F">
      <w:pPr>
        <w:spacing w:line="200" w:lineRule="exact"/>
        <w:rPr>
          <w:rFonts w:ascii="Lato" w:eastAsia="Times New Roman" w:hAnsi="Lato"/>
          <w:color w:val="000000" w:themeColor="text1"/>
          <w:sz w:val="24"/>
          <w:szCs w:val="24"/>
        </w:rPr>
      </w:pPr>
    </w:p>
    <w:p w14:paraId="1D5356BE" w14:textId="77777777" w:rsidR="00000000" w:rsidRPr="0060384B" w:rsidRDefault="00CA5F6F">
      <w:pPr>
        <w:spacing w:line="200" w:lineRule="exact"/>
        <w:rPr>
          <w:rFonts w:ascii="Lato" w:eastAsia="Times New Roman" w:hAnsi="Lato"/>
          <w:color w:val="000000" w:themeColor="text1"/>
          <w:sz w:val="24"/>
          <w:szCs w:val="24"/>
        </w:rPr>
      </w:pPr>
    </w:p>
    <w:p w14:paraId="21338ADF" w14:textId="77777777" w:rsidR="00000000" w:rsidRPr="0060384B" w:rsidRDefault="00CA5F6F">
      <w:pPr>
        <w:spacing w:line="200" w:lineRule="exact"/>
        <w:rPr>
          <w:rFonts w:ascii="Lato" w:eastAsia="Times New Roman" w:hAnsi="Lato"/>
          <w:color w:val="000000" w:themeColor="text1"/>
          <w:sz w:val="24"/>
          <w:szCs w:val="24"/>
        </w:rPr>
      </w:pPr>
    </w:p>
    <w:p w14:paraId="51634A4D" w14:textId="77777777" w:rsidR="00000000" w:rsidRPr="0060384B" w:rsidRDefault="00CA5F6F">
      <w:pPr>
        <w:spacing w:line="200" w:lineRule="exact"/>
        <w:rPr>
          <w:rFonts w:ascii="Lato" w:eastAsia="Times New Roman" w:hAnsi="Lato"/>
          <w:color w:val="000000" w:themeColor="text1"/>
          <w:sz w:val="24"/>
          <w:szCs w:val="24"/>
        </w:rPr>
      </w:pPr>
    </w:p>
    <w:p w14:paraId="69265C23" w14:textId="77777777" w:rsidR="00000000" w:rsidRPr="0060384B" w:rsidRDefault="00CA5F6F">
      <w:pPr>
        <w:spacing w:line="200" w:lineRule="exact"/>
        <w:rPr>
          <w:rFonts w:ascii="Lato" w:eastAsia="Times New Roman" w:hAnsi="Lato"/>
          <w:color w:val="000000" w:themeColor="text1"/>
          <w:sz w:val="24"/>
          <w:szCs w:val="24"/>
        </w:rPr>
      </w:pPr>
    </w:p>
    <w:p w14:paraId="7FA9A7B1" w14:textId="77777777" w:rsidR="00000000" w:rsidRPr="0060384B" w:rsidRDefault="00CA5F6F">
      <w:pPr>
        <w:spacing w:line="200" w:lineRule="exact"/>
        <w:rPr>
          <w:rFonts w:ascii="Lato" w:eastAsia="Times New Roman" w:hAnsi="Lato"/>
          <w:color w:val="000000" w:themeColor="text1"/>
          <w:sz w:val="24"/>
          <w:szCs w:val="24"/>
        </w:rPr>
      </w:pPr>
    </w:p>
    <w:p w14:paraId="2A93309B" w14:textId="77777777" w:rsidR="00000000" w:rsidRPr="0060384B" w:rsidRDefault="00CA5F6F">
      <w:pPr>
        <w:spacing w:line="200" w:lineRule="exact"/>
        <w:rPr>
          <w:rFonts w:ascii="Lato" w:eastAsia="Times New Roman" w:hAnsi="Lato"/>
          <w:color w:val="000000" w:themeColor="text1"/>
          <w:sz w:val="24"/>
          <w:szCs w:val="24"/>
        </w:rPr>
      </w:pPr>
    </w:p>
    <w:p w14:paraId="6BBC7529" w14:textId="77777777" w:rsidR="00000000" w:rsidRPr="0060384B" w:rsidRDefault="00CA5F6F">
      <w:pPr>
        <w:spacing w:line="200" w:lineRule="exact"/>
        <w:rPr>
          <w:rFonts w:ascii="Lato" w:eastAsia="Times New Roman" w:hAnsi="Lato"/>
          <w:color w:val="000000" w:themeColor="text1"/>
          <w:sz w:val="24"/>
          <w:szCs w:val="24"/>
        </w:rPr>
      </w:pPr>
    </w:p>
    <w:p w14:paraId="37E79158" w14:textId="77777777" w:rsidR="00000000" w:rsidRPr="0060384B" w:rsidRDefault="00CA5F6F">
      <w:pPr>
        <w:spacing w:line="200" w:lineRule="exact"/>
        <w:rPr>
          <w:rFonts w:ascii="Lato" w:eastAsia="Times New Roman" w:hAnsi="Lato"/>
          <w:color w:val="000000" w:themeColor="text1"/>
          <w:sz w:val="24"/>
          <w:szCs w:val="24"/>
        </w:rPr>
      </w:pPr>
    </w:p>
    <w:p w14:paraId="49BFA2BA" w14:textId="77777777" w:rsidR="00000000" w:rsidRPr="0060384B" w:rsidRDefault="00CA5F6F">
      <w:pPr>
        <w:spacing w:line="200" w:lineRule="exact"/>
        <w:rPr>
          <w:rFonts w:ascii="Lato" w:eastAsia="Times New Roman" w:hAnsi="Lato"/>
          <w:color w:val="000000" w:themeColor="text1"/>
          <w:sz w:val="24"/>
          <w:szCs w:val="24"/>
        </w:rPr>
      </w:pPr>
    </w:p>
    <w:p w14:paraId="57D29787" w14:textId="77777777" w:rsidR="00000000" w:rsidRPr="0060384B" w:rsidRDefault="00CA5F6F">
      <w:pPr>
        <w:spacing w:line="200" w:lineRule="exact"/>
        <w:rPr>
          <w:rFonts w:ascii="Lato" w:eastAsia="Times New Roman" w:hAnsi="Lato"/>
          <w:color w:val="000000" w:themeColor="text1"/>
          <w:sz w:val="24"/>
          <w:szCs w:val="24"/>
        </w:rPr>
      </w:pPr>
    </w:p>
    <w:p w14:paraId="450C0DB4" w14:textId="77777777" w:rsidR="00000000" w:rsidRPr="0060384B" w:rsidRDefault="00CA5F6F">
      <w:pPr>
        <w:spacing w:line="200" w:lineRule="exact"/>
        <w:rPr>
          <w:rFonts w:ascii="Lato" w:eastAsia="Times New Roman" w:hAnsi="Lato"/>
          <w:color w:val="000000" w:themeColor="text1"/>
          <w:sz w:val="24"/>
          <w:szCs w:val="24"/>
        </w:rPr>
      </w:pPr>
    </w:p>
    <w:p w14:paraId="7A768F4C" w14:textId="77777777" w:rsidR="00000000" w:rsidRPr="0060384B" w:rsidRDefault="00CA5F6F">
      <w:pPr>
        <w:spacing w:line="200" w:lineRule="exact"/>
        <w:rPr>
          <w:rFonts w:ascii="Lato" w:eastAsia="Times New Roman" w:hAnsi="Lato"/>
          <w:color w:val="000000" w:themeColor="text1"/>
          <w:sz w:val="24"/>
          <w:szCs w:val="24"/>
        </w:rPr>
      </w:pPr>
    </w:p>
    <w:p w14:paraId="31645FCE" w14:textId="77777777" w:rsidR="00000000" w:rsidRPr="0060384B" w:rsidRDefault="00CA5F6F">
      <w:pPr>
        <w:spacing w:line="200" w:lineRule="exact"/>
        <w:rPr>
          <w:rFonts w:ascii="Lato" w:eastAsia="Times New Roman" w:hAnsi="Lato"/>
          <w:color w:val="000000" w:themeColor="text1"/>
          <w:sz w:val="24"/>
          <w:szCs w:val="24"/>
        </w:rPr>
      </w:pPr>
    </w:p>
    <w:p w14:paraId="72BC2BCA" w14:textId="77777777" w:rsidR="00000000" w:rsidRPr="0060384B" w:rsidRDefault="00CA5F6F">
      <w:pPr>
        <w:spacing w:line="200" w:lineRule="exact"/>
        <w:rPr>
          <w:rFonts w:ascii="Lato" w:eastAsia="Times New Roman" w:hAnsi="Lato"/>
          <w:color w:val="000000" w:themeColor="text1"/>
          <w:sz w:val="24"/>
          <w:szCs w:val="24"/>
        </w:rPr>
      </w:pPr>
    </w:p>
    <w:p w14:paraId="37E8C8F0" w14:textId="77777777" w:rsidR="00000000" w:rsidRPr="0060384B" w:rsidRDefault="00CA5F6F">
      <w:pPr>
        <w:spacing w:line="214" w:lineRule="exact"/>
        <w:rPr>
          <w:rFonts w:ascii="Lato" w:eastAsia="Times New Roman" w:hAnsi="Lato"/>
          <w:color w:val="000000" w:themeColor="text1"/>
          <w:sz w:val="24"/>
          <w:szCs w:val="24"/>
        </w:rPr>
      </w:pPr>
    </w:p>
    <w:p w14:paraId="78717008" w14:textId="77777777" w:rsidR="00000000" w:rsidRPr="0060384B" w:rsidRDefault="00CA5F6F">
      <w:pPr>
        <w:spacing w:line="0" w:lineRule="atLeast"/>
        <w:ind w:left="2400"/>
        <w:rPr>
          <w:rFonts w:ascii="Lato" w:eastAsia="Arial" w:hAnsi="Lato"/>
          <w:color w:val="000000" w:themeColor="text1"/>
          <w:sz w:val="24"/>
          <w:szCs w:val="24"/>
        </w:rPr>
      </w:pPr>
      <w:r w:rsidRPr="0060384B">
        <w:rPr>
          <w:rFonts w:ascii="Lato" w:eastAsia="Arial" w:hAnsi="Lato"/>
          <w:color w:val="000000" w:themeColor="text1"/>
          <w:sz w:val="24"/>
          <w:szCs w:val="24"/>
        </w:rPr>
        <w:t>National Institutes of Health</w:t>
      </w:r>
    </w:p>
    <w:p w14:paraId="32E3E2BC" w14:textId="77777777" w:rsidR="00000000" w:rsidRPr="0060384B" w:rsidRDefault="00CA5F6F">
      <w:pPr>
        <w:spacing w:line="0" w:lineRule="atLeast"/>
        <w:ind w:left="2400"/>
        <w:rPr>
          <w:rFonts w:ascii="Lato" w:eastAsia="Arial" w:hAnsi="Lato"/>
          <w:color w:val="000000" w:themeColor="text1"/>
          <w:sz w:val="24"/>
          <w:szCs w:val="24"/>
        </w:rPr>
        <w:sectPr w:rsidR="00000000" w:rsidRPr="0060384B">
          <w:pgSz w:w="12240" w:h="15840"/>
          <w:pgMar w:top="268" w:right="780" w:bottom="290" w:left="680" w:header="0" w:footer="0" w:gutter="0"/>
          <w:cols w:space="0" w:equalWidth="0">
            <w:col w:w="10780"/>
          </w:cols>
          <w:docGrid w:linePitch="360"/>
        </w:sectPr>
      </w:pPr>
    </w:p>
    <w:p w14:paraId="6B7E1BA3" w14:textId="77777777" w:rsidR="00000000" w:rsidRPr="0060384B" w:rsidRDefault="00CA5F6F">
      <w:pPr>
        <w:spacing w:line="0" w:lineRule="atLeast"/>
        <w:rPr>
          <w:rFonts w:ascii="Lato" w:hAnsi="Lato"/>
          <w:b/>
          <w:color w:val="000000" w:themeColor="text1"/>
          <w:sz w:val="24"/>
          <w:szCs w:val="24"/>
        </w:rPr>
      </w:pPr>
      <w:bookmarkStart w:id="1" w:name="page2"/>
      <w:bookmarkEnd w:id="1"/>
      <w:r w:rsidRPr="0060384B">
        <w:rPr>
          <w:rFonts w:ascii="Lato" w:hAnsi="Lato"/>
          <w:b/>
          <w:color w:val="000000" w:themeColor="text1"/>
          <w:sz w:val="24"/>
          <w:szCs w:val="24"/>
        </w:rPr>
        <w:lastRenderedPageBreak/>
        <w:t>CONTENTS</w:t>
      </w:r>
    </w:p>
    <w:p w14:paraId="5FF73825" w14:textId="77777777" w:rsidR="00000000" w:rsidRPr="0060384B" w:rsidRDefault="00CA5F6F">
      <w:pPr>
        <w:spacing w:line="284" w:lineRule="exact"/>
        <w:rPr>
          <w:rFonts w:ascii="Lato" w:eastAsia="Times New Roman" w:hAnsi="Lato"/>
          <w:color w:val="000000" w:themeColor="text1"/>
          <w:sz w:val="24"/>
          <w:szCs w:val="24"/>
        </w:rPr>
      </w:pPr>
    </w:p>
    <w:p w14:paraId="2A31CE11" w14:textId="77777777" w:rsidR="00000000" w:rsidRPr="0060384B" w:rsidRDefault="00CA5F6F">
      <w:pPr>
        <w:spacing w:line="0" w:lineRule="atLeast"/>
        <w:rPr>
          <w:rFonts w:ascii="Lato" w:hAnsi="Lato"/>
          <w:b/>
          <w:color w:val="000000" w:themeColor="text1"/>
          <w:sz w:val="24"/>
          <w:szCs w:val="24"/>
        </w:rPr>
      </w:pPr>
      <w:hyperlink w:anchor="page4" w:history="1">
        <w:r w:rsidRPr="0060384B">
          <w:rPr>
            <w:rFonts w:ascii="Lato" w:hAnsi="Lato"/>
            <w:b/>
            <w:color w:val="000000" w:themeColor="text1"/>
            <w:sz w:val="24"/>
            <w:szCs w:val="24"/>
          </w:rPr>
          <w:t>TOGETH</w:t>
        </w:r>
        <w:r w:rsidRPr="0060384B">
          <w:rPr>
            <w:rFonts w:ascii="Lato" w:hAnsi="Lato"/>
            <w:b/>
            <w:color w:val="000000" w:themeColor="text1"/>
            <w:sz w:val="24"/>
            <w:szCs w:val="24"/>
          </w:rPr>
          <w:t>ER WE SUCCEED: ACCELERATING RESEARCH ON ALZHEIMER</w:t>
        </w:r>
        <w:r w:rsidRPr="0060384B">
          <w:rPr>
            <w:rFonts w:ascii="Lato" w:hAnsi="Lato"/>
            <w:b/>
            <w:color w:val="000000" w:themeColor="text1"/>
            <w:sz w:val="24"/>
            <w:szCs w:val="24"/>
          </w:rPr>
          <w:t>’S DISEASE AND RELATED</w:t>
        </w:r>
      </w:hyperlink>
    </w:p>
    <w:p w14:paraId="53BB27DC" w14:textId="77777777" w:rsidR="00000000" w:rsidRPr="0060384B" w:rsidRDefault="00CA5F6F">
      <w:pPr>
        <w:tabs>
          <w:tab w:val="left" w:leader="dot" w:pos="9200"/>
        </w:tabs>
        <w:spacing w:line="0" w:lineRule="atLeast"/>
        <w:rPr>
          <w:rFonts w:ascii="Lato" w:hAnsi="Lato"/>
          <w:b/>
          <w:color w:val="000000" w:themeColor="text1"/>
          <w:sz w:val="24"/>
          <w:szCs w:val="24"/>
        </w:rPr>
      </w:pPr>
      <w:hyperlink w:anchor="page4" w:history="1">
        <w:r w:rsidRPr="0060384B">
          <w:rPr>
            <w:rFonts w:ascii="Lato" w:hAnsi="Lato"/>
            <w:b/>
            <w:color w:val="000000" w:themeColor="text1"/>
            <w:sz w:val="24"/>
            <w:szCs w:val="24"/>
          </w:rPr>
          <w:t>DEMENTIAS</w:t>
        </w:r>
      </w:hyperlink>
      <w:r w:rsidRPr="0060384B">
        <w:rPr>
          <w:rFonts w:ascii="Lato" w:hAnsi="Lato"/>
          <w:b/>
          <w:color w:val="000000" w:themeColor="text1"/>
          <w:sz w:val="24"/>
          <w:szCs w:val="24"/>
        </w:rPr>
        <w:tab/>
      </w:r>
      <w:hyperlink w:anchor="page4" w:history="1">
        <w:r w:rsidRPr="0060384B">
          <w:rPr>
            <w:rFonts w:ascii="Lato" w:hAnsi="Lato"/>
            <w:b/>
            <w:color w:val="000000" w:themeColor="text1"/>
            <w:sz w:val="24"/>
            <w:szCs w:val="24"/>
          </w:rPr>
          <w:t>1</w:t>
        </w:r>
      </w:hyperlink>
    </w:p>
    <w:p w14:paraId="4DF4F9EA" w14:textId="77777777" w:rsidR="00000000" w:rsidRPr="0060384B" w:rsidRDefault="00CA5F6F">
      <w:pPr>
        <w:spacing w:line="281" w:lineRule="exact"/>
        <w:rPr>
          <w:rFonts w:ascii="Lato" w:eastAsia="Times New Roman" w:hAnsi="Lato"/>
          <w:color w:val="000000" w:themeColor="text1"/>
          <w:sz w:val="24"/>
          <w:szCs w:val="24"/>
        </w:rPr>
      </w:pPr>
    </w:p>
    <w:p w14:paraId="4A245B6D" w14:textId="77777777" w:rsidR="00000000" w:rsidRPr="0060384B" w:rsidRDefault="00CA5F6F">
      <w:pPr>
        <w:tabs>
          <w:tab w:val="left" w:leader="dot" w:pos="9200"/>
        </w:tabs>
        <w:spacing w:line="0" w:lineRule="atLeast"/>
        <w:rPr>
          <w:rFonts w:ascii="Lato" w:hAnsi="Lato"/>
          <w:b/>
          <w:color w:val="000000" w:themeColor="text1"/>
          <w:sz w:val="24"/>
          <w:szCs w:val="24"/>
        </w:rPr>
      </w:pPr>
      <w:hyperlink w:anchor="page6" w:history="1">
        <w:r w:rsidRPr="0060384B">
          <w:rPr>
            <w:rFonts w:ascii="Lato" w:hAnsi="Lato"/>
            <w:b/>
            <w:color w:val="000000" w:themeColor="text1"/>
            <w:sz w:val="24"/>
            <w:szCs w:val="24"/>
          </w:rPr>
          <w:t>INTRODUCTION</w:t>
        </w:r>
      </w:hyperlink>
      <w:r w:rsidRPr="0060384B">
        <w:rPr>
          <w:rFonts w:ascii="Lato" w:hAnsi="Lato"/>
          <w:b/>
          <w:color w:val="000000" w:themeColor="text1"/>
          <w:sz w:val="24"/>
          <w:szCs w:val="24"/>
        </w:rPr>
        <w:tab/>
      </w:r>
      <w:hyperlink w:anchor="page6" w:history="1">
        <w:r w:rsidRPr="0060384B">
          <w:rPr>
            <w:rFonts w:ascii="Lato" w:hAnsi="Lato"/>
            <w:b/>
            <w:color w:val="000000" w:themeColor="text1"/>
            <w:sz w:val="24"/>
            <w:szCs w:val="24"/>
          </w:rPr>
          <w:t>3</w:t>
        </w:r>
      </w:hyperlink>
    </w:p>
    <w:p w14:paraId="6FD44122" w14:textId="77777777" w:rsidR="00000000" w:rsidRPr="0060384B" w:rsidRDefault="00CA5F6F">
      <w:pPr>
        <w:spacing w:line="284" w:lineRule="exact"/>
        <w:rPr>
          <w:rFonts w:ascii="Lato" w:eastAsia="Times New Roman" w:hAnsi="Lato"/>
          <w:color w:val="000000" w:themeColor="text1"/>
          <w:sz w:val="24"/>
          <w:szCs w:val="24"/>
        </w:rPr>
      </w:pPr>
    </w:p>
    <w:p w14:paraId="3CD39BB4" w14:textId="77777777" w:rsidR="00000000" w:rsidRPr="0060384B" w:rsidRDefault="00CA5F6F">
      <w:pPr>
        <w:tabs>
          <w:tab w:val="left" w:leader="dot" w:pos="9200"/>
        </w:tabs>
        <w:spacing w:line="0" w:lineRule="atLeast"/>
        <w:ind w:left="240"/>
        <w:rPr>
          <w:rFonts w:ascii="Lato" w:hAnsi="Lato"/>
          <w:color w:val="000000" w:themeColor="text1"/>
          <w:sz w:val="24"/>
          <w:szCs w:val="24"/>
        </w:rPr>
      </w:pPr>
      <w:hyperlink w:anchor="page6" w:history="1">
        <w:r w:rsidRPr="0060384B">
          <w:rPr>
            <w:rFonts w:ascii="Lato" w:hAnsi="Lato"/>
            <w:color w:val="000000" w:themeColor="text1"/>
            <w:sz w:val="24"/>
            <w:szCs w:val="24"/>
          </w:rPr>
          <w:t>What</w:t>
        </w:r>
        <w:r w:rsidRPr="0060384B">
          <w:rPr>
            <w:rFonts w:ascii="Lato" w:hAnsi="Lato"/>
            <w:color w:val="000000" w:themeColor="text1"/>
            <w:sz w:val="24"/>
            <w:szCs w:val="24"/>
          </w:rPr>
          <w:t>’s at Stake</w:t>
        </w:r>
      </w:hyperlink>
      <w:r w:rsidRPr="0060384B">
        <w:rPr>
          <w:rFonts w:ascii="Lato" w:hAnsi="Lato"/>
          <w:color w:val="000000" w:themeColor="text1"/>
          <w:sz w:val="24"/>
          <w:szCs w:val="24"/>
        </w:rPr>
        <w:tab/>
      </w:r>
      <w:hyperlink w:anchor="page6" w:history="1">
        <w:r w:rsidRPr="0060384B">
          <w:rPr>
            <w:rFonts w:ascii="Lato" w:hAnsi="Lato"/>
            <w:color w:val="000000" w:themeColor="text1"/>
            <w:sz w:val="24"/>
            <w:szCs w:val="24"/>
          </w:rPr>
          <w:t>3</w:t>
        </w:r>
      </w:hyperlink>
    </w:p>
    <w:p w14:paraId="1D092707" w14:textId="77777777" w:rsidR="00000000" w:rsidRPr="0060384B" w:rsidRDefault="00CA5F6F">
      <w:pPr>
        <w:spacing w:line="281" w:lineRule="exact"/>
        <w:rPr>
          <w:rFonts w:ascii="Lato" w:eastAsia="Times New Roman" w:hAnsi="Lato"/>
          <w:color w:val="000000" w:themeColor="text1"/>
          <w:sz w:val="24"/>
          <w:szCs w:val="24"/>
        </w:rPr>
      </w:pPr>
    </w:p>
    <w:p w14:paraId="032AFAD5" w14:textId="77777777" w:rsidR="00000000" w:rsidRPr="0060384B" w:rsidRDefault="00CA5F6F">
      <w:pPr>
        <w:tabs>
          <w:tab w:val="left" w:leader="dot" w:pos="9200"/>
        </w:tabs>
        <w:spacing w:line="0" w:lineRule="atLeast"/>
        <w:ind w:left="240"/>
        <w:rPr>
          <w:rFonts w:ascii="Lato" w:hAnsi="Lato"/>
          <w:color w:val="000000" w:themeColor="text1"/>
          <w:sz w:val="24"/>
          <w:szCs w:val="24"/>
        </w:rPr>
      </w:pPr>
      <w:hyperlink w:anchor="page12" w:history="1">
        <w:r w:rsidRPr="0060384B">
          <w:rPr>
            <w:rFonts w:ascii="Lato" w:hAnsi="Lato"/>
            <w:color w:val="000000" w:themeColor="text1"/>
            <w:sz w:val="24"/>
            <w:szCs w:val="24"/>
          </w:rPr>
          <w:t>Budgeting in FY 2021 to Fight Dementia</w:t>
        </w:r>
      </w:hyperlink>
      <w:r w:rsidRPr="0060384B">
        <w:rPr>
          <w:rFonts w:ascii="Lato" w:hAnsi="Lato"/>
          <w:color w:val="000000" w:themeColor="text1"/>
          <w:sz w:val="24"/>
          <w:szCs w:val="24"/>
        </w:rPr>
        <w:tab/>
      </w:r>
      <w:hyperlink w:anchor="page12" w:history="1">
        <w:r w:rsidRPr="0060384B">
          <w:rPr>
            <w:rFonts w:ascii="Lato" w:hAnsi="Lato"/>
            <w:color w:val="000000" w:themeColor="text1"/>
            <w:sz w:val="24"/>
            <w:szCs w:val="24"/>
          </w:rPr>
          <w:t>9</w:t>
        </w:r>
      </w:hyperlink>
    </w:p>
    <w:p w14:paraId="22E57534" w14:textId="77777777" w:rsidR="00000000" w:rsidRPr="0060384B" w:rsidRDefault="00CA5F6F">
      <w:pPr>
        <w:spacing w:line="275" w:lineRule="exact"/>
        <w:rPr>
          <w:rFonts w:ascii="Lato" w:eastAsia="Times New Roman" w:hAnsi="Lato"/>
          <w:color w:val="000000" w:themeColor="text1"/>
          <w:sz w:val="24"/>
          <w:szCs w:val="24"/>
        </w:rPr>
      </w:pPr>
    </w:p>
    <w:p w14:paraId="57CE0BBB" w14:textId="77777777" w:rsidR="00000000" w:rsidRPr="0060384B" w:rsidRDefault="00CA5F6F">
      <w:pPr>
        <w:spacing w:line="0" w:lineRule="atLeast"/>
        <w:rPr>
          <w:rFonts w:ascii="Lato" w:hAnsi="Lato"/>
          <w:b/>
          <w:color w:val="000000" w:themeColor="text1"/>
          <w:sz w:val="24"/>
          <w:szCs w:val="24"/>
        </w:rPr>
      </w:pPr>
      <w:hyperlink w:anchor="page14" w:history="1">
        <w:r w:rsidRPr="0060384B">
          <w:rPr>
            <w:rFonts w:ascii="Lato" w:hAnsi="Lato"/>
            <w:b/>
            <w:color w:val="000000" w:themeColor="text1"/>
            <w:sz w:val="24"/>
            <w:szCs w:val="24"/>
          </w:rPr>
          <w:t>FISCAL YEAR 2021 PROFESSIONAL JUDGMENT BUDGET: ALZHEIMER</w:t>
        </w:r>
        <w:r w:rsidRPr="0060384B">
          <w:rPr>
            <w:rFonts w:ascii="Lato" w:hAnsi="Lato"/>
            <w:b/>
            <w:color w:val="000000" w:themeColor="text1"/>
            <w:sz w:val="24"/>
            <w:szCs w:val="24"/>
          </w:rPr>
          <w:t>’S DISEASE AND RELATED</w:t>
        </w:r>
      </w:hyperlink>
    </w:p>
    <w:p w14:paraId="16A4EC7D" w14:textId="77777777" w:rsidR="00000000" w:rsidRPr="0060384B" w:rsidRDefault="00CA5F6F">
      <w:pPr>
        <w:spacing w:line="2" w:lineRule="exact"/>
        <w:rPr>
          <w:rFonts w:ascii="Lato" w:eastAsia="Times New Roman" w:hAnsi="Lato"/>
          <w:color w:val="000000" w:themeColor="text1"/>
          <w:sz w:val="24"/>
          <w:szCs w:val="24"/>
        </w:rPr>
      </w:pPr>
    </w:p>
    <w:p w14:paraId="50112BEF" w14:textId="77777777" w:rsidR="00000000" w:rsidRPr="0060384B" w:rsidRDefault="00CA5F6F">
      <w:pPr>
        <w:tabs>
          <w:tab w:val="left" w:leader="dot" w:pos="9080"/>
        </w:tabs>
        <w:spacing w:line="0" w:lineRule="atLeast"/>
        <w:rPr>
          <w:rFonts w:ascii="Lato" w:hAnsi="Lato"/>
          <w:b/>
          <w:color w:val="000000" w:themeColor="text1"/>
          <w:sz w:val="24"/>
          <w:szCs w:val="24"/>
        </w:rPr>
      </w:pPr>
      <w:hyperlink w:anchor="page14" w:history="1">
        <w:r w:rsidRPr="0060384B">
          <w:rPr>
            <w:rFonts w:ascii="Lato" w:hAnsi="Lato"/>
            <w:b/>
            <w:color w:val="000000" w:themeColor="text1"/>
            <w:sz w:val="24"/>
            <w:szCs w:val="24"/>
          </w:rPr>
          <w:t>DEMENTIAS</w:t>
        </w:r>
      </w:hyperlink>
      <w:r w:rsidRPr="0060384B">
        <w:rPr>
          <w:rFonts w:ascii="Lato" w:hAnsi="Lato"/>
          <w:b/>
          <w:color w:val="000000" w:themeColor="text1"/>
          <w:sz w:val="24"/>
          <w:szCs w:val="24"/>
        </w:rPr>
        <w:tab/>
      </w:r>
      <w:hyperlink w:anchor="page14" w:history="1">
        <w:r w:rsidRPr="0060384B">
          <w:rPr>
            <w:rFonts w:ascii="Lato" w:hAnsi="Lato"/>
            <w:b/>
            <w:color w:val="000000" w:themeColor="text1"/>
            <w:sz w:val="24"/>
            <w:szCs w:val="24"/>
          </w:rPr>
          <w:t>11</w:t>
        </w:r>
      </w:hyperlink>
    </w:p>
    <w:p w14:paraId="3DCF5654" w14:textId="77777777" w:rsidR="00000000" w:rsidRPr="0060384B" w:rsidRDefault="00CA5F6F">
      <w:pPr>
        <w:spacing w:line="278" w:lineRule="exact"/>
        <w:rPr>
          <w:rFonts w:ascii="Lato" w:eastAsia="Times New Roman" w:hAnsi="Lato"/>
          <w:color w:val="000000" w:themeColor="text1"/>
          <w:sz w:val="24"/>
          <w:szCs w:val="24"/>
        </w:rPr>
      </w:pPr>
    </w:p>
    <w:p w14:paraId="562F9A93" w14:textId="77777777" w:rsidR="00000000" w:rsidRPr="0060384B" w:rsidRDefault="00CA5F6F">
      <w:pPr>
        <w:tabs>
          <w:tab w:val="left" w:leader="dot" w:pos="9080"/>
        </w:tabs>
        <w:spacing w:line="0" w:lineRule="atLeast"/>
        <w:rPr>
          <w:rFonts w:ascii="Lato" w:hAnsi="Lato"/>
          <w:b/>
          <w:color w:val="000000" w:themeColor="text1"/>
          <w:sz w:val="24"/>
          <w:szCs w:val="24"/>
        </w:rPr>
      </w:pPr>
      <w:hyperlink w:anchor="page16" w:history="1">
        <w:r w:rsidRPr="0060384B">
          <w:rPr>
            <w:rFonts w:ascii="Lato" w:hAnsi="Lato"/>
            <w:b/>
            <w:color w:val="000000" w:themeColor="text1"/>
            <w:sz w:val="24"/>
            <w:szCs w:val="24"/>
          </w:rPr>
          <w:t>STUDYING POPULATIONS TO IDENTIFY POTENTIAL RISK</w:t>
        </w:r>
      </w:hyperlink>
      <w:r w:rsidRPr="0060384B">
        <w:rPr>
          <w:rFonts w:ascii="Lato" w:hAnsi="Lato"/>
          <w:b/>
          <w:color w:val="000000" w:themeColor="text1"/>
          <w:sz w:val="24"/>
          <w:szCs w:val="24"/>
        </w:rPr>
        <w:tab/>
      </w:r>
      <w:hyperlink w:anchor="page16" w:history="1">
        <w:r w:rsidRPr="0060384B">
          <w:rPr>
            <w:rFonts w:ascii="Lato" w:hAnsi="Lato"/>
            <w:b/>
            <w:color w:val="000000" w:themeColor="text1"/>
            <w:sz w:val="24"/>
            <w:szCs w:val="24"/>
          </w:rPr>
          <w:t>13</w:t>
        </w:r>
      </w:hyperlink>
    </w:p>
    <w:p w14:paraId="7B49CCDF" w14:textId="77777777" w:rsidR="00000000" w:rsidRPr="0060384B" w:rsidRDefault="00CA5F6F">
      <w:pPr>
        <w:spacing w:line="284" w:lineRule="exact"/>
        <w:rPr>
          <w:rFonts w:ascii="Lato" w:eastAsia="Times New Roman" w:hAnsi="Lato"/>
          <w:color w:val="000000" w:themeColor="text1"/>
          <w:sz w:val="24"/>
          <w:szCs w:val="24"/>
        </w:rPr>
      </w:pPr>
    </w:p>
    <w:p w14:paraId="59456E30" w14:textId="77777777" w:rsidR="00000000" w:rsidRPr="0060384B" w:rsidRDefault="00CA5F6F">
      <w:pPr>
        <w:tabs>
          <w:tab w:val="left" w:leader="dot" w:pos="9080"/>
        </w:tabs>
        <w:spacing w:line="0" w:lineRule="atLeast"/>
        <w:ind w:left="240"/>
        <w:rPr>
          <w:rFonts w:ascii="Lato" w:hAnsi="Lato"/>
          <w:color w:val="000000" w:themeColor="text1"/>
          <w:sz w:val="24"/>
          <w:szCs w:val="24"/>
        </w:rPr>
      </w:pPr>
      <w:hyperlink w:anchor="page17" w:history="1">
        <w:r w:rsidRPr="0060384B">
          <w:rPr>
            <w:rFonts w:ascii="Lato" w:hAnsi="Lato"/>
            <w:color w:val="000000" w:themeColor="text1"/>
            <w:sz w:val="24"/>
            <w:szCs w:val="24"/>
          </w:rPr>
          <w:t>Identifying Psychosocial and Environmental Factors</w:t>
        </w:r>
      </w:hyperlink>
      <w:r w:rsidRPr="0060384B">
        <w:rPr>
          <w:rFonts w:ascii="Lato" w:hAnsi="Lato"/>
          <w:color w:val="000000" w:themeColor="text1"/>
          <w:sz w:val="24"/>
          <w:szCs w:val="24"/>
        </w:rPr>
        <w:tab/>
      </w:r>
      <w:hyperlink w:anchor="page17" w:history="1">
        <w:r w:rsidRPr="0060384B">
          <w:rPr>
            <w:rFonts w:ascii="Lato" w:hAnsi="Lato"/>
            <w:color w:val="000000" w:themeColor="text1"/>
            <w:sz w:val="24"/>
            <w:szCs w:val="24"/>
          </w:rPr>
          <w:t>14</w:t>
        </w:r>
      </w:hyperlink>
    </w:p>
    <w:p w14:paraId="57A105EC" w14:textId="77777777" w:rsidR="00000000" w:rsidRPr="0060384B" w:rsidRDefault="00CA5F6F">
      <w:pPr>
        <w:spacing w:line="281" w:lineRule="exact"/>
        <w:rPr>
          <w:rFonts w:ascii="Lato" w:eastAsia="Times New Roman" w:hAnsi="Lato"/>
          <w:color w:val="000000" w:themeColor="text1"/>
          <w:sz w:val="24"/>
          <w:szCs w:val="24"/>
        </w:rPr>
      </w:pPr>
    </w:p>
    <w:p w14:paraId="576D0A72" w14:textId="77777777" w:rsidR="00000000" w:rsidRPr="0060384B" w:rsidRDefault="00CA5F6F">
      <w:pPr>
        <w:tabs>
          <w:tab w:val="left" w:leader="dot" w:pos="9080"/>
        </w:tabs>
        <w:spacing w:line="0" w:lineRule="atLeast"/>
        <w:ind w:left="240"/>
        <w:rPr>
          <w:rFonts w:ascii="Lato" w:hAnsi="Lato"/>
          <w:color w:val="000000" w:themeColor="text1"/>
          <w:sz w:val="24"/>
          <w:szCs w:val="24"/>
        </w:rPr>
      </w:pPr>
      <w:hyperlink w:anchor="page19" w:history="1">
        <w:r w:rsidRPr="0060384B">
          <w:rPr>
            <w:rFonts w:ascii="Lato" w:hAnsi="Lato"/>
            <w:color w:val="000000" w:themeColor="text1"/>
            <w:sz w:val="24"/>
            <w:szCs w:val="24"/>
          </w:rPr>
          <w:t>What</w:t>
        </w:r>
        <w:r w:rsidRPr="0060384B">
          <w:rPr>
            <w:rFonts w:ascii="Lato" w:hAnsi="Lato"/>
            <w:color w:val="000000" w:themeColor="text1"/>
            <w:sz w:val="24"/>
            <w:szCs w:val="24"/>
          </w:rPr>
          <w:t>’s Behind Disparities in Rates of Dementia?</w:t>
        </w:r>
      </w:hyperlink>
      <w:r w:rsidRPr="0060384B">
        <w:rPr>
          <w:rFonts w:ascii="Lato" w:hAnsi="Lato"/>
          <w:color w:val="000000" w:themeColor="text1"/>
          <w:sz w:val="24"/>
          <w:szCs w:val="24"/>
        </w:rPr>
        <w:tab/>
      </w:r>
      <w:hyperlink w:anchor="page19" w:history="1">
        <w:r w:rsidRPr="0060384B">
          <w:rPr>
            <w:rFonts w:ascii="Lato" w:hAnsi="Lato"/>
            <w:color w:val="000000" w:themeColor="text1"/>
            <w:sz w:val="24"/>
            <w:szCs w:val="24"/>
          </w:rPr>
          <w:t>16</w:t>
        </w:r>
      </w:hyperlink>
    </w:p>
    <w:p w14:paraId="0D369DD8" w14:textId="77777777" w:rsidR="00000000" w:rsidRPr="0060384B" w:rsidRDefault="00CA5F6F">
      <w:pPr>
        <w:spacing w:line="278" w:lineRule="exact"/>
        <w:rPr>
          <w:rFonts w:ascii="Lato" w:eastAsia="Times New Roman" w:hAnsi="Lato"/>
          <w:color w:val="000000" w:themeColor="text1"/>
          <w:sz w:val="24"/>
          <w:szCs w:val="24"/>
        </w:rPr>
      </w:pPr>
    </w:p>
    <w:p w14:paraId="03522690" w14:textId="77777777" w:rsidR="00000000" w:rsidRPr="0060384B" w:rsidRDefault="00CA5F6F">
      <w:pPr>
        <w:tabs>
          <w:tab w:val="left" w:leader="dot" w:pos="9080"/>
        </w:tabs>
        <w:spacing w:line="0" w:lineRule="atLeast"/>
        <w:ind w:left="240"/>
        <w:rPr>
          <w:rFonts w:ascii="Lato" w:hAnsi="Lato"/>
          <w:color w:val="000000" w:themeColor="text1"/>
          <w:sz w:val="24"/>
          <w:szCs w:val="24"/>
        </w:rPr>
      </w:pPr>
      <w:hyperlink w:anchor="page20" w:history="1">
        <w:r w:rsidRPr="0060384B">
          <w:rPr>
            <w:rFonts w:ascii="Lato" w:hAnsi="Lato"/>
            <w:color w:val="000000" w:themeColor="text1"/>
            <w:sz w:val="24"/>
            <w:szCs w:val="24"/>
          </w:rPr>
          <w:t>Collecting, Storing, Distributing, and Analyzing Genetic Data</w:t>
        </w:r>
      </w:hyperlink>
      <w:r w:rsidRPr="0060384B">
        <w:rPr>
          <w:rFonts w:ascii="Lato" w:hAnsi="Lato"/>
          <w:color w:val="000000" w:themeColor="text1"/>
          <w:sz w:val="24"/>
          <w:szCs w:val="24"/>
        </w:rPr>
        <w:tab/>
      </w:r>
      <w:hyperlink w:anchor="page20" w:history="1">
        <w:r w:rsidRPr="0060384B">
          <w:rPr>
            <w:rFonts w:ascii="Lato" w:hAnsi="Lato"/>
            <w:color w:val="000000" w:themeColor="text1"/>
            <w:sz w:val="24"/>
            <w:szCs w:val="24"/>
          </w:rPr>
          <w:t>17</w:t>
        </w:r>
      </w:hyperlink>
    </w:p>
    <w:p w14:paraId="019E138B" w14:textId="77777777" w:rsidR="00000000" w:rsidRPr="0060384B" w:rsidRDefault="00CA5F6F">
      <w:pPr>
        <w:spacing w:line="281" w:lineRule="exact"/>
        <w:rPr>
          <w:rFonts w:ascii="Lato" w:eastAsia="Times New Roman" w:hAnsi="Lato"/>
          <w:color w:val="000000" w:themeColor="text1"/>
          <w:sz w:val="24"/>
          <w:szCs w:val="24"/>
        </w:rPr>
      </w:pPr>
    </w:p>
    <w:p w14:paraId="28607BF0" w14:textId="77777777" w:rsidR="00000000" w:rsidRPr="0060384B" w:rsidRDefault="00CA5F6F">
      <w:pPr>
        <w:tabs>
          <w:tab w:val="left" w:leader="dot" w:pos="9080"/>
        </w:tabs>
        <w:spacing w:line="0" w:lineRule="atLeast"/>
        <w:ind w:left="240"/>
        <w:rPr>
          <w:rFonts w:ascii="Lato" w:hAnsi="Lato"/>
          <w:color w:val="000000" w:themeColor="text1"/>
          <w:sz w:val="24"/>
          <w:szCs w:val="24"/>
        </w:rPr>
      </w:pPr>
      <w:hyperlink w:anchor="page24" w:history="1">
        <w:r w:rsidRPr="0060384B">
          <w:rPr>
            <w:rFonts w:ascii="Lato" w:hAnsi="Lato"/>
            <w:color w:val="000000" w:themeColor="text1"/>
            <w:sz w:val="24"/>
            <w:szCs w:val="24"/>
          </w:rPr>
          <w:t>Integrating Epidemiological a</w:t>
        </w:r>
        <w:r w:rsidRPr="0060384B">
          <w:rPr>
            <w:rFonts w:ascii="Lato" w:hAnsi="Lato"/>
            <w:color w:val="000000" w:themeColor="text1"/>
            <w:sz w:val="24"/>
            <w:szCs w:val="24"/>
          </w:rPr>
          <w:t>nd Biomarker Studies to Assess Risk, Prevalence</w:t>
        </w:r>
      </w:hyperlink>
      <w:r w:rsidRPr="0060384B">
        <w:rPr>
          <w:rFonts w:ascii="Lato" w:hAnsi="Lato"/>
          <w:color w:val="000000" w:themeColor="text1"/>
          <w:sz w:val="24"/>
          <w:szCs w:val="24"/>
        </w:rPr>
        <w:tab/>
      </w:r>
      <w:hyperlink w:anchor="page24" w:history="1">
        <w:r w:rsidRPr="0060384B">
          <w:rPr>
            <w:rFonts w:ascii="Lato" w:hAnsi="Lato"/>
            <w:color w:val="000000" w:themeColor="text1"/>
            <w:sz w:val="24"/>
            <w:szCs w:val="24"/>
          </w:rPr>
          <w:t>21</w:t>
        </w:r>
      </w:hyperlink>
    </w:p>
    <w:p w14:paraId="187F78C1" w14:textId="77777777" w:rsidR="00000000" w:rsidRPr="0060384B" w:rsidRDefault="00CA5F6F">
      <w:pPr>
        <w:spacing w:line="281" w:lineRule="exact"/>
        <w:rPr>
          <w:rFonts w:ascii="Lato" w:eastAsia="Times New Roman" w:hAnsi="Lato"/>
          <w:color w:val="000000" w:themeColor="text1"/>
          <w:sz w:val="24"/>
          <w:szCs w:val="24"/>
        </w:rPr>
      </w:pPr>
    </w:p>
    <w:p w14:paraId="6D485140" w14:textId="77777777" w:rsidR="00000000" w:rsidRPr="0060384B" w:rsidRDefault="00CA5F6F">
      <w:pPr>
        <w:tabs>
          <w:tab w:val="left" w:leader="dot" w:pos="9080"/>
        </w:tabs>
        <w:spacing w:line="0" w:lineRule="atLeast"/>
        <w:ind w:left="240"/>
        <w:rPr>
          <w:rFonts w:ascii="Lato" w:hAnsi="Lato"/>
          <w:color w:val="000000" w:themeColor="text1"/>
          <w:sz w:val="24"/>
          <w:szCs w:val="24"/>
        </w:rPr>
      </w:pPr>
      <w:hyperlink w:anchor="page25" w:history="1">
        <w:r w:rsidRPr="0060384B">
          <w:rPr>
            <w:rFonts w:ascii="Lato" w:hAnsi="Lato"/>
            <w:color w:val="000000" w:themeColor="text1"/>
            <w:sz w:val="24"/>
            <w:szCs w:val="24"/>
          </w:rPr>
          <w:t>Looking Ahead: Strengthening the Population, Epidemiological Research of the Future</w:t>
        </w:r>
      </w:hyperlink>
      <w:r w:rsidRPr="0060384B">
        <w:rPr>
          <w:rFonts w:ascii="Lato" w:hAnsi="Lato"/>
          <w:color w:val="000000" w:themeColor="text1"/>
          <w:sz w:val="24"/>
          <w:szCs w:val="24"/>
        </w:rPr>
        <w:tab/>
      </w:r>
      <w:hyperlink w:anchor="page25" w:history="1">
        <w:r w:rsidRPr="0060384B">
          <w:rPr>
            <w:rFonts w:ascii="Lato" w:hAnsi="Lato"/>
            <w:color w:val="000000" w:themeColor="text1"/>
            <w:sz w:val="24"/>
            <w:szCs w:val="24"/>
          </w:rPr>
          <w:t>22</w:t>
        </w:r>
      </w:hyperlink>
    </w:p>
    <w:p w14:paraId="0A61F13D" w14:textId="77777777" w:rsidR="00000000" w:rsidRPr="0060384B" w:rsidRDefault="00CA5F6F">
      <w:pPr>
        <w:spacing w:line="278" w:lineRule="exact"/>
        <w:rPr>
          <w:rFonts w:ascii="Lato" w:eastAsia="Times New Roman" w:hAnsi="Lato"/>
          <w:color w:val="000000" w:themeColor="text1"/>
          <w:sz w:val="24"/>
          <w:szCs w:val="24"/>
        </w:rPr>
      </w:pPr>
    </w:p>
    <w:p w14:paraId="6A705918" w14:textId="77777777" w:rsidR="00000000" w:rsidRPr="0060384B" w:rsidRDefault="00CA5F6F">
      <w:pPr>
        <w:tabs>
          <w:tab w:val="left" w:leader="dot" w:pos="9080"/>
        </w:tabs>
        <w:spacing w:line="0" w:lineRule="atLeast"/>
        <w:rPr>
          <w:rFonts w:ascii="Lato" w:hAnsi="Lato"/>
          <w:b/>
          <w:color w:val="000000" w:themeColor="text1"/>
          <w:sz w:val="24"/>
          <w:szCs w:val="24"/>
        </w:rPr>
      </w:pPr>
      <w:hyperlink w:anchor="page27" w:history="1">
        <w:r w:rsidRPr="0060384B">
          <w:rPr>
            <w:rFonts w:ascii="Lato" w:hAnsi="Lato"/>
            <w:b/>
            <w:color w:val="000000" w:themeColor="text1"/>
            <w:sz w:val="24"/>
            <w:szCs w:val="24"/>
          </w:rPr>
          <w:t>BUILDING INF</w:t>
        </w:r>
        <w:r w:rsidRPr="0060384B">
          <w:rPr>
            <w:rFonts w:ascii="Lato" w:hAnsi="Lato"/>
            <w:b/>
            <w:color w:val="000000" w:themeColor="text1"/>
            <w:sz w:val="24"/>
            <w:szCs w:val="24"/>
          </w:rPr>
          <w:t>RASTRUCTURE FOR DATA SHARING AND DRUG DISCOVERY</w:t>
        </w:r>
      </w:hyperlink>
      <w:r w:rsidRPr="0060384B">
        <w:rPr>
          <w:rFonts w:ascii="Lato" w:hAnsi="Lato"/>
          <w:b/>
          <w:color w:val="000000" w:themeColor="text1"/>
          <w:sz w:val="24"/>
          <w:szCs w:val="24"/>
        </w:rPr>
        <w:tab/>
      </w:r>
      <w:hyperlink w:anchor="page27" w:history="1">
        <w:r w:rsidRPr="0060384B">
          <w:rPr>
            <w:rFonts w:ascii="Lato" w:hAnsi="Lato"/>
            <w:b/>
            <w:color w:val="000000" w:themeColor="text1"/>
            <w:sz w:val="24"/>
            <w:szCs w:val="24"/>
          </w:rPr>
          <w:t>24</w:t>
        </w:r>
      </w:hyperlink>
    </w:p>
    <w:p w14:paraId="7316E6CD" w14:textId="77777777" w:rsidR="00000000" w:rsidRPr="0060384B" w:rsidRDefault="00CA5F6F">
      <w:pPr>
        <w:spacing w:line="281" w:lineRule="exact"/>
        <w:rPr>
          <w:rFonts w:ascii="Lato" w:eastAsia="Times New Roman" w:hAnsi="Lato"/>
          <w:color w:val="000000" w:themeColor="text1"/>
          <w:sz w:val="24"/>
          <w:szCs w:val="24"/>
        </w:rPr>
      </w:pPr>
    </w:p>
    <w:p w14:paraId="50A134B1" w14:textId="77777777" w:rsidR="00000000" w:rsidRPr="0060384B" w:rsidRDefault="00CA5F6F">
      <w:pPr>
        <w:tabs>
          <w:tab w:val="left" w:leader="dot" w:pos="9080"/>
        </w:tabs>
        <w:spacing w:line="0" w:lineRule="atLeast"/>
        <w:ind w:left="240"/>
        <w:rPr>
          <w:rFonts w:ascii="Lato" w:hAnsi="Lato"/>
          <w:color w:val="000000" w:themeColor="text1"/>
          <w:sz w:val="24"/>
          <w:szCs w:val="24"/>
        </w:rPr>
      </w:pPr>
      <w:hyperlink w:anchor="page28" w:history="1">
        <w:r w:rsidRPr="0060384B">
          <w:rPr>
            <w:rFonts w:ascii="Lato" w:hAnsi="Lato"/>
            <w:color w:val="000000" w:themeColor="text1"/>
            <w:sz w:val="24"/>
            <w:szCs w:val="24"/>
          </w:rPr>
          <w:t>Sharing Data in New Ways</w:t>
        </w:r>
      </w:hyperlink>
      <w:r w:rsidRPr="0060384B">
        <w:rPr>
          <w:rFonts w:ascii="Lato" w:hAnsi="Lato"/>
          <w:color w:val="000000" w:themeColor="text1"/>
          <w:sz w:val="24"/>
          <w:szCs w:val="24"/>
        </w:rPr>
        <w:tab/>
      </w:r>
      <w:hyperlink w:anchor="page28" w:history="1">
        <w:r w:rsidRPr="0060384B">
          <w:rPr>
            <w:rFonts w:ascii="Lato" w:hAnsi="Lato"/>
            <w:color w:val="000000" w:themeColor="text1"/>
            <w:sz w:val="24"/>
            <w:szCs w:val="24"/>
          </w:rPr>
          <w:t>25</w:t>
        </w:r>
      </w:hyperlink>
    </w:p>
    <w:p w14:paraId="536F4BA2" w14:textId="77777777" w:rsidR="00000000" w:rsidRPr="0060384B" w:rsidRDefault="00CA5F6F">
      <w:pPr>
        <w:spacing w:line="281" w:lineRule="exact"/>
        <w:rPr>
          <w:rFonts w:ascii="Lato" w:eastAsia="Times New Roman" w:hAnsi="Lato"/>
          <w:color w:val="000000" w:themeColor="text1"/>
          <w:sz w:val="24"/>
          <w:szCs w:val="24"/>
        </w:rPr>
      </w:pPr>
    </w:p>
    <w:p w14:paraId="6FB55DD1" w14:textId="77777777" w:rsidR="00000000" w:rsidRPr="0060384B" w:rsidRDefault="00CA5F6F">
      <w:pPr>
        <w:tabs>
          <w:tab w:val="left" w:leader="dot" w:pos="9080"/>
        </w:tabs>
        <w:spacing w:line="0" w:lineRule="atLeast"/>
        <w:ind w:left="240"/>
        <w:rPr>
          <w:rFonts w:ascii="Lato" w:hAnsi="Lato"/>
          <w:color w:val="000000" w:themeColor="text1"/>
          <w:sz w:val="24"/>
          <w:szCs w:val="24"/>
        </w:rPr>
      </w:pPr>
      <w:hyperlink w:anchor="page31" w:history="1">
        <w:r w:rsidRPr="0060384B">
          <w:rPr>
            <w:rFonts w:ascii="Lato" w:hAnsi="Lato"/>
            <w:color w:val="000000" w:themeColor="text1"/>
            <w:sz w:val="24"/>
            <w:szCs w:val="24"/>
          </w:rPr>
          <w:t>Translating Data into Prevention, Treatments</w:t>
        </w:r>
      </w:hyperlink>
      <w:r w:rsidRPr="0060384B">
        <w:rPr>
          <w:rFonts w:ascii="Lato" w:hAnsi="Lato"/>
          <w:color w:val="000000" w:themeColor="text1"/>
          <w:sz w:val="24"/>
          <w:szCs w:val="24"/>
        </w:rPr>
        <w:tab/>
      </w:r>
      <w:hyperlink w:anchor="page31" w:history="1">
        <w:r w:rsidRPr="0060384B">
          <w:rPr>
            <w:rFonts w:ascii="Lato" w:hAnsi="Lato"/>
            <w:color w:val="000000" w:themeColor="text1"/>
            <w:sz w:val="24"/>
            <w:szCs w:val="24"/>
          </w:rPr>
          <w:t>28</w:t>
        </w:r>
      </w:hyperlink>
    </w:p>
    <w:p w14:paraId="1BDCFE35" w14:textId="77777777" w:rsidR="00000000" w:rsidRPr="0060384B" w:rsidRDefault="00CA5F6F">
      <w:pPr>
        <w:spacing w:line="278" w:lineRule="exact"/>
        <w:rPr>
          <w:rFonts w:ascii="Lato" w:eastAsia="Times New Roman" w:hAnsi="Lato"/>
          <w:color w:val="000000" w:themeColor="text1"/>
          <w:sz w:val="24"/>
          <w:szCs w:val="24"/>
        </w:rPr>
      </w:pPr>
    </w:p>
    <w:p w14:paraId="081104A9" w14:textId="77777777" w:rsidR="00000000" w:rsidRPr="0060384B" w:rsidRDefault="00CA5F6F">
      <w:pPr>
        <w:spacing w:line="0" w:lineRule="atLeast"/>
        <w:rPr>
          <w:rFonts w:ascii="Lato" w:hAnsi="Lato"/>
          <w:b/>
          <w:color w:val="000000" w:themeColor="text1"/>
          <w:sz w:val="24"/>
          <w:szCs w:val="24"/>
        </w:rPr>
      </w:pPr>
      <w:hyperlink w:anchor="page35" w:history="1">
        <w:r w:rsidRPr="0060384B">
          <w:rPr>
            <w:rFonts w:ascii="Lato" w:hAnsi="Lato"/>
            <w:b/>
            <w:color w:val="000000" w:themeColor="text1"/>
            <w:sz w:val="24"/>
            <w:szCs w:val="24"/>
          </w:rPr>
          <w:t>DELVING INTO DISEASE MECHANISMS AT THE MOLECULAR, CELLULAR, AND TISSUE LEVEL.. 32</w:t>
        </w:r>
      </w:hyperlink>
    </w:p>
    <w:p w14:paraId="0FEC6CDD" w14:textId="77777777" w:rsidR="00000000" w:rsidRPr="0060384B" w:rsidRDefault="00CA5F6F">
      <w:pPr>
        <w:spacing w:line="284" w:lineRule="exact"/>
        <w:rPr>
          <w:rFonts w:ascii="Lato" w:eastAsia="Times New Roman" w:hAnsi="Lato"/>
          <w:color w:val="000000" w:themeColor="text1"/>
          <w:sz w:val="24"/>
          <w:szCs w:val="24"/>
        </w:rPr>
      </w:pPr>
    </w:p>
    <w:p w14:paraId="7C1906DD" w14:textId="77777777" w:rsidR="00000000" w:rsidRPr="0060384B" w:rsidRDefault="00CA5F6F">
      <w:pPr>
        <w:tabs>
          <w:tab w:val="left" w:leader="dot" w:pos="9080"/>
        </w:tabs>
        <w:spacing w:line="0" w:lineRule="atLeast"/>
        <w:ind w:left="240"/>
        <w:rPr>
          <w:rFonts w:ascii="Lato" w:hAnsi="Lato"/>
          <w:color w:val="000000" w:themeColor="text1"/>
          <w:sz w:val="24"/>
          <w:szCs w:val="24"/>
        </w:rPr>
      </w:pPr>
      <w:hyperlink w:anchor="page35" w:history="1">
        <w:r w:rsidRPr="0060384B">
          <w:rPr>
            <w:rFonts w:ascii="Lato" w:hAnsi="Lato"/>
            <w:color w:val="000000" w:themeColor="text1"/>
            <w:sz w:val="24"/>
            <w:szCs w:val="24"/>
          </w:rPr>
          <w:t>Linking Risk Factors to Biological Mechanisms</w:t>
        </w:r>
      </w:hyperlink>
      <w:r w:rsidRPr="0060384B">
        <w:rPr>
          <w:rFonts w:ascii="Lato" w:hAnsi="Lato"/>
          <w:color w:val="000000" w:themeColor="text1"/>
          <w:sz w:val="24"/>
          <w:szCs w:val="24"/>
        </w:rPr>
        <w:tab/>
      </w:r>
      <w:hyperlink w:anchor="page35" w:history="1">
        <w:r w:rsidRPr="0060384B">
          <w:rPr>
            <w:rFonts w:ascii="Lato" w:hAnsi="Lato"/>
            <w:color w:val="000000" w:themeColor="text1"/>
            <w:sz w:val="24"/>
            <w:szCs w:val="24"/>
          </w:rPr>
          <w:t>32</w:t>
        </w:r>
      </w:hyperlink>
    </w:p>
    <w:p w14:paraId="67294F68" w14:textId="77777777" w:rsidR="00000000" w:rsidRPr="0060384B" w:rsidRDefault="00CA5F6F">
      <w:pPr>
        <w:spacing w:line="278" w:lineRule="exact"/>
        <w:rPr>
          <w:rFonts w:ascii="Lato" w:eastAsia="Times New Roman" w:hAnsi="Lato"/>
          <w:color w:val="000000" w:themeColor="text1"/>
          <w:sz w:val="24"/>
          <w:szCs w:val="24"/>
        </w:rPr>
      </w:pPr>
    </w:p>
    <w:p w14:paraId="36D84430" w14:textId="77777777" w:rsidR="00000000" w:rsidRPr="0060384B" w:rsidRDefault="00CA5F6F">
      <w:pPr>
        <w:tabs>
          <w:tab w:val="left" w:leader="dot" w:pos="9080"/>
        </w:tabs>
        <w:spacing w:line="0" w:lineRule="atLeast"/>
        <w:ind w:left="240"/>
        <w:rPr>
          <w:rFonts w:ascii="Lato" w:hAnsi="Lato"/>
          <w:color w:val="000000" w:themeColor="text1"/>
          <w:sz w:val="24"/>
          <w:szCs w:val="24"/>
        </w:rPr>
      </w:pPr>
      <w:hyperlink w:anchor="page36" w:history="1">
        <w:r w:rsidRPr="0060384B">
          <w:rPr>
            <w:rFonts w:ascii="Lato" w:hAnsi="Lato"/>
            <w:color w:val="000000" w:themeColor="text1"/>
            <w:sz w:val="24"/>
            <w:szCs w:val="24"/>
          </w:rPr>
          <w:t>Exploring How C</w:t>
        </w:r>
        <w:r w:rsidRPr="0060384B">
          <w:rPr>
            <w:rFonts w:ascii="Lato" w:hAnsi="Lato"/>
            <w:color w:val="000000" w:themeColor="text1"/>
            <w:sz w:val="24"/>
            <w:szCs w:val="24"/>
          </w:rPr>
          <w:t>hanges in Peripheral Systems Influence the Brain</w:t>
        </w:r>
      </w:hyperlink>
      <w:r w:rsidRPr="0060384B">
        <w:rPr>
          <w:rFonts w:ascii="Lato" w:hAnsi="Lato"/>
          <w:color w:val="000000" w:themeColor="text1"/>
          <w:sz w:val="24"/>
          <w:szCs w:val="24"/>
        </w:rPr>
        <w:tab/>
      </w:r>
      <w:hyperlink w:anchor="page36" w:history="1">
        <w:r w:rsidRPr="0060384B">
          <w:rPr>
            <w:rFonts w:ascii="Lato" w:hAnsi="Lato"/>
            <w:color w:val="000000" w:themeColor="text1"/>
            <w:sz w:val="24"/>
            <w:szCs w:val="24"/>
          </w:rPr>
          <w:t>33</w:t>
        </w:r>
      </w:hyperlink>
    </w:p>
    <w:p w14:paraId="21BCC57F" w14:textId="77777777" w:rsidR="00000000" w:rsidRPr="0060384B" w:rsidRDefault="00CA5F6F">
      <w:pPr>
        <w:spacing w:line="281" w:lineRule="exact"/>
        <w:rPr>
          <w:rFonts w:ascii="Lato" w:eastAsia="Times New Roman" w:hAnsi="Lato"/>
          <w:color w:val="000000" w:themeColor="text1"/>
          <w:sz w:val="24"/>
          <w:szCs w:val="24"/>
        </w:rPr>
      </w:pPr>
    </w:p>
    <w:p w14:paraId="61F16DBB" w14:textId="77777777" w:rsidR="00000000" w:rsidRPr="0060384B" w:rsidRDefault="00CA5F6F">
      <w:pPr>
        <w:tabs>
          <w:tab w:val="left" w:leader="dot" w:pos="9080"/>
        </w:tabs>
        <w:spacing w:line="0" w:lineRule="atLeast"/>
        <w:ind w:left="240"/>
        <w:rPr>
          <w:rFonts w:ascii="Lato" w:hAnsi="Lato"/>
          <w:color w:val="000000" w:themeColor="text1"/>
          <w:sz w:val="24"/>
          <w:szCs w:val="24"/>
        </w:rPr>
      </w:pPr>
      <w:hyperlink w:anchor="page40" w:history="1">
        <w:r w:rsidRPr="0060384B">
          <w:rPr>
            <w:rFonts w:ascii="Lato" w:hAnsi="Lato"/>
            <w:color w:val="000000" w:themeColor="text1"/>
            <w:sz w:val="24"/>
            <w:szCs w:val="24"/>
          </w:rPr>
          <w:t>Resilience as a New Pathway to Disease Prevention, Treatment</w:t>
        </w:r>
      </w:hyperlink>
      <w:r w:rsidRPr="0060384B">
        <w:rPr>
          <w:rFonts w:ascii="Lato" w:hAnsi="Lato"/>
          <w:color w:val="000000" w:themeColor="text1"/>
          <w:sz w:val="24"/>
          <w:szCs w:val="24"/>
        </w:rPr>
        <w:tab/>
      </w:r>
      <w:hyperlink w:anchor="page40" w:history="1">
        <w:r w:rsidRPr="0060384B">
          <w:rPr>
            <w:rFonts w:ascii="Lato" w:hAnsi="Lato"/>
            <w:color w:val="000000" w:themeColor="text1"/>
            <w:sz w:val="24"/>
            <w:szCs w:val="24"/>
          </w:rPr>
          <w:t>37</w:t>
        </w:r>
      </w:hyperlink>
    </w:p>
    <w:p w14:paraId="060B7B8C" w14:textId="77777777" w:rsidR="00000000" w:rsidRPr="0060384B" w:rsidRDefault="00CA5F6F">
      <w:pPr>
        <w:spacing w:line="281" w:lineRule="exact"/>
        <w:rPr>
          <w:rFonts w:ascii="Lato" w:eastAsia="Times New Roman" w:hAnsi="Lato"/>
          <w:color w:val="000000" w:themeColor="text1"/>
          <w:sz w:val="24"/>
          <w:szCs w:val="24"/>
        </w:rPr>
      </w:pPr>
    </w:p>
    <w:p w14:paraId="018F70D2" w14:textId="77777777" w:rsidR="00000000" w:rsidRPr="0060384B" w:rsidRDefault="00CA5F6F">
      <w:pPr>
        <w:tabs>
          <w:tab w:val="left" w:leader="dot" w:pos="9080"/>
        </w:tabs>
        <w:spacing w:line="0" w:lineRule="atLeast"/>
        <w:ind w:left="240"/>
        <w:rPr>
          <w:rFonts w:ascii="Lato" w:hAnsi="Lato"/>
          <w:color w:val="000000" w:themeColor="text1"/>
          <w:sz w:val="24"/>
          <w:szCs w:val="24"/>
        </w:rPr>
      </w:pPr>
      <w:hyperlink w:anchor="page42" w:history="1">
        <w:r w:rsidRPr="0060384B">
          <w:rPr>
            <w:rFonts w:ascii="Lato" w:hAnsi="Lato"/>
            <w:color w:val="000000" w:themeColor="text1"/>
            <w:sz w:val="24"/>
            <w:szCs w:val="24"/>
          </w:rPr>
          <w:t xml:space="preserve">Understanding the Intersection of </w:t>
        </w:r>
        <w:r w:rsidRPr="0060384B">
          <w:rPr>
            <w:rFonts w:ascii="Lato" w:hAnsi="Lato"/>
            <w:color w:val="000000" w:themeColor="text1"/>
            <w:sz w:val="24"/>
            <w:szCs w:val="24"/>
          </w:rPr>
          <w:t>Aging and Neurodegeneration</w:t>
        </w:r>
      </w:hyperlink>
      <w:r w:rsidRPr="0060384B">
        <w:rPr>
          <w:rFonts w:ascii="Lato" w:hAnsi="Lato"/>
          <w:color w:val="000000" w:themeColor="text1"/>
          <w:sz w:val="24"/>
          <w:szCs w:val="24"/>
        </w:rPr>
        <w:tab/>
      </w:r>
      <w:hyperlink w:anchor="page42" w:history="1">
        <w:r w:rsidRPr="0060384B">
          <w:rPr>
            <w:rFonts w:ascii="Lato" w:hAnsi="Lato"/>
            <w:color w:val="000000" w:themeColor="text1"/>
            <w:sz w:val="24"/>
            <w:szCs w:val="24"/>
          </w:rPr>
          <w:t>39</w:t>
        </w:r>
      </w:hyperlink>
    </w:p>
    <w:p w14:paraId="76E7DC49" w14:textId="77777777" w:rsidR="00000000" w:rsidRPr="0060384B" w:rsidRDefault="00CA5F6F">
      <w:pPr>
        <w:spacing w:line="281" w:lineRule="exact"/>
        <w:rPr>
          <w:rFonts w:ascii="Lato" w:eastAsia="Times New Roman" w:hAnsi="Lato"/>
          <w:color w:val="000000" w:themeColor="text1"/>
          <w:sz w:val="24"/>
          <w:szCs w:val="24"/>
        </w:rPr>
      </w:pPr>
    </w:p>
    <w:p w14:paraId="37FADEF9" w14:textId="77777777" w:rsidR="00000000" w:rsidRPr="0060384B" w:rsidRDefault="00CA5F6F">
      <w:pPr>
        <w:tabs>
          <w:tab w:val="left" w:leader="dot" w:pos="9080"/>
        </w:tabs>
        <w:spacing w:line="0" w:lineRule="atLeast"/>
        <w:ind w:left="240"/>
        <w:rPr>
          <w:rFonts w:ascii="Lato" w:hAnsi="Lato"/>
          <w:color w:val="000000" w:themeColor="text1"/>
          <w:sz w:val="24"/>
          <w:szCs w:val="24"/>
        </w:rPr>
      </w:pPr>
      <w:hyperlink w:anchor="page46" w:history="1">
        <w:r w:rsidRPr="0060384B">
          <w:rPr>
            <w:rFonts w:ascii="Lato" w:hAnsi="Lato"/>
            <w:color w:val="000000" w:themeColor="text1"/>
            <w:sz w:val="24"/>
            <w:szCs w:val="24"/>
          </w:rPr>
          <w:t>Identifying Risk Factors for Alzheimer</w:t>
        </w:r>
        <w:r w:rsidRPr="0060384B">
          <w:rPr>
            <w:rFonts w:ascii="Lato" w:hAnsi="Lato"/>
            <w:color w:val="000000" w:themeColor="text1"/>
            <w:sz w:val="24"/>
            <w:szCs w:val="24"/>
          </w:rPr>
          <w:t>’s Disease and Related Dementias</w:t>
        </w:r>
      </w:hyperlink>
      <w:r w:rsidRPr="0060384B">
        <w:rPr>
          <w:rFonts w:ascii="Lato" w:hAnsi="Lato"/>
          <w:color w:val="000000" w:themeColor="text1"/>
          <w:sz w:val="24"/>
          <w:szCs w:val="24"/>
        </w:rPr>
        <w:tab/>
      </w:r>
      <w:hyperlink w:anchor="page46" w:history="1">
        <w:r w:rsidRPr="0060384B">
          <w:rPr>
            <w:rFonts w:ascii="Lato" w:hAnsi="Lato"/>
            <w:color w:val="000000" w:themeColor="text1"/>
            <w:sz w:val="24"/>
            <w:szCs w:val="24"/>
          </w:rPr>
          <w:t>43</w:t>
        </w:r>
      </w:hyperlink>
    </w:p>
    <w:p w14:paraId="2E48BE9D" w14:textId="77777777" w:rsidR="00000000" w:rsidRPr="0060384B" w:rsidRDefault="00CA5F6F">
      <w:pPr>
        <w:spacing w:line="275" w:lineRule="exact"/>
        <w:rPr>
          <w:rFonts w:ascii="Lato" w:eastAsia="Times New Roman" w:hAnsi="Lato"/>
          <w:color w:val="000000" w:themeColor="text1"/>
          <w:sz w:val="24"/>
          <w:szCs w:val="24"/>
        </w:rPr>
      </w:pPr>
    </w:p>
    <w:p w14:paraId="37C563CE" w14:textId="77777777" w:rsidR="00000000" w:rsidRPr="0060384B" w:rsidRDefault="00CA5F6F">
      <w:pPr>
        <w:tabs>
          <w:tab w:val="left" w:leader="dot" w:pos="9080"/>
        </w:tabs>
        <w:spacing w:line="0" w:lineRule="atLeast"/>
        <w:rPr>
          <w:rFonts w:ascii="Lato" w:hAnsi="Lato"/>
          <w:b/>
          <w:color w:val="000000" w:themeColor="text1"/>
          <w:sz w:val="24"/>
          <w:szCs w:val="24"/>
        </w:rPr>
      </w:pPr>
      <w:hyperlink w:anchor="page48" w:history="1">
        <w:r w:rsidRPr="0060384B">
          <w:rPr>
            <w:rFonts w:ascii="Lato" w:hAnsi="Lato"/>
            <w:b/>
            <w:color w:val="000000" w:themeColor="text1"/>
            <w:sz w:val="24"/>
            <w:szCs w:val="24"/>
          </w:rPr>
          <w:t>FINDING BIOMARKERS TO DETECT, DIAGNOSE, AND T</w:t>
        </w:r>
        <w:r w:rsidRPr="0060384B">
          <w:rPr>
            <w:rFonts w:ascii="Lato" w:hAnsi="Lato"/>
            <w:b/>
            <w:color w:val="000000" w:themeColor="text1"/>
            <w:sz w:val="24"/>
            <w:szCs w:val="24"/>
          </w:rPr>
          <w:t>REAT DEMENTIA</w:t>
        </w:r>
      </w:hyperlink>
      <w:r w:rsidRPr="0060384B">
        <w:rPr>
          <w:rFonts w:ascii="Lato" w:hAnsi="Lato"/>
          <w:b/>
          <w:color w:val="000000" w:themeColor="text1"/>
          <w:sz w:val="24"/>
          <w:szCs w:val="24"/>
        </w:rPr>
        <w:tab/>
      </w:r>
      <w:hyperlink w:anchor="page48" w:history="1">
        <w:r w:rsidRPr="0060384B">
          <w:rPr>
            <w:rFonts w:ascii="Lato" w:hAnsi="Lato"/>
            <w:b/>
            <w:color w:val="000000" w:themeColor="text1"/>
            <w:sz w:val="24"/>
            <w:szCs w:val="24"/>
          </w:rPr>
          <w:t>45</w:t>
        </w:r>
      </w:hyperlink>
    </w:p>
    <w:p w14:paraId="2A92965A" w14:textId="77777777" w:rsidR="00000000" w:rsidRPr="0060384B" w:rsidRDefault="00CA5F6F">
      <w:pPr>
        <w:tabs>
          <w:tab w:val="left" w:leader="dot" w:pos="9080"/>
        </w:tabs>
        <w:spacing w:line="0" w:lineRule="atLeast"/>
        <w:rPr>
          <w:rFonts w:ascii="Lato" w:hAnsi="Lato"/>
          <w:b/>
          <w:color w:val="000000" w:themeColor="text1"/>
          <w:sz w:val="24"/>
          <w:szCs w:val="24"/>
        </w:rPr>
        <w:sectPr w:rsidR="00000000" w:rsidRPr="0060384B">
          <w:pgSz w:w="12240" w:h="15840"/>
          <w:pgMar w:top="1125" w:right="1440" w:bottom="1137" w:left="1440" w:header="0" w:footer="0" w:gutter="0"/>
          <w:cols w:space="0" w:equalWidth="0">
            <w:col w:w="9360"/>
          </w:cols>
          <w:docGrid w:linePitch="360"/>
        </w:sectPr>
      </w:pPr>
    </w:p>
    <w:bookmarkStart w:id="2" w:name="page3"/>
    <w:bookmarkEnd w:id="2"/>
    <w:p w14:paraId="549EBD3B" w14:textId="77777777" w:rsidR="00000000" w:rsidRPr="0060384B" w:rsidRDefault="00CA5F6F">
      <w:pPr>
        <w:tabs>
          <w:tab w:val="left" w:leader="dot" w:pos="9080"/>
        </w:tabs>
        <w:spacing w:line="0" w:lineRule="atLeast"/>
        <w:ind w:left="240"/>
        <w:rPr>
          <w:rFonts w:ascii="Lato" w:hAnsi="Lato"/>
          <w:color w:val="000000" w:themeColor="text1"/>
          <w:sz w:val="24"/>
          <w:szCs w:val="24"/>
        </w:rPr>
      </w:pPr>
      <w:r w:rsidRPr="0060384B">
        <w:rPr>
          <w:rFonts w:ascii="Lato" w:hAnsi="Lato"/>
          <w:color w:val="000000" w:themeColor="text1"/>
          <w:sz w:val="24"/>
          <w:szCs w:val="24"/>
        </w:rPr>
        <w:lastRenderedPageBreak/>
        <w:fldChar w:fldCharType="begin"/>
      </w:r>
      <w:r w:rsidRPr="0060384B">
        <w:rPr>
          <w:rFonts w:ascii="Lato" w:hAnsi="Lato"/>
          <w:color w:val="000000" w:themeColor="text1"/>
          <w:sz w:val="24"/>
          <w:szCs w:val="24"/>
        </w:rPr>
        <w:instrText xml:space="preserve"> HYPERLINK \l "page49" </w:instrText>
      </w:r>
      <w:r w:rsidRPr="0060384B">
        <w:rPr>
          <w:rFonts w:ascii="Lato" w:hAnsi="Lato"/>
          <w:color w:val="000000" w:themeColor="text1"/>
          <w:sz w:val="24"/>
          <w:szCs w:val="24"/>
        </w:rPr>
        <w:fldChar w:fldCharType="separate"/>
      </w:r>
      <w:r w:rsidRPr="0060384B">
        <w:rPr>
          <w:rFonts w:ascii="Lato" w:hAnsi="Lato"/>
          <w:color w:val="000000" w:themeColor="text1"/>
          <w:sz w:val="24"/>
          <w:szCs w:val="24"/>
        </w:rPr>
        <w:t>Discerning Differences in Biomarkers in Diverse Populations</w:t>
      </w:r>
      <w:r w:rsidRPr="0060384B">
        <w:rPr>
          <w:rFonts w:ascii="Lato" w:hAnsi="Lato"/>
          <w:color w:val="000000" w:themeColor="text1"/>
          <w:sz w:val="24"/>
          <w:szCs w:val="24"/>
        </w:rPr>
        <w:fldChar w:fldCharType="end"/>
      </w:r>
      <w:r w:rsidRPr="0060384B">
        <w:rPr>
          <w:rFonts w:ascii="Lato" w:hAnsi="Lato"/>
          <w:color w:val="000000" w:themeColor="text1"/>
          <w:sz w:val="24"/>
          <w:szCs w:val="24"/>
        </w:rPr>
        <w:tab/>
      </w:r>
      <w:hyperlink w:anchor="page49" w:history="1">
        <w:r w:rsidRPr="0060384B">
          <w:rPr>
            <w:rFonts w:ascii="Lato" w:hAnsi="Lato"/>
            <w:color w:val="000000" w:themeColor="text1"/>
            <w:sz w:val="24"/>
            <w:szCs w:val="24"/>
          </w:rPr>
          <w:t>46</w:t>
        </w:r>
      </w:hyperlink>
    </w:p>
    <w:p w14:paraId="68CE65A9" w14:textId="77777777" w:rsidR="00000000" w:rsidRPr="0060384B" w:rsidRDefault="00CA5F6F">
      <w:pPr>
        <w:spacing w:line="281" w:lineRule="exact"/>
        <w:rPr>
          <w:rFonts w:ascii="Lato" w:eastAsia="Times New Roman" w:hAnsi="Lato"/>
          <w:color w:val="000000" w:themeColor="text1"/>
          <w:sz w:val="24"/>
          <w:szCs w:val="24"/>
        </w:rPr>
      </w:pPr>
    </w:p>
    <w:p w14:paraId="511EED71" w14:textId="77777777" w:rsidR="00000000" w:rsidRPr="0060384B" w:rsidRDefault="00CA5F6F">
      <w:pPr>
        <w:tabs>
          <w:tab w:val="left" w:leader="dot" w:pos="9080"/>
        </w:tabs>
        <w:spacing w:line="0" w:lineRule="atLeast"/>
        <w:ind w:left="240"/>
        <w:rPr>
          <w:rFonts w:ascii="Lato" w:hAnsi="Lato"/>
          <w:color w:val="000000" w:themeColor="text1"/>
          <w:sz w:val="24"/>
          <w:szCs w:val="24"/>
        </w:rPr>
      </w:pPr>
      <w:hyperlink w:anchor="page49" w:history="1">
        <w:r w:rsidRPr="0060384B">
          <w:rPr>
            <w:rFonts w:ascii="Lato" w:hAnsi="Lato"/>
            <w:color w:val="000000" w:themeColor="text1"/>
            <w:sz w:val="24"/>
            <w:szCs w:val="24"/>
          </w:rPr>
          <w:t>Brain Changes Seen Through Imaging May Be Early Biomarkers for Disease</w:t>
        </w:r>
      </w:hyperlink>
      <w:r w:rsidRPr="0060384B">
        <w:rPr>
          <w:rFonts w:ascii="Lato" w:hAnsi="Lato"/>
          <w:color w:val="000000" w:themeColor="text1"/>
          <w:sz w:val="24"/>
          <w:szCs w:val="24"/>
        </w:rPr>
        <w:tab/>
      </w:r>
      <w:hyperlink w:anchor="page49" w:history="1">
        <w:r w:rsidRPr="0060384B">
          <w:rPr>
            <w:rFonts w:ascii="Lato" w:hAnsi="Lato"/>
            <w:color w:val="000000" w:themeColor="text1"/>
            <w:sz w:val="24"/>
            <w:szCs w:val="24"/>
          </w:rPr>
          <w:t>46</w:t>
        </w:r>
      </w:hyperlink>
    </w:p>
    <w:p w14:paraId="2A87FB38" w14:textId="77777777" w:rsidR="00000000" w:rsidRPr="0060384B" w:rsidRDefault="00CA5F6F">
      <w:pPr>
        <w:spacing w:line="278" w:lineRule="exact"/>
        <w:rPr>
          <w:rFonts w:ascii="Lato" w:eastAsia="Times New Roman" w:hAnsi="Lato"/>
          <w:color w:val="000000" w:themeColor="text1"/>
          <w:sz w:val="24"/>
          <w:szCs w:val="24"/>
        </w:rPr>
      </w:pPr>
    </w:p>
    <w:p w14:paraId="3DBD4DCA" w14:textId="77777777" w:rsidR="00000000" w:rsidRPr="0060384B" w:rsidRDefault="00CA5F6F">
      <w:pPr>
        <w:tabs>
          <w:tab w:val="left" w:leader="dot" w:pos="9080"/>
        </w:tabs>
        <w:spacing w:line="0" w:lineRule="atLeast"/>
        <w:ind w:left="240"/>
        <w:rPr>
          <w:rFonts w:ascii="Lato" w:hAnsi="Lato"/>
          <w:color w:val="000000" w:themeColor="text1"/>
          <w:sz w:val="24"/>
          <w:szCs w:val="24"/>
        </w:rPr>
      </w:pPr>
      <w:hyperlink w:anchor="page51" w:history="1">
        <w:r w:rsidRPr="0060384B">
          <w:rPr>
            <w:rFonts w:ascii="Lato" w:hAnsi="Lato"/>
            <w:color w:val="000000" w:themeColor="text1"/>
            <w:sz w:val="24"/>
            <w:szCs w:val="24"/>
          </w:rPr>
          <w:t>Peripheral Biomarkers May Be Easier, Cheaper Tools to Detection, Monitoring</w:t>
        </w:r>
      </w:hyperlink>
      <w:r w:rsidRPr="0060384B">
        <w:rPr>
          <w:rFonts w:ascii="Lato" w:hAnsi="Lato"/>
          <w:color w:val="000000" w:themeColor="text1"/>
          <w:sz w:val="24"/>
          <w:szCs w:val="24"/>
        </w:rPr>
        <w:tab/>
      </w:r>
      <w:hyperlink w:anchor="page51" w:history="1">
        <w:r w:rsidRPr="0060384B">
          <w:rPr>
            <w:rFonts w:ascii="Lato" w:hAnsi="Lato"/>
            <w:color w:val="000000" w:themeColor="text1"/>
            <w:sz w:val="24"/>
            <w:szCs w:val="24"/>
          </w:rPr>
          <w:t>48</w:t>
        </w:r>
      </w:hyperlink>
    </w:p>
    <w:p w14:paraId="225E0BF0" w14:textId="77777777" w:rsidR="00000000" w:rsidRPr="0060384B" w:rsidRDefault="00CA5F6F">
      <w:pPr>
        <w:spacing w:line="281" w:lineRule="exact"/>
        <w:rPr>
          <w:rFonts w:ascii="Lato" w:eastAsia="Times New Roman" w:hAnsi="Lato"/>
          <w:color w:val="000000" w:themeColor="text1"/>
          <w:sz w:val="24"/>
          <w:szCs w:val="24"/>
        </w:rPr>
      </w:pPr>
    </w:p>
    <w:p w14:paraId="0CFCA997" w14:textId="77777777" w:rsidR="00000000" w:rsidRPr="0060384B" w:rsidRDefault="00CA5F6F">
      <w:pPr>
        <w:tabs>
          <w:tab w:val="left" w:leader="dot" w:pos="9080"/>
        </w:tabs>
        <w:spacing w:line="0" w:lineRule="atLeast"/>
        <w:ind w:left="240"/>
        <w:rPr>
          <w:rFonts w:ascii="Lato" w:hAnsi="Lato"/>
          <w:color w:val="000000" w:themeColor="text1"/>
          <w:sz w:val="24"/>
          <w:szCs w:val="24"/>
        </w:rPr>
      </w:pPr>
      <w:hyperlink w:anchor="page52" w:history="1">
        <w:r w:rsidRPr="0060384B">
          <w:rPr>
            <w:rFonts w:ascii="Lato" w:hAnsi="Lato"/>
            <w:color w:val="000000" w:themeColor="text1"/>
            <w:sz w:val="24"/>
            <w:szCs w:val="24"/>
          </w:rPr>
          <w:t>Digital Technologies Bring New Dimension to Dementia Study, Care</w:t>
        </w:r>
      </w:hyperlink>
      <w:r w:rsidRPr="0060384B">
        <w:rPr>
          <w:rFonts w:ascii="Lato" w:hAnsi="Lato"/>
          <w:color w:val="000000" w:themeColor="text1"/>
          <w:sz w:val="24"/>
          <w:szCs w:val="24"/>
        </w:rPr>
        <w:tab/>
      </w:r>
      <w:hyperlink w:anchor="page52" w:history="1">
        <w:r w:rsidRPr="0060384B">
          <w:rPr>
            <w:rFonts w:ascii="Lato" w:hAnsi="Lato"/>
            <w:color w:val="000000" w:themeColor="text1"/>
            <w:sz w:val="24"/>
            <w:szCs w:val="24"/>
          </w:rPr>
          <w:t>49</w:t>
        </w:r>
      </w:hyperlink>
    </w:p>
    <w:p w14:paraId="5402D08F" w14:textId="77777777" w:rsidR="00000000" w:rsidRPr="0060384B" w:rsidRDefault="00CA5F6F">
      <w:pPr>
        <w:spacing w:line="278" w:lineRule="exact"/>
        <w:rPr>
          <w:rFonts w:ascii="Lato" w:eastAsia="Times New Roman" w:hAnsi="Lato"/>
          <w:color w:val="000000" w:themeColor="text1"/>
          <w:sz w:val="24"/>
          <w:szCs w:val="24"/>
        </w:rPr>
      </w:pPr>
    </w:p>
    <w:p w14:paraId="0B07DB77" w14:textId="77777777" w:rsidR="00000000" w:rsidRPr="0060384B" w:rsidRDefault="00CA5F6F">
      <w:pPr>
        <w:tabs>
          <w:tab w:val="left" w:leader="dot" w:pos="9080"/>
        </w:tabs>
        <w:spacing w:line="0" w:lineRule="atLeast"/>
        <w:rPr>
          <w:rFonts w:ascii="Lato" w:hAnsi="Lato"/>
          <w:b/>
          <w:color w:val="000000" w:themeColor="text1"/>
          <w:sz w:val="24"/>
          <w:szCs w:val="24"/>
        </w:rPr>
      </w:pPr>
      <w:hyperlink w:anchor="page55" w:history="1">
        <w:r w:rsidRPr="0060384B">
          <w:rPr>
            <w:rFonts w:ascii="Lato" w:hAnsi="Lato"/>
            <w:b/>
            <w:color w:val="000000" w:themeColor="text1"/>
            <w:sz w:val="24"/>
            <w:szCs w:val="24"/>
          </w:rPr>
          <w:t>DRUG DISCOVERY, DEVELOPMENT, AND TESTING: ZEROING IN ON NEW TARGETS</w:t>
        </w:r>
      </w:hyperlink>
      <w:r w:rsidRPr="0060384B">
        <w:rPr>
          <w:rFonts w:ascii="Lato" w:hAnsi="Lato"/>
          <w:b/>
          <w:color w:val="000000" w:themeColor="text1"/>
          <w:sz w:val="24"/>
          <w:szCs w:val="24"/>
        </w:rPr>
        <w:tab/>
      </w:r>
      <w:hyperlink w:anchor="page55" w:history="1">
        <w:r w:rsidRPr="0060384B">
          <w:rPr>
            <w:rFonts w:ascii="Lato" w:hAnsi="Lato"/>
            <w:b/>
            <w:color w:val="000000" w:themeColor="text1"/>
            <w:sz w:val="24"/>
            <w:szCs w:val="24"/>
          </w:rPr>
          <w:t>52</w:t>
        </w:r>
      </w:hyperlink>
    </w:p>
    <w:p w14:paraId="477B0BB8" w14:textId="77777777" w:rsidR="00000000" w:rsidRPr="0060384B" w:rsidRDefault="00CA5F6F">
      <w:pPr>
        <w:spacing w:line="284" w:lineRule="exact"/>
        <w:rPr>
          <w:rFonts w:ascii="Lato" w:eastAsia="Times New Roman" w:hAnsi="Lato"/>
          <w:color w:val="000000" w:themeColor="text1"/>
          <w:sz w:val="24"/>
          <w:szCs w:val="24"/>
        </w:rPr>
      </w:pPr>
    </w:p>
    <w:p w14:paraId="567D611E" w14:textId="77777777" w:rsidR="00000000" w:rsidRPr="0060384B" w:rsidRDefault="00CA5F6F">
      <w:pPr>
        <w:tabs>
          <w:tab w:val="left" w:leader="dot" w:pos="9080"/>
        </w:tabs>
        <w:spacing w:line="0" w:lineRule="atLeast"/>
        <w:ind w:left="240"/>
        <w:rPr>
          <w:rFonts w:ascii="Lato" w:hAnsi="Lato"/>
          <w:color w:val="000000" w:themeColor="text1"/>
          <w:sz w:val="24"/>
          <w:szCs w:val="24"/>
        </w:rPr>
      </w:pPr>
      <w:hyperlink w:anchor="page55" w:history="1">
        <w:r w:rsidRPr="0060384B">
          <w:rPr>
            <w:rFonts w:ascii="Lato" w:hAnsi="Lato"/>
            <w:color w:val="000000" w:themeColor="text1"/>
            <w:sz w:val="24"/>
            <w:szCs w:val="24"/>
          </w:rPr>
          <w:t>Aiming at a Multitude of Therapeutic Targets</w:t>
        </w:r>
      </w:hyperlink>
      <w:r w:rsidRPr="0060384B">
        <w:rPr>
          <w:rFonts w:ascii="Lato" w:hAnsi="Lato"/>
          <w:color w:val="000000" w:themeColor="text1"/>
          <w:sz w:val="24"/>
          <w:szCs w:val="24"/>
        </w:rPr>
        <w:tab/>
      </w:r>
      <w:hyperlink w:anchor="page55" w:history="1">
        <w:r w:rsidRPr="0060384B">
          <w:rPr>
            <w:rFonts w:ascii="Lato" w:hAnsi="Lato"/>
            <w:color w:val="000000" w:themeColor="text1"/>
            <w:sz w:val="24"/>
            <w:szCs w:val="24"/>
          </w:rPr>
          <w:t>52</w:t>
        </w:r>
      </w:hyperlink>
    </w:p>
    <w:p w14:paraId="23039C7C" w14:textId="77777777" w:rsidR="00000000" w:rsidRPr="0060384B" w:rsidRDefault="00CA5F6F">
      <w:pPr>
        <w:spacing w:line="278" w:lineRule="exact"/>
        <w:rPr>
          <w:rFonts w:ascii="Lato" w:eastAsia="Times New Roman" w:hAnsi="Lato"/>
          <w:color w:val="000000" w:themeColor="text1"/>
          <w:sz w:val="24"/>
          <w:szCs w:val="24"/>
        </w:rPr>
      </w:pPr>
    </w:p>
    <w:p w14:paraId="5C96F9B1" w14:textId="77777777" w:rsidR="00000000" w:rsidRPr="0060384B" w:rsidRDefault="00CA5F6F">
      <w:pPr>
        <w:tabs>
          <w:tab w:val="left" w:leader="dot" w:pos="9080"/>
        </w:tabs>
        <w:spacing w:line="0" w:lineRule="atLeast"/>
        <w:ind w:left="240"/>
        <w:rPr>
          <w:rFonts w:ascii="Lato" w:hAnsi="Lato"/>
          <w:color w:val="000000" w:themeColor="text1"/>
          <w:sz w:val="24"/>
          <w:szCs w:val="24"/>
        </w:rPr>
      </w:pPr>
      <w:hyperlink w:anchor="page57" w:history="1">
        <w:r w:rsidRPr="0060384B">
          <w:rPr>
            <w:rFonts w:ascii="Lato" w:hAnsi="Lato"/>
            <w:color w:val="000000" w:themeColor="text1"/>
            <w:sz w:val="24"/>
            <w:szCs w:val="24"/>
          </w:rPr>
          <w:t>Promising Therapies in Preclinical Drug Development</w:t>
        </w:r>
      </w:hyperlink>
      <w:r w:rsidRPr="0060384B">
        <w:rPr>
          <w:rFonts w:ascii="Lato" w:hAnsi="Lato"/>
          <w:color w:val="000000" w:themeColor="text1"/>
          <w:sz w:val="24"/>
          <w:szCs w:val="24"/>
        </w:rPr>
        <w:tab/>
      </w:r>
      <w:hyperlink w:anchor="page57" w:history="1">
        <w:r w:rsidRPr="0060384B">
          <w:rPr>
            <w:rFonts w:ascii="Lato" w:hAnsi="Lato"/>
            <w:color w:val="000000" w:themeColor="text1"/>
            <w:sz w:val="24"/>
            <w:szCs w:val="24"/>
          </w:rPr>
          <w:t>54</w:t>
        </w:r>
      </w:hyperlink>
    </w:p>
    <w:p w14:paraId="26F5E16E" w14:textId="77777777" w:rsidR="00000000" w:rsidRPr="0060384B" w:rsidRDefault="00CA5F6F">
      <w:pPr>
        <w:spacing w:line="280" w:lineRule="exact"/>
        <w:rPr>
          <w:rFonts w:ascii="Lato" w:eastAsia="Times New Roman" w:hAnsi="Lato"/>
          <w:color w:val="000000" w:themeColor="text1"/>
          <w:sz w:val="24"/>
          <w:szCs w:val="24"/>
        </w:rPr>
      </w:pPr>
    </w:p>
    <w:p w14:paraId="41D6028A" w14:textId="77777777" w:rsidR="00000000" w:rsidRPr="0060384B" w:rsidRDefault="00CA5F6F">
      <w:pPr>
        <w:spacing w:line="0" w:lineRule="atLeast"/>
        <w:ind w:left="240"/>
        <w:rPr>
          <w:rFonts w:ascii="Lato" w:hAnsi="Lato"/>
          <w:color w:val="000000" w:themeColor="text1"/>
          <w:sz w:val="24"/>
          <w:szCs w:val="24"/>
        </w:rPr>
      </w:pPr>
      <w:hyperlink w:anchor="page58" w:history="1">
        <w:r w:rsidRPr="0060384B">
          <w:rPr>
            <w:rFonts w:ascii="Lato" w:hAnsi="Lato"/>
            <w:color w:val="000000" w:themeColor="text1"/>
            <w:sz w:val="24"/>
            <w:szCs w:val="24"/>
          </w:rPr>
          <w:t>From Mice to Men and Women: Advancing Promising Therapeutic Candidates into Human</w:t>
        </w:r>
      </w:hyperlink>
    </w:p>
    <w:p w14:paraId="4A2C5035" w14:textId="77777777" w:rsidR="00000000" w:rsidRPr="0060384B" w:rsidRDefault="00CA5F6F">
      <w:pPr>
        <w:tabs>
          <w:tab w:val="left" w:leader="dot" w:pos="9080"/>
        </w:tabs>
        <w:spacing w:line="0" w:lineRule="atLeast"/>
        <w:ind w:left="240"/>
        <w:rPr>
          <w:rFonts w:ascii="Lato" w:hAnsi="Lato"/>
          <w:color w:val="000000" w:themeColor="text1"/>
          <w:sz w:val="24"/>
          <w:szCs w:val="24"/>
        </w:rPr>
      </w:pPr>
      <w:hyperlink w:anchor="page58" w:history="1">
        <w:r w:rsidRPr="0060384B">
          <w:rPr>
            <w:rFonts w:ascii="Lato" w:hAnsi="Lato"/>
            <w:color w:val="000000" w:themeColor="text1"/>
            <w:sz w:val="24"/>
            <w:szCs w:val="24"/>
          </w:rPr>
          <w:t>Trials</w:t>
        </w:r>
      </w:hyperlink>
      <w:r w:rsidRPr="0060384B">
        <w:rPr>
          <w:rFonts w:ascii="Lato" w:hAnsi="Lato"/>
          <w:color w:val="000000" w:themeColor="text1"/>
          <w:sz w:val="24"/>
          <w:szCs w:val="24"/>
        </w:rPr>
        <w:tab/>
      </w:r>
      <w:hyperlink w:anchor="page58" w:history="1">
        <w:r w:rsidRPr="0060384B">
          <w:rPr>
            <w:rFonts w:ascii="Lato" w:hAnsi="Lato"/>
            <w:color w:val="000000" w:themeColor="text1"/>
            <w:sz w:val="24"/>
            <w:szCs w:val="24"/>
          </w:rPr>
          <w:t>55</w:t>
        </w:r>
      </w:hyperlink>
    </w:p>
    <w:p w14:paraId="210DE68F" w14:textId="77777777" w:rsidR="00000000" w:rsidRPr="0060384B" w:rsidRDefault="00CA5F6F">
      <w:pPr>
        <w:spacing w:line="281" w:lineRule="exact"/>
        <w:rPr>
          <w:rFonts w:ascii="Lato" w:eastAsia="Times New Roman" w:hAnsi="Lato"/>
          <w:color w:val="000000" w:themeColor="text1"/>
          <w:sz w:val="24"/>
          <w:szCs w:val="24"/>
        </w:rPr>
      </w:pPr>
    </w:p>
    <w:p w14:paraId="2D52C59B" w14:textId="77777777" w:rsidR="00000000" w:rsidRPr="0060384B" w:rsidRDefault="00CA5F6F">
      <w:pPr>
        <w:tabs>
          <w:tab w:val="left" w:leader="dot" w:pos="9080"/>
        </w:tabs>
        <w:spacing w:line="0" w:lineRule="atLeast"/>
        <w:ind w:left="240"/>
        <w:rPr>
          <w:rFonts w:ascii="Lato" w:hAnsi="Lato"/>
          <w:color w:val="000000" w:themeColor="text1"/>
          <w:sz w:val="24"/>
          <w:szCs w:val="24"/>
        </w:rPr>
      </w:pPr>
      <w:hyperlink w:anchor="page60" w:history="1">
        <w:r w:rsidRPr="0060384B">
          <w:rPr>
            <w:rFonts w:ascii="Lato" w:hAnsi="Lato"/>
            <w:color w:val="000000" w:themeColor="text1"/>
            <w:sz w:val="24"/>
            <w:szCs w:val="24"/>
          </w:rPr>
          <w:t>Joining Forces in the Fight Against Dementia</w:t>
        </w:r>
      </w:hyperlink>
      <w:r w:rsidRPr="0060384B">
        <w:rPr>
          <w:rFonts w:ascii="Lato" w:hAnsi="Lato"/>
          <w:color w:val="000000" w:themeColor="text1"/>
          <w:sz w:val="24"/>
          <w:szCs w:val="24"/>
        </w:rPr>
        <w:tab/>
      </w:r>
      <w:hyperlink w:anchor="page60" w:history="1">
        <w:r w:rsidRPr="0060384B">
          <w:rPr>
            <w:rFonts w:ascii="Lato" w:hAnsi="Lato"/>
            <w:color w:val="000000" w:themeColor="text1"/>
            <w:sz w:val="24"/>
            <w:szCs w:val="24"/>
          </w:rPr>
          <w:t>57</w:t>
        </w:r>
      </w:hyperlink>
    </w:p>
    <w:p w14:paraId="5B7393FD" w14:textId="77777777" w:rsidR="00000000" w:rsidRPr="0060384B" w:rsidRDefault="00CA5F6F">
      <w:pPr>
        <w:spacing w:line="278" w:lineRule="exact"/>
        <w:rPr>
          <w:rFonts w:ascii="Lato" w:eastAsia="Times New Roman" w:hAnsi="Lato"/>
          <w:color w:val="000000" w:themeColor="text1"/>
          <w:sz w:val="24"/>
          <w:szCs w:val="24"/>
        </w:rPr>
      </w:pPr>
    </w:p>
    <w:p w14:paraId="7C013217" w14:textId="77777777" w:rsidR="00000000" w:rsidRPr="0060384B" w:rsidRDefault="00CA5F6F">
      <w:pPr>
        <w:tabs>
          <w:tab w:val="left" w:leader="dot" w:pos="9080"/>
        </w:tabs>
        <w:spacing w:line="0" w:lineRule="atLeast"/>
        <w:rPr>
          <w:rFonts w:ascii="Lato" w:hAnsi="Lato"/>
          <w:b/>
          <w:color w:val="000000" w:themeColor="text1"/>
          <w:sz w:val="24"/>
          <w:szCs w:val="24"/>
        </w:rPr>
      </w:pPr>
      <w:hyperlink w:anchor="page61" w:history="1">
        <w:r w:rsidRPr="0060384B">
          <w:rPr>
            <w:rFonts w:ascii="Lato" w:hAnsi="Lato"/>
            <w:b/>
            <w:color w:val="000000" w:themeColor="text1"/>
            <w:sz w:val="24"/>
            <w:szCs w:val="24"/>
          </w:rPr>
          <w:t>MANAGING HEALTH TO PREVENT AND TREAT DEMENTIA</w:t>
        </w:r>
      </w:hyperlink>
      <w:r w:rsidRPr="0060384B">
        <w:rPr>
          <w:rFonts w:ascii="Lato" w:hAnsi="Lato"/>
          <w:b/>
          <w:color w:val="000000" w:themeColor="text1"/>
          <w:sz w:val="24"/>
          <w:szCs w:val="24"/>
        </w:rPr>
        <w:tab/>
      </w:r>
      <w:hyperlink w:anchor="page61" w:history="1">
        <w:r w:rsidRPr="0060384B">
          <w:rPr>
            <w:rFonts w:ascii="Lato" w:hAnsi="Lato"/>
            <w:b/>
            <w:color w:val="000000" w:themeColor="text1"/>
            <w:sz w:val="24"/>
            <w:szCs w:val="24"/>
          </w:rPr>
          <w:t>58</w:t>
        </w:r>
      </w:hyperlink>
    </w:p>
    <w:p w14:paraId="54EB8CBF" w14:textId="77777777" w:rsidR="00000000" w:rsidRPr="0060384B" w:rsidRDefault="00CA5F6F">
      <w:pPr>
        <w:spacing w:line="281" w:lineRule="exact"/>
        <w:rPr>
          <w:rFonts w:ascii="Lato" w:eastAsia="Times New Roman" w:hAnsi="Lato"/>
          <w:color w:val="000000" w:themeColor="text1"/>
          <w:sz w:val="24"/>
          <w:szCs w:val="24"/>
        </w:rPr>
      </w:pPr>
    </w:p>
    <w:p w14:paraId="6B8366E8" w14:textId="77777777" w:rsidR="00000000" w:rsidRPr="0060384B" w:rsidRDefault="00CA5F6F">
      <w:pPr>
        <w:tabs>
          <w:tab w:val="left" w:leader="dot" w:pos="9080"/>
        </w:tabs>
        <w:spacing w:line="0" w:lineRule="atLeast"/>
        <w:ind w:left="240"/>
        <w:rPr>
          <w:rFonts w:ascii="Lato" w:hAnsi="Lato"/>
          <w:color w:val="000000" w:themeColor="text1"/>
          <w:sz w:val="24"/>
          <w:szCs w:val="24"/>
        </w:rPr>
      </w:pPr>
      <w:hyperlink w:anchor="page61" w:history="1">
        <w:r w:rsidRPr="0060384B">
          <w:rPr>
            <w:rFonts w:ascii="Lato" w:hAnsi="Lato"/>
            <w:color w:val="000000" w:themeColor="text1"/>
            <w:sz w:val="24"/>
            <w:szCs w:val="24"/>
          </w:rPr>
          <w:t>Managin</w:t>
        </w:r>
        <w:r w:rsidRPr="0060384B">
          <w:rPr>
            <w:rFonts w:ascii="Lato" w:hAnsi="Lato"/>
            <w:color w:val="000000" w:themeColor="text1"/>
            <w:sz w:val="24"/>
            <w:szCs w:val="24"/>
          </w:rPr>
          <w:t>g High Blood Pressure, Diabetes</w:t>
        </w:r>
      </w:hyperlink>
      <w:r w:rsidRPr="0060384B">
        <w:rPr>
          <w:rFonts w:ascii="Lato" w:hAnsi="Lato"/>
          <w:color w:val="000000" w:themeColor="text1"/>
          <w:sz w:val="24"/>
          <w:szCs w:val="24"/>
        </w:rPr>
        <w:tab/>
      </w:r>
      <w:hyperlink w:anchor="page61" w:history="1">
        <w:r w:rsidRPr="0060384B">
          <w:rPr>
            <w:rFonts w:ascii="Lato" w:hAnsi="Lato"/>
            <w:color w:val="000000" w:themeColor="text1"/>
            <w:sz w:val="24"/>
            <w:szCs w:val="24"/>
          </w:rPr>
          <w:t>58</w:t>
        </w:r>
      </w:hyperlink>
    </w:p>
    <w:p w14:paraId="2B0FC539" w14:textId="77777777" w:rsidR="00000000" w:rsidRPr="0060384B" w:rsidRDefault="00CA5F6F">
      <w:pPr>
        <w:spacing w:line="281" w:lineRule="exact"/>
        <w:rPr>
          <w:rFonts w:ascii="Lato" w:eastAsia="Times New Roman" w:hAnsi="Lato"/>
          <w:color w:val="000000" w:themeColor="text1"/>
          <w:sz w:val="24"/>
          <w:szCs w:val="24"/>
        </w:rPr>
      </w:pPr>
    </w:p>
    <w:p w14:paraId="170DE7C3" w14:textId="77777777" w:rsidR="00000000" w:rsidRPr="0060384B" w:rsidRDefault="00CA5F6F">
      <w:pPr>
        <w:tabs>
          <w:tab w:val="left" w:leader="dot" w:pos="9080"/>
        </w:tabs>
        <w:spacing w:line="0" w:lineRule="atLeast"/>
        <w:ind w:left="240"/>
        <w:rPr>
          <w:rFonts w:ascii="Lato" w:hAnsi="Lato"/>
          <w:color w:val="000000" w:themeColor="text1"/>
          <w:sz w:val="24"/>
          <w:szCs w:val="24"/>
        </w:rPr>
      </w:pPr>
      <w:hyperlink w:anchor="page62" w:history="1">
        <w:r w:rsidRPr="0060384B">
          <w:rPr>
            <w:rFonts w:ascii="Lato" w:hAnsi="Lato"/>
            <w:color w:val="000000" w:themeColor="text1"/>
            <w:sz w:val="24"/>
            <w:szCs w:val="24"/>
          </w:rPr>
          <w:t>Taking Direct Aim at Dementia with Lifestyle, Cognitive Training</w:t>
        </w:r>
      </w:hyperlink>
      <w:r w:rsidRPr="0060384B">
        <w:rPr>
          <w:rFonts w:ascii="Lato" w:hAnsi="Lato"/>
          <w:color w:val="000000" w:themeColor="text1"/>
          <w:sz w:val="24"/>
          <w:szCs w:val="24"/>
        </w:rPr>
        <w:tab/>
      </w:r>
      <w:hyperlink w:anchor="page62" w:history="1">
        <w:r w:rsidRPr="0060384B">
          <w:rPr>
            <w:rFonts w:ascii="Lato" w:hAnsi="Lato"/>
            <w:color w:val="000000" w:themeColor="text1"/>
            <w:sz w:val="24"/>
            <w:szCs w:val="24"/>
          </w:rPr>
          <w:t>59</w:t>
        </w:r>
      </w:hyperlink>
    </w:p>
    <w:p w14:paraId="0B80E555" w14:textId="77777777" w:rsidR="00000000" w:rsidRPr="0060384B" w:rsidRDefault="00CA5F6F">
      <w:pPr>
        <w:spacing w:line="278" w:lineRule="exact"/>
        <w:rPr>
          <w:rFonts w:ascii="Lato" w:eastAsia="Times New Roman" w:hAnsi="Lato"/>
          <w:color w:val="000000" w:themeColor="text1"/>
          <w:sz w:val="24"/>
          <w:szCs w:val="24"/>
        </w:rPr>
      </w:pPr>
    </w:p>
    <w:p w14:paraId="6AEA97E9" w14:textId="77777777" w:rsidR="00000000" w:rsidRPr="0060384B" w:rsidRDefault="00CA5F6F">
      <w:pPr>
        <w:tabs>
          <w:tab w:val="left" w:leader="dot" w:pos="9080"/>
        </w:tabs>
        <w:spacing w:line="0" w:lineRule="atLeast"/>
        <w:rPr>
          <w:rFonts w:ascii="Lato" w:hAnsi="Lato"/>
          <w:b/>
          <w:color w:val="000000" w:themeColor="text1"/>
          <w:sz w:val="24"/>
          <w:szCs w:val="24"/>
        </w:rPr>
      </w:pPr>
      <w:hyperlink w:anchor="page65" w:history="1">
        <w:r w:rsidRPr="0060384B">
          <w:rPr>
            <w:rFonts w:ascii="Lato" w:hAnsi="Lato"/>
            <w:b/>
            <w:color w:val="000000" w:themeColor="text1"/>
            <w:sz w:val="24"/>
            <w:szCs w:val="24"/>
          </w:rPr>
          <w:t>MAKING CLINICAL TRIALS MORE EFFICIENT AND INCLU</w:t>
        </w:r>
        <w:r w:rsidRPr="0060384B">
          <w:rPr>
            <w:rFonts w:ascii="Lato" w:hAnsi="Lato"/>
            <w:b/>
            <w:color w:val="000000" w:themeColor="text1"/>
            <w:sz w:val="24"/>
            <w:szCs w:val="24"/>
          </w:rPr>
          <w:t>SIVE</w:t>
        </w:r>
      </w:hyperlink>
      <w:r w:rsidRPr="0060384B">
        <w:rPr>
          <w:rFonts w:ascii="Lato" w:hAnsi="Lato"/>
          <w:b/>
          <w:color w:val="000000" w:themeColor="text1"/>
          <w:sz w:val="24"/>
          <w:szCs w:val="24"/>
        </w:rPr>
        <w:tab/>
      </w:r>
      <w:hyperlink w:anchor="page65" w:history="1">
        <w:r w:rsidRPr="0060384B">
          <w:rPr>
            <w:rFonts w:ascii="Lato" w:hAnsi="Lato"/>
            <w:b/>
            <w:color w:val="000000" w:themeColor="text1"/>
            <w:sz w:val="24"/>
            <w:szCs w:val="24"/>
          </w:rPr>
          <w:t>62</w:t>
        </w:r>
      </w:hyperlink>
    </w:p>
    <w:p w14:paraId="44D2C207" w14:textId="77777777" w:rsidR="00000000" w:rsidRPr="0060384B" w:rsidRDefault="00CA5F6F">
      <w:pPr>
        <w:spacing w:line="284" w:lineRule="exact"/>
        <w:rPr>
          <w:rFonts w:ascii="Lato" w:eastAsia="Times New Roman" w:hAnsi="Lato"/>
          <w:color w:val="000000" w:themeColor="text1"/>
          <w:sz w:val="24"/>
          <w:szCs w:val="24"/>
        </w:rPr>
      </w:pPr>
    </w:p>
    <w:p w14:paraId="646A4E19" w14:textId="77777777" w:rsidR="00000000" w:rsidRPr="0060384B" w:rsidRDefault="00CA5F6F">
      <w:pPr>
        <w:tabs>
          <w:tab w:val="left" w:leader="dot" w:pos="9080"/>
        </w:tabs>
        <w:spacing w:line="0" w:lineRule="atLeast"/>
        <w:ind w:left="240"/>
        <w:rPr>
          <w:rFonts w:ascii="Lato" w:hAnsi="Lato"/>
          <w:color w:val="000000" w:themeColor="text1"/>
          <w:sz w:val="24"/>
          <w:szCs w:val="24"/>
        </w:rPr>
      </w:pPr>
      <w:hyperlink w:anchor="page65" w:history="1">
        <w:r w:rsidRPr="0060384B">
          <w:rPr>
            <w:rFonts w:ascii="Lato" w:hAnsi="Lato"/>
            <w:color w:val="000000" w:themeColor="text1"/>
            <w:sz w:val="24"/>
            <w:szCs w:val="24"/>
          </w:rPr>
          <w:t>Intensified Efforts to Diversify Clinical Trials Participation</w:t>
        </w:r>
      </w:hyperlink>
      <w:r w:rsidRPr="0060384B">
        <w:rPr>
          <w:rFonts w:ascii="Lato" w:hAnsi="Lato"/>
          <w:color w:val="000000" w:themeColor="text1"/>
          <w:sz w:val="24"/>
          <w:szCs w:val="24"/>
        </w:rPr>
        <w:tab/>
      </w:r>
      <w:hyperlink w:anchor="page65" w:history="1">
        <w:r w:rsidRPr="0060384B">
          <w:rPr>
            <w:rFonts w:ascii="Lato" w:hAnsi="Lato"/>
            <w:color w:val="000000" w:themeColor="text1"/>
            <w:sz w:val="24"/>
            <w:szCs w:val="24"/>
          </w:rPr>
          <w:t>62</w:t>
        </w:r>
      </w:hyperlink>
    </w:p>
    <w:p w14:paraId="5D4300D4" w14:textId="77777777" w:rsidR="00000000" w:rsidRPr="0060384B" w:rsidRDefault="00CA5F6F">
      <w:pPr>
        <w:spacing w:line="278" w:lineRule="exact"/>
        <w:rPr>
          <w:rFonts w:ascii="Lato" w:eastAsia="Times New Roman" w:hAnsi="Lato"/>
          <w:color w:val="000000" w:themeColor="text1"/>
          <w:sz w:val="24"/>
          <w:szCs w:val="24"/>
        </w:rPr>
      </w:pPr>
    </w:p>
    <w:p w14:paraId="6E83A67F" w14:textId="77777777" w:rsidR="00000000" w:rsidRPr="0060384B" w:rsidRDefault="00CA5F6F">
      <w:pPr>
        <w:tabs>
          <w:tab w:val="left" w:leader="dot" w:pos="9080"/>
        </w:tabs>
        <w:spacing w:line="0" w:lineRule="atLeast"/>
        <w:ind w:left="240"/>
        <w:rPr>
          <w:rFonts w:ascii="Lato" w:hAnsi="Lato"/>
          <w:color w:val="000000" w:themeColor="text1"/>
          <w:sz w:val="24"/>
          <w:szCs w:val="24"/>
        </w:rPr>
      </w:pPr>
      <w:hyperlink w:anchor="page66" w:history="1">
        <w:r w:rsidRPr="0060384B">
          <w:rPr>
            <w:rFonts w:ascii="Lato" w:hAnsi="Lato"/>
            <w:color w:val="000000" w:themeColor="text1"/>
            <w:sz w:val="24"/>
            <w:szCs w:val="24"/>
          </w:rPr>
          <w:t>A New Recruitment Resource for Investigators</w:t>
        </w:r>
      </w:hyperlink>
      <w:r w:rsidRPr="0060384B">
        <w:rPr>
          <w:rFonts w:ascii="Lato" w:hAnsi="Lato"/>
          <w:color w:val="000000" w:themeColor="text1"/>
          <w:sz w:val="24"/>
          <w:szCs w:val="24"/>
        </w:rPr>
        <w:tab/>
      </w:r>
      <w:hyperlink w:anchor="page66" w:history="1">
        <w:r w:rsidRPr="0060384B">
          <w:rPr>
            <w:rFonts w:ascii="Lato" w:hAnsi="Lato"/>
            <w:color w:val="000000" w:themeColor="text1"/>
            <w:sz w:val="24"/>
            <w:szCs w:val="24"/>
          </w:rPr>
          <w:t>63</w:t>
        </w:r>
      </w:hyperlink>
    </w:p>
    <w:p w14:paraId="4B973C0A" w14:textId="77777777" w:rsidR="00000000" w:rsidRPr="0060384B" w:rsidRDefault="00CA5F6F">
      <w:pPr>
        <w:spacing w:line="278" w:lineRule="exact"/>
        <w:rPr>
          <w:rFonts w:ascii="Lato" w:eastAsia="Times New Roman" w:hAnsi="Lato"/>
          <w:color w:val="000000" w:themeColor="text1"/>
          <w:sz w:val="24"/>
          <w:szCs w:val="24"/>
        </w:rPr>
      </w:pPr>
    </w:p>
    <w:p w14:paraId="03E726AD" w14:textId="77777777" w:rsidR="00000000" w:rsidRPr="0060384B" w:rsidRDefault="00CA5F6F">
      <w:pPr>
        <w:tabs>
          <w:tab w:val="left" w:leader="dot" w:pos="9080"/>
        </w:tabs>
        <w:spacing w:line="0" w:lineRule="atLeast"/>
        <w:rPr>
          <w:rFonts w:ascii="Lato" w:hAnsi="Lato"/>
          <w:b/>
          <w:color w:val="000000" w:themeColor="text1"/>
          <w:sz w:val="24"/>
          <w:szCs w:val="24"/>
        </w:rPr>
      </w:pPr>
      <w:hyperlink w:anchor="page68" w:history="1">
        <w:r w:rsidRPr="0060384B">
          <w:rPr>
            <w:rFonts w:ascii="Lato" w:hAnsi="Lato"/>
            <w:b/>
            <w:color w:val="000000" w:themeColor="text1"/>
            <w:sz w:val="24"/>
            <w:szCs w:val="24"/>
          </w:rPr>
          <w:t>RESEARCH ON CARE AND CAREGIVER SUPPORT</w:t>
        </w:r>
      </w:hyperlink>
      <w:r w:rsidRPr="0060384B">
        <w:rPr>
          <w:rFonts w:ascii="Lato" w:hAnsi="Lato"/>
          <w:b/>
          <w:color w:val="000000" w:themeColor="text1"/>
          <w:sz w:val="24"/>
          <w:szCs w:val="24"/>
        </w:rPr>
        <w:tab/>
      </w:r>
      <w:hyperlink w:anchor="page68" w:history="1">
        <w:r w:rsidRPr="0060384B">
          <w:rPr>
            <w:rFonts w:ascii="Lato" w:hAnsi="Lato"/>
            <w:b/>
            <w:color w:val="000000" w:themeColor="text1"/>
            <w:sz w:val="24"/>
            <w:szCs w:val="24"/>
          </w:rPr>
          <w:t>65</w:t>
        </w:r>
      </w:hyperlink>
    </w:p>
    <w:p w14:paraId="55C3628F" w14:textId="77777777" w:rsidR="00000000" w:rsidRPr="0060384B" w:rsidRDefault="00CA5F6F">
      <w:pPr>
        <w:spacing w:line="284" w:lineRule="exact"/>
        <w:rPr>
          <w:rFonts w:ascii="Lato" w:eastAsia="Times New Roman" w:hAnsi="Lato"/>
          <w:color w:val="000000" w:themeColor="text1"/>
          <w:sz w:val="24"/>
          <w:szCs w:val="24"/>
        </w:rPr>
      </w:pPr>
    </w:p>
    <w:p w14:paraId="43A8EC21" w14:textId="77777777" w:rsidR="00000000" w:rsidRPr="0060384B" w:rsidRDefault="00CA5F6F">
      <w:pPr>
        <w:tabs>
          <w:tab w:val="left" w:leader="dot" w:pos="9080"/>
        </w:tabs>
        <w:spacing w:line="0" w:lineRule="atLeast"/>
        <w:ind w:left="240"/>
        <w:rPr>
          <w:rFonts w:ascii="Lato" w:hAnsi="Lato"/>
          <w:color w:val="000000" w:themeColor="text1"/>
          <w:sz w:val="24"/>
          <w:szCs w:val="24"/>
        </w:rPr>
      </w:pPr>
      <w:hyperlink w:anchor="page69" w:history="1">
        <w:r w:rsidRPr="0060384B">
          <w:rPr>
            <w:rFonts w:ascii="Lato" w:hAnsi="Lato"/>
            <w:color w:val="000000" w:themeColor="text1"/>
            <w:sz w:val="24"/>
            <w:szCs w:val="24"/>
          </w:rPr>
          <w:t>Expanding Research on Care</w:t>
        </w:r>
      </w:hyperlink>
      <w:r w:rsidRPr="0060384B">
        <w:rPr>
          <w:rFonts w:ascii="Lato" w:hAnsi="Lato"/>
          <w:color w:val="000000" w:themeColor="text1"/>
          <w:sz w:val="24"/>
          <w:szCs w:val="24"/>
        </w:rPr>
        <w:tab/>
      </w:r>
      <w:hyperlink w:anchor="page69" w:history="1">
        <w:r w:rsidRPr="0060384B">
          <w:rPr>
            <w:rFonts w:ascii="Lato" w:hAnsi="Lato"/>
            <w:color w:val="000000" w:themeColor="text1"/>
            <w:sz w:val="24"/>
            <w:szCs w:val="24"/>
          </w:rPr>
          <w:t>66</w:t>
        </w:r>
      </w:hyperlink>
    </w:p>
    <w:p w14:paraId="42778235" w14:textId="77777777" w:rsidR="00000000" w:rsidRPr="0060384B" w:rsidRDefault="00CA5F6F">
      <w:pPr>
        <w:spacing w:line="281" w:lineRule="exact"/>
        <w:rPr>
          <w:rFonts w:ascii="Lato" w:eastAsia="Times New Roman" w:hAnsi="Lato"/>
          <w:color w:val="000000" w:themeColor="text1"/>
          <w:sz w:val="24"/>
          <w:szCs w:val="24"/>
        </w:rPr>
      </w:pPr>
    </w:p>
    <w:p w14:paraId="7DCB0B62" w14:textId="77777777" w:rsidR="00000000" w:rsidRPr="0060384B" w:rsidRDefault="00CA5F6F">
      <w:pPr>
        <w:tabs>
          <w:tab w:val="left" w:leader="dot" w:pos="9080"/>
        </w:tabs>
        <w:spacing w:line="0" w:lineRule="atLeast"/>
        <w:ind w:left="240"/>
        <w:rPr>
          <w:rFonts w:ascii="Lato" w:hAnsi="Lato"/>
          <w:color w:val="000000" w:themeColor="text1"/>
          <w:sz w:val="24"/>
          <w:szCs w:val="24"/>
        </w:rPr>
      </w:pPr>
      <w:hyperlink w:anchor="page71" w:history="1">
        <w:r w:rsidRPr="0060384B">
          <w:rPr>
            <w:rFonts w:ascii="Lato" w:hAnsi="Lato"/>
            <w:color w:val="000000" w:themeColor="text1"/>
            <w:sz w:val="24"/>
            <w:szCs w:val="24"/>
          </w:rPr>
          <w:t>Research Advances in Dementia Care and Caregiving</w:t>
        </w:r>
      </w:hyperlink>
      <w:r w:rsidRPr="0060384B">
        <w:rPr>
          <w:rFonts w:ascii="Lato" w:hAnsi="Lato"/>
          <w:color w:val="000000" w:themeColor="text1"/>
          <w:sz w:val="24"/>
          <w:szCs w:val="24"/>
        </w:rPr>
        <w:tab/>
      </w:r>
      <w:hyperlink w:anchor="page71" w:history="1">
        <w:r w:rsidRPr="0060384B">
          <w:rPr>
            <w:rFonts w:ascii="Lato" w:hAnsi="Lato"/>
            <w:color w:val="000000" w:themeColor="text1"/>
            <w:sz w:val="24"/>
            <w:szCs w:val="24"/>
          </w:rPr>
          <w:t>68</w:t>
        </w:r>
      </w:hyperlink>
    </w:p>
    <w:p w14:paraId="7180B086" w14:textId="77777777" w:rsidR="00000000" w:rsidRPr="0060384B" w:rsidRDefault="00CA5F6F">
      <w:pPr>
        <w:spacing w:line="278" w:lineRule="exact"/>
        <w:rPr>
          <w:rFonts w:ascii="Lato" w:eastAsia="Times New Roman" w:hAnsi="Lato"/>
          <w:color w:val="000000" w:themeColor="text1"/>
          <w:sz w:val="24"/>
          <w:szCs w:val="24"/>
        </w:rPr>
      </w:pPr>
    </w:p>
    <w:p w14:paraId="710103AE" w14:textId="77777777" w:rsidR="00000000" w:rsidRPr="0060384B" w:rsidRDefault="00CA5F6F">
      <w:pPr>
        <w:tabs>
          <w:tab w:val="left" w:leader="dot" w:pos="9080"/>
        </w:tabs>
        <w:spacing w:line="0" w:lineRule="atLeast"/>
        <w:ind w:left="240"/>
        <w:rPr>
          <w:rFonts w:ascii="Lato" w:hAnsi="Lato"/>
          <w:color w:val="000000" w:themeColor="text1"/>
          <w:sz w:val="24"/>
          <w:szCs w:val="24"/>
        </w:rPr>
      </w:pPr>
      <w:hyperlink w:anchor="page73" w:history="1">
        <w:r w:rsidRPr="0060384B">
          <w:rPr>
            <w:rFonts w:ascii="Lato" w:hAnsi="Lato"/>
            <w:color w:val="000000" w:themeColor="text1"/>
            <w:sz w:val="24"/>
            <w:szCs w:val="24"/>
          </w:rPr>
          <w:t>The Path Forward</w:t>
        </w:r>
      </w:hyperlink>
      <w:r w:rsidRPr="0060384B">
        <w:rPr>
          <w:rFonts w:ascii="Lato" w:hAnsi="Lato"/>
          <w:color w:val="000000" w:themeColor="text1"/>
          <w:sz w:val="24"/>
          <w:szCs w:val="24"/>
        </w:rPr>
        <w:tab/>
      </w:r>
      <w:hyperlink w:anchor="page73" w:history="1">
        <w:r w:rsidRPr="0060384B">
          <w:rPr>
            <w:rFonts w:ascii="Lato" w:hAnsi="Lato"/>
            <w:color w:val="000000" w:themeColor="text1"/>
            <w:sz w:val="24"/>
            <w:szCs w:val="24"/>
          </w:rPr>
          <w:t>70</w:t>
        </w:r>
      </w:hyperlink>
    </w:p>
    <w:p w14:paraId="4EF725EB" w14:textId="77777777" w:rsidR="00000000" w:rsidRPr="0060384B" w:rsidRDefault="00CA5F6F">
      <w:pPr>
        <w:spacing w:line="278" w:lineRule="exact"/>
        <w:rPr>
          <w:rFonts w:ascii="Lato" w:eastAsia="Times New Roman" w:hAnsi="Lato"/>
          <w:color w:val="000000" w:themeColor="text1"/>
          <w:sz w:val="24"/>
          <w:szCs w:val="24"/>
        </w:rPr>
      </w:pPr>
    </w:p>
    <w:p w14:paraId="7A767E03" w14:textId="77777777" w:rsidR="00000000" w:rsidRPr="0060384B" w:rsidRDefault="00CA5F6F">
      <w:pPr>
        <w:tabs>
          <w:tab w:val="left" w:leader="dot" w:pos="9080"/>
        </w:tabs>
        <w:spacing w:line="0" w:lineRule="atLeast"/>
        <w:rPr>
          <w:rFonts w:ascii="Lato" w:hAnsi="Lato"/>
          <w:b/>
          <w:color w:val="000000" w:themeColor="text1"/>
          <w:sz w:val="24"/>
          <w:szCs w:val="24"/>
        </w:rPr>
      </w:pPr>
      <w:hyperlink w:anchor="page74" w:history="1">
        <w:r w:rsidRPr="0060384B">
          <w:rPr>
            <w:rFonts w:ascii="Lato" w:hAnsi="Lato"/>
            <w:b/>
            <w:color w:val="000000" w:themeColor="text1"/>
            <w:sz w:val="24"/>
            <w:szCs w:val="24"/>
          </w:rPr>
          <w:t>REFERENCES</w:t>
        </w:r>
      </w:hyperlink>
      <w:r w:rsidRPr="0060384B">
        <w:rPr>
          <w:rFonts w:ascii="Lato" w:hAnsi="Lato"/>
          <w:b/>
          <w:color w:val="000000" w:themeColor="text1"/>
          <w:sz w:val="24"/>
          <w:szCs w:val="24"/>
        </w:rPr>
        <w:tab/>
      </w:r>
      <w:hyperlink w:anchor="page74" w:history="1">
        <w:r w:rsidRPr="0060384B">
          <w:rPr>
            <w:rFonts w:ascii="Lato" w:hAnsi="Lato"/>
            <w:b/>
            <w:color w:val="000000" w:themeColor="text1"/>
            <w:sz w:val="24"/>
            <w:szCs w:val="24"/>
          </w:rPr>
          <w:t>71</w:t>
        </w:r>
      </w:hyperlink>
    </w:p>
    <w:p w14:paraId="2ECD2A88" w14:textId="77777777" w:rsidR="00000000" w:rsidRPr="0060384B" w:rsidRDefault="00CA5F6F">
      <w:pPr>
        <w:tabs>
          <w:tab w:val="left" w:leader="dot" w:pos="9080"/>
        </w:tabs>
        <w:spacing w:line="0" w:lineRule="atLeast"/>
        <w:rPr>
          <w:rFonts w:ascii="Lato" w:hAnsi="Lato"/>
          <w:b/>
          <w:color w:val="000000" w:themeColor="text1"/>
          <w:sz w:val="24"/>
          <w:szCs w:val="24"/>
        </w:rPr>
        <w:sectPr w:rsidR="00000000" w:rsidRPr="0060384B">
          <w:pgSz w:w="12240" w:h="15840"/>
          <w:pgMar w:top="1133" w:right="1440" w:bottom="1440" w:left="1440" w:header="0" w:footer="0" w:gutter="0"/>
          <w:cols w:space="0" w:equalWidth="0">
            <w:col w:w="9360"/>
          </w:cols>
          <w:docGrid w:linePitch="360"/>
        </w:sectPr>
      </w:pPr>
    </w:p>
    <w:p w14:paraId="0FE57D8C" w14:textId="77777777" w:rsidR="00000000" w:rsidRPr="0060384B" w:rsidRDefault="00CA5F6F">
      <w:pPr>
        <w:spacing w:line="271" w:lineRule="auto"/>
        <w:ind w:right="140"/>
        <w:rPr>
          <w:rFonts w:ascii="Lato" w:hAnsi="Lato"/>
          <w:b/>
          <w:color w:val="000000" w:themeColor="text1"/>
          <w:sz w:val="24"/>
          <w:szCs w:val="24"/>
        </w:rPr>
      </w:pPr>
      <w:bookmarkStart w:id="3" w:name="page4"/>
      <w:bookmarkEnd w:id="3"/>
      <w:r w:rsidRPr="0060384B">
        <w:rPr>
          <w:rFonts w:ascii="Lato" w:hAnsi="Lato"/>
          <w:b/>
          <w:color w:val="000000" w:themeColor="text1"/>
          <w:sz w:val="24"/>
          <w:szCs w:val="24"/>
        </w:rPr>
        <w:lastRenderedPageBreak/>
        <w:t>TOGETHER WE SUCCEED: ACCELERATING RESEARCH ON ALZHEIMER</w:t>
      </w:r>
      <w:r w:rsidRPr="0060384B">
        <w:rPr>
          <w:rFonts w:ascii="Lato" w:hAnsi="Lato"/>
          <w:b/>
          <w:color w:val="000000" w:themeColor="text1"/>
          <w:sz w:val="24"/>
          <w:szCs w:val="24"/>
        </w:rPr>
        <w:t>’S DISEASE AND RELATED DEMENTIAS</w:t>
      </w:r>
    </w:p>
    <w:p w14:paraId="720E2B0A" w14:textId="77777777" w:rsidR="00000000" w:rsidRPr="0060384B" w:rsidRDefault="00CA5F6F">
      <w:pPr>
        <w:spacing w:line="187" w:lineRule="exact"/>
        <w:rPr>
          <w:rFonts w:ascii="Lato" w:eastAsia="Times New Roman" w:hAnsi="Lato"/>
          <w:color w:val="000000" w:themeColor="text1"/>
          <w:sz w:val="24"/>
          <w:szCs w:val="24"/>
        </w:rPr>
      </w:pPr>
    </w:p>
    <w:p w14:paraId="24960DE7"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July 29, 2019</w:t>
      </w:r>
    </w:p>
    <w:p w14:paraId="2BA026B8" w14:textId="77777777" w:rsidR="00000000" w:rsidRPr="0060384B" w:rsidRDefault="00CA5F6F">
      <w:pPr>
        <w:spacing w:line="281" w:lineRule="exact"/>
        <w:rPr>
          <w:rFonts w:ascii="Lato" w:eastAsia="Times New Roman" w:hAnsi="Lato"/>
          <w:color w:val="000000" w:themeColor="text1"/>
          <w:sz w:val="24"/>
          <w:szCs w:val="24"/>
        </w:rPr>
      </w:pPr>
    </w:p>
    <w:p w14:paraId="39FA257B" w14:textId="77777777" w:rsidR="00000000" w:rsidRPr="0060384B" w:rsidRDefault="00CA5F6F">
      <w:pPr>
        <w:spacing w:line="278" w:lineRule="auto"/>
        <w:ind w:right="20"/>
        <w:rPr>
          <w:rFonts w:ascii="Lato" w:hAnsi="Lato"/>
          <w:color w:val="000000" w:themeColor="text1"/>
          <w:sz w:val="24"/>
          <w:szCs w:val="24"/>
        </w:rPr>
      </w:pPr>
      <w:r w:rsidRPr="0060384B">
        <w:rPr>
          <w:rFonts w:ascii="Lato" w:hAnsi="Lato"/>
          <w:color w:val="000000" w:themeColor="text1"/>
          <w:sz w:val="24"/>
          <w:szCs w:val="24"/>
        </w:rPr>
        <w:t>On behalf of the National Institutes of Health (NIH), I am pleased to present our Fiscal Year (FY) 2021 Professional Judgment Budget, commonly referred to as a Bypass Budget, for Alzheimer</w:t>
      </w:r>
      <w:r w:rsidRPr="0060384B">
        <w:rPr>
          <w:rFonts w:ascii="Lato" w:hAnsi="Lato"/>
          <w:color w:val="000000" w:themeColor="text1"/>
          <w:sz w:val="24"/>
          <w:szCs w:val="24"/>
        </w:rPr>
        <w:t>’s disease and related dementias. In addition to the</w:t>
      </w:r>
      <w:r w:rsidRPr="0060384B">
        <w:rPr>
          <w:rFonts w:ascii="Lato" w:hAnsi="Lato"/>
          <w:color w:val="000000" w:themeColor="text1"/>
          <w:sz w:val="24"/>
          <w:szCs w:val="24"/>
        </w:rPr>
        <w:t xml:space="preserve"> NIH funding proposal, this document provides an extensive array of current and cutting-edge research accomplishments and an outline of efforts to capitalize on the investments made in the Alzheimer</w:t>
      </w:r>
      <w:r w:rsidRPr="0060384B">
        <w:rPr>
          <w:rFonts w:ascii="Lato" w:hAnsi="Lato"/>
          <w:color w:val="000000" w:themeColor="text1"/>
          <w:sz w:val="24"/>
          <w:szCs w:val="24"/>
        </w:rPr>
        <w:t xml:space="preserve">’s disease and related dementias research enterprise. You </w:t>
      </w:r>
      <w:r w:rsidRPr="0060384B">
        <w:rPr>
          <w:rFonts w:ascii="Lato" w:hAnsi="Lato"/>
          <w:color w:val="000000" w:themeColor="text1"/>
          <w:sz w:val="24"/>
          <w:szCs w:val="24"/>
        </w:rPr>
        <w:t>will also learn about the ongoing involvement needed by everyone</w:t>
      </w:r>
      <w:r w:rsidRPr="0060384B">
        <w:rPr>
          <w:rFonts w:ascii="Lato" w:hAnsi="Lato"/>
          <w:color w:val="000000" w:themeColor="text1"/>
          <w:sz w:val="24"/>
          <w:szCs w:val="24"/>
        </w:rPr>
        <w:t>— people living with these devastating diseases, caregivers, researchers, clinicians, government, academia, industry, and not-for-profit organizations</w:t>
      </w:r>
      <w:r w:rsidRPr="0060384B">
        <w:rPr>
          <w:rFonts w:ascii="Lato" w:hAnsi="Lato"/>
          <w:color w:val="000000" w:themeColor="text1"/>
          <w:sz w:val="24"/>
          <w:szCs w:val="24"/>
        </w:rPr>
        <w:t>—to achieve the national goal of effective</w:t>
      </w:r>
      <w:r w:rsidRPr="0060384B">
        <w:rPr>
          <w:rFonts w:ascii="Lato" w:hAnsi="Lato"/>
          <w:color w:val="000000" w:themeColor="text1"/>
          <w:sz w:val="24"/>
          <w:szCs w:val="24"/>
        </w:rPr>
        <w:t>ly treating or preventing Alzheimer</w:t>
      </w:r>
      <w:r w:rsidRPr="0060384B">
        <w:rPr>
          <w:rFonts w:ascii="Lato" w:hAnsi="Lato"/>
          <w:color w:val="000000" w:themeColor="text1"/>
          <w:sz w:val="24"/>
          <w:szCs w:val="24"/>
        </w:rPr>
        <w:t>’s disease and related dementias by 2025.</w:t>
      </w:r>
    </w:p>
    <w:p w14:paraId="4C7CA1D8" w14:textId="77777777" w:rsidR="00000000" w:rsidRPr="0060384B" w:rsidRDefault="00CA5F6F">
      <w:pPr>
        <w:spacing w:line="258" w:lineRule="exact"/>
        <w:rPr>
          <w:rFonts w:ascii="Lato" w:eastAsia="Times New Roman" w:hAnsi="Lato"/>
          <w:color w:val="000000" w:themeColor="text1"/>
          <w:sz w:val="24"/>
          <w:szCs w:val="24"/>
        </w:rPr>
      </w:pPr>
    </w:p>
    <w:p w14:paraId="6459C437" w14:textId="77777777" w:rsidR="00000000" w:rsidRPr="0060384B" w:rsidRDefault="00CA5F6F">
      <w:pPr>
        <w:spacing w:line="291" w:lineRule="auto"/>
        <w:ind w:right="120"/>
        <w:rPr>
          <w:rFonts w:ascii="Lato" w:hAnsi="Lato"/>
          <w:color w:val="000000" w:themeColor="text1"/>
          <w:sz w:val="24"/>
          <w:szCs w:val="24"/>
        </w:rPr>
      </w:pPr>
      <w:r w:rsidRPr="0060384B">
        <w:rPr>
          <w:rFonts w:ascii="Lato" w:hAnsi="Lato"/>
          <w:color w:val="000000" w:themeColor="text1"/>
          <w:sz w:val="24"/>
          <w:szCs w:val="24"/>
        </w:rPr>
        <w:t>Due to recent advances as well as lessons learned from recent clinical trial failures, we are indeed gaining traction toward addressing this public health crisis, one that has pr</w:t>
      </w:r>
      <w:r w:rsidRPr="0060384B">
        <w:rPr>
          <w:rFonts w:ascii="Lato" w:hAnsi="Lato"/>
          <w:color w:val="000000" w:themeColor="text1"/>
          <w:sz w:val="24"/>
          <w:szCs w:val="24"/>
        </w:rPr>
        <w:t xml:space="preserve">ofoundly affected our Nation as well as the global community. With expanded FY 2021 funding, NIH will build on the current momentum by continuing to support a broad range of treatment targets. These include, but importantly are not limited to, amyloid and </w:t>
      </w:r>
      <w:r w:rsidRPr="0060384B">
        <w:rPr>
          <w:rFonts w:ascii="Lato" w:hAnsi="Lato"/>
          <w:color w:val="000000" w:themeColor="text1"/>
          <w:sz w:val="24"/>
          <w:szCs w:val="24"/>
        </w:rPr>
        <w:t>tau and reflect the accelerating pace of discovery that has identified new and diverse targets for translation into therapeutic strategies. The unprecedented excitement of discovery continues to inspire many of the sharpest and most creative scientific min</w:t>
      </w:r>
      <w:r w:rsidRPr="0060384B">
        <w:rPr>
          <w:rFonts w:ascii="Lato" w:hAnsi="Lato"/>
          <w:color w:val="000000" w:themeColor="text1"/>
          <w:sz w:val="24"/>
          <w:szCs w:val="24"/>
        </w:rPr>
        <w:t>ds in the field. These innovators are working tirelessly on ways to rethink and reconstruct the research enterprise into one that enables the discovery and dissemination of desperately needed interventions for people at all stages of disease.</w:t>
      </w:r>
    </w:p>
    <w:p w14:paraId="62C96FA2" w14:textId="77777777" w:rsidR="00000000" w:rsidRPr="0060384B" w:rsidRDefault="00CA5F6F">
      <w:pPr>
        <w:spacing w:line="244" w:lineRule="exact"/>
        <w:rPr>
          <w:rFonts w:ascii="Lato" w:eastAsia="Times New Roman" w:hAnsi="Lato"/>
          <w:color w:val="000000" w:themeColor="text1"/>
          <w:sz w:val="24"/>
          <w:szCs w:val="24"/>
        </w:rPr>
      </w:pPr>
    </w:p>
    <w:p w14:paraId="64CC8B24"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w:t>
      </w:r>
      <w:r w:rsidRPr="0060384B">
        <w:rPr>
          <w:rFonts w:ascii="Lato" w:hAnsi="Lato"/>
          <w:color w:val="000000" w:themeColor="text1"/>
          <w:sz w:val="24"/>
          <w:szCs w:val="24"/>
        </w:rPr>
        <w:t>’s divers</w:t>
      </w:r>
      <w:r w:rsidRPr="0060384B">
        <w:rPr>
          <w:rFonts w:ascii="Lato" w:hAnsi="Lato"/>
          <w:color w:val="000000" w:themeColor="text1"/>
          <w:sz w:val="24"/>
          <w:szCs w:val="24"/>
        </w:rPr>
        <w:t>e and comprehensive efforts are spearheading progress on a number of fronts:</w:t>
      </w:r>
    </w:p>
    <w:p w14:paraId="1602D67F" w14:textId="77777777" w:rsidR="00000000" w:rsidRPr="0060384B" w:rsidRDefault="00CA5F6F">
      <w:pPr>
        <w:spacing w:line="295" w:lineRule="exact"/>
        <w:rPr>
          <w:rFonts w:ascii="Lato" w:eastAsia="Times New Roman" w:hAnsi="Lato"/>
          <w:color w:val="000000" w:themeColor="text1"/>
          <w:sz w:val="24"/>
          <w:szCs w:val="24"/>
        </w:rPr>
      </w:pPr>
    </w:p>
    <w:p w14:paraId="05EB87A1" w14:textId="77777777" w:rsidR="00000000" w:rsidRPr="0060384B" w:rsidRDefault="00CA5F6F">
      <w:pPr>
        <w:numPr>
          <w:ilvl w:val="0"/>
          <w:numId w:val="1"/>
        </w:numPr>
        <w:tabs>
          <w:tab w:val="left" w:pos="720"/>
        </w:tabs>
        <w:spacing w:line="279" w:lineRule="auto"/>
        <w:ind w:left="720" w:right="520" w:hanging="360"/>
        <w:jc w:val="both"/>
        <w:rPr>
          <w:rFonts w:ascii="Lato" w:eastAsia="Arial" w:hAnsi="Lato"/>
          <w:color w:val="000000" w:themeColor="text1"/>
          <w:sz w:val="24"/>
          <w:szCs w:val="24"/>
        </w:rPr>
      </w:pPr>
      <w:r w:rsidRPr="0060384B">
        <w:rPr>
          <w:rFonts w:ascii="Lato" w:hAnsi="Lato"/>
          <w:color w:val="000000" w:themeColor="text1"/>
          <w:sz w:val="24"/>
          <w:szCs w:val="24"/>
        </w:rPr>
        <w:t>Deepened understanding of genetic risk factors for Alzheimer</w:t>
      </w:r>
      <w:r w:rsidRPr="0060384B">
        <w:rPr>
          <w:rFonts w:ascii="Lato" w:hAnsi="Lato"/>
          <w:color w:val="000000" w:themeColor="text1"/>
          <w:sz w:val="24"/>
          <w:szCs w:val="24"/>
        </w:rPr>
        <w:t>’s disease and related dementias, with more genes linked to disease risk in 2018 than in all previous years combined</w:t>
      </w:r>
    </w:p>
    <w:p w14:paraId="37BED586" w14:textId="77777777" w:rsidR="00000000" w:rsidRPr="0060384B" w:rsidRDefault="00CA5F6F">
      <w:pPr>
        <w:spacing w:line="3" w:lineRule="exact"/>
        <w:rPr>
          <w:rFonts w:ascii="Lato" w:eastAsia="Arial" w:hAnsi="Lato"/>
          <w:color w:val="000000" w:themeColor="text1"/>
          <w:sz w:val="24"/>
          <w:szCs w:val="24"/>
        </w:rPr>
      </w:pPr>
    </w:p>
    <w:p w14:paraId="2F124BB3" w14:textId="77777777" w:rsidR="00000000" w:rsidRPr="0060384B" w:rsidRDefault="00CA5F6F">
      <w:pPr>
        <w:numPr>
          <w:ilvl w:val="0"/>
          <w:numId w:val="1"/>
        </w:numPr>
        <w:tabs>
          <w:tab w:val="left" w:pos="720"/>
        </w:tabs>
        <w:spacing w:line="281" w:lineRule="auto"/>
        <w:ind w:left="720" w:right="380" w:hanging="360"/>
        <w:rPr>
          <w:rFonts w:ascii="Lato" w:eastAsia="Arial" w:hAnsi="Lato"/>
          <w:color w:val="000000" w:themeColor="text1"/>
          <w:sz w:val="24"/>
          <w:szCs w:val="24"/>
        </w:rPr>
      </w:pPr>
      <w:r w:rsidRPr="0060384B">
        <w:rPr>
          <w:rFonts w:ascii="Lato" w:hAnsi="Lato"/>
          <w:color w:val="000000" w:themeColor="text1"/>
          <w:sz w:val="24"/>
          <w:szCs w:val="24"/>
        </w:rPr>
        <w:t>Expanded population and epidemiological research to better understand disease risk and protective factors</w:t>
      </w:r>
    </w:p>
    <w:p w14:paraId="6BEED995" w14:textId="77777777" w:rsidR="00000000" w:rsidRPr="0060384B" w:rsidRDefault="00CA5F6F">
      <w:pPr>
        <w:numPr>
          <w:ilvl w:val="0"/>
          <w:numId w:val="1"/>
        </w:numPr>
        <w:tabs>
          <w:tab w:val="left" w:pos="720"/>
        </w:tabs>
        <w:spacing w:line="281" w:lineRule="auto"/>
        <w:ind w:left="720" w:right="400" w:hanging="360"/>
        <w:rPr>
          <w:rFonts w:ascii="Lato" w:eastAsia="Arial" w:hAnsi="Lato"/>
          <w:color w:val="000000" w:themeColor="text1"/>
          <w:sz w:val="24"/>
          <w:szCs w:val="24"/>
        </w:rPr>
      </w:pPr>
      <w:r w:rsidRPr="0060384B">
        <w:rPr>
          <w:rFonts w:ascii="Lato" w:hAnsi="Lato"/>
          <w:color w:val="000000" w:themeColor="text1"/>
          <w:sz w:val="24"/>
          <w:szCs w:val="24"/>
        </w:rPr>
        <w:t>Insight into new disease mechanisms in less understood areas, such as sleep and the microbiome</w:t>
      </w:r>
    </w:p>
    <w:p w14:paraId="451E14E0" w14:textId="77777777" w:rsidR="00000000" w:rsidRPr="0060384B" w:rsidRDefault="00CA5F6F">
      <w:pPr>
        <w:numPr>
          <w:ilvl w:val="0"/>
          <w:numId w:val="1"/>
        </w:numPr>
        <w:tabs>
          <w:tab w:val="left" w:pos="720"/>
        </w:tabs>
        <w:spacing w:line="281" w:lineRule="auto"/>
        <w:ind w:left="720" w:right="100" w:hanging="360"/>
        <w:rPr>
          <w:rFonts w:ascii="Lato" w:eastAsia="Arial" w:hAnsi="Lato"/>
          <w:color w:val="000000" w:themeColor="text1"/>
          <w:sz w:val="24"/>
          <w:szCs w:val="24"/>
        </w:rPr>
      </w:pPr>
      <w:r w:rsidRPr="0060384B">
        <w:rPr>
          <w:rFonts w:ascii="Lato" w:hAnsi="Lato"/>
          <w:color w:val="000000" w:themeColor="text1"/>
          <w:sz w:val="24"/>
          <w:szCs w:val="24"/>
        </w:rPr>
        <w:t>Improved biological and behavioral markers to detect an</w:t>
      </w:r>
      <w:r w:rsidRPr="0060384B">
        <w:rPr>
          <w:rFonts w:ascii="Lato" w:hAnsi="Lato"/>
          <w:color w:val="000000" w:themeColor="text1"/>
          <w:sz w:val="24"/>
          <w:szCs w:val="24"/>
        </w:rPr>
        <w:t>d diagnose Alzheimer</w:t>
      </w:r>
      <w:r w:rsidRPr="0060384B">
        <w:rPr>
          <w:rFonts w:ascii="Lato" w:hAnsi="Lato"/>
          <w:color w:val="000000" w:themeColor="text1"/>
          <w:sz w:val="24"/>
          <w:szCs w:val="24"/>
        </w:rPr>
        <w:t>’s disease and related dementias more efficiently and effectively</w:t>
      </w:r>
    </w:p>
    <w:p w14:paraId="2E13B702" w14:textId="77777777" w:rsidR="00000000" w:rsidRPr="0060384B" w:rsidRDefault="00CA5F6F">
      <w:pPr>
        <w:numPr>
          <w:ilvl w:val="0"/>
          <w:numId w:val="1"/>
        </w:numPr>
        <w:tabs>
          <w:tab w:val="left" w:pos="720"/>
        </w:tabs>
        <w:spacing w:line="0" w:lineRule="atLeast"/>
        <w:ind w:left="720" w:hanging="360"/>
        <w:rPr>
          <w:rFonts w:ascii="Lato" w:eastAsia="Arial" w:hAnsi="Lato"/>
          <w:color w:val="000000" w:themeColor="text1"/>
          <w:sz w:val="24"/>
          <w:szCs w:val="24"/>
        </w:rPr>
      </w:pPr>
      <w:r w:rsidRPr="0060384B">
        <w:rPr>
          <w:rFonts w:ascii="Lato" w:hAnsi="Lato"/>
          <w:color w:val="000000" w:themeColor="text1"/>
          <w:sz w:val="24"/>
          <w:szCs w:val="24"/>
        </w:rPr>
        <w:t>Investment in target validation and drug design to accelerate the time to human testing</w:t>
      </w:r>
    </w:p>
    <w:p w14:paraId="45609534" w14:textId="77777777" w:rsidR="00000000" w:rsidRPr="0060384B" w:rsidRDefault="00CA5F6F">
      <w:pPr>
        <w:spacing w:line="57" w:lineRule="exact"/>
        <w:rPr>
          <w:rFonts w:ascii="Lato" w:eastAsia="Arial" w:hAnsi="Lato"/>
          <w:color w:val="000000" w:themeColor="text1"/>
          <w:sz w:val="24"/>
          <w:szCs w:val="24"/>
        </w:rPr>
      </w:pPr>
    </w:p>
    <w:p w14:paraId="2548BEB0" w14:textId="77777777" w:rsidR="00000000" w:rsidRPr="0060384B" w:rsidRDefault="00CA5F6F">
      <w:pPr>
        <w:numPr>
          <w:ilvl w:val="0"/>
          <w:numId w:val="1"/>
        </w:numPr>
        <w:tabs>
          <w:tab w:val="left" w:pos="720"/>
        </w:tabs>
        <w:spacing w:line="295" w:lineRule="auto"/>
        <w:ind w:left="720" w:right="140" w:hanging="360"/>
        <w:rPr>
          <w:rFonts w:ascii="Lato" w:eastAsia="Arial" w:hAnsi="Lato"/>
          <w:color w:val="000000" w:themeColor="text1"/>
          <w:sz w:val="24"/>
          <w:szCs w:val="24"/>
        </w:rPr>
      </w:pPr>
      <w:r w:rsidRPr="0060384B">
        <w:rPr>
          <w:rFonts w:ascii="Lato" w:hAnsi="Lato"/>
          <w:color w:val="000000" w:themeColor="text1"/>
          <w:sz w:val="24"/>
          <w:szCs w:val="24"/>
        </w:rPr>
        <w:t>Expanded translational infrastructure programs that facilitate rapid sharing of d</w:t>
      </w:r>
      <w:r w:rsidRPr="0060384B">
        <w:rPr>
          <w:rFonts w:ascii="Lato" w:hAnsi="Lato"/>
          <w:color w:val="000000" w:themeColor="text1"/>
          <w:sz w:val="24"/>
          <w:szCs w:val="24"/>
        </w:rPr>
        <w:t>ata and research models to enhance collaboration as well as rigor and reproducibility</w:t>
      </w:r>
    </w:p>
    <w:p w14:paraId="72C834C2" w14:textId="77777777" w:rsidR="00000000" w:rsidRPr="0060384B" w:rsidRDefault="00CA5F6F">
      <w:pPr>
        <w:tabs>
          <w:tab w:val="left" w:pos="720"/>
        </w:tabs>
        <w:spacing w:line="295" w:lineRule="auto"/>
        <w:ind w:left="720" w:right="140" w:hanging="360"/>
        <w:rPr>
          <w:rFonts w:ascii="Lato" w:eastAsia="Arial" w:hAnsi="Lato"/>
          <w:color w:val="000000" w:themeColor="text1"/>
          <w:sz w:val="24"/>
          <w:szCs w:val="24"/>
        </w:rPr>
        <w:sectPr w:rsidR="00000000" w:rsidRPr="0060384B">
          <w:pgSz w:w="12240" w:h="15840"/>
          <w:pgMar w:top="1125" w:right="1440" w:bottom="0" w:left="1440" w:header="0" w:footer="0" w:gutter="0"/>
          <w:cols w:space="0" w:equalWidth="0">
            <w:col w:w="9360"/>
          </w:cols>
          <w:docGrid w:linePitch="360"/>
        </w:sectPr>
      </w:pPr>
    </w:p>
    <w:p w14:paraId="059CF9FB" w14:textId="77777777" w:rsidR="00000000" w:rsidRPr="0060384B" w:rsidRDefault="00CA5F6F">
      <w:pPr>
        <w:spacing w:line="200" w:lineRule="exact"/>
        <w:rPr>
          <w:rFonts w:ascii="Lato" w:eastAsia="Times New Roman" w:hAnsi="Lato"/>
          <w:color w:val="000000" w:themeColor="text1"/>
          <w:sz w:val="24"/>
          <w:szCs w:val="24"/>
        </w:rPr>
      </w:pPr>
    </w:p>
    <w:p w14:paraId="722EBD44" w14:textId="77777777" w:rsidR="00000000" w:rsidRPr="0060384B" w:rsidRDefault="00CA5F6F">
      <w:pPr>
        <w:spacing w:line="235"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80"/>
        <w:gridCol w:w="2780"/>
      </w:tblGrid>
      <w:tr w:rsidR="00000000" w:rsidRPr="0060384B" w14:paraId="0070C8F0" w14:textId="77777777">
        <w:trPr>
          <w:trHeight w:val="245"/>
        </w:trPr>
        <w:tc>
          <w:tcPr>
            <w:tcW w:w="6580" w:type="dxa"/>
            <w:shd w:val="clear" w:color="auto" w:fill="auto"/>
            <w:vAlign w:val="bottom"/>
          </w:tcPr>
          <w:p w14:paraId="061FC48E"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780" w:type="dxa"/>
            <w:shd w:val="clear" w:color="auto" w:fill="auto"/>
            <w:vAlign w:val="bottom"/>
          </w:tcPr>
          <w:p w14:paraId="0BC42FF7"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1</w:t>
            </w:r>
          </w:p>
        </w:tc>
      </w:tr>
      <w:tr w:rsidR="00000000" w:rsidRPr="0060384B" w14:paraId="63F84EAF" w14:textId="77777777">
        <w:trPr>
          <w:trHeight w:val="258"/>
        </w:trPr>
        <w:tc>
          <w:tcPr>
            <w:tcW w:w="6580" w:type="dxa"/>
            <w:shd w:val="clear" w:color="auto" w:fill="auto"/>
            <w:vAlign w:val="bottom"/>
          </w:tcPr>
          <w:p w14:paraId="01D94721"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780" w:type="dxa"/>
            <w:shd w:val="clear" w:color="auto" w:fill="auto"/>
            <w:vAlign w:val="bottom"/>
          </w:tcPr>
          <w:p w14:paraId="078A695A" w14:textId="77777777" w:rsidR="00000000" w:rsidRPr="0060384B" w:rsidRDefault="00CA5F6F">
            <w:pPr>
              <w:spacing w:line="0" w:lineRule="atLeast"/>
              <w:rPr>
                <w:rFonts w:ascii="Lato" w:eastAsia="Times New Roman" w:hAnsi="Lato"/>
                <w:color w:val="000000" w:themeColor="text1"/>
                <w:sz w:val="24"/>
                <w:szCs w:val="24"/>
              </w:rPr>
            </w:pPr>
          </w:p>
        </w:tc>
      </w:tr>
    </w:tbl>
    <w:p w14:paraId="47EF8ED9"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25" w:right="1440" w:bottom="0" w:left="1440" w:header="0" w:footer="0" w:gutter="0"/>
          <w:cols w:space="0" w:equalWidth="0">
            <w:col w:w="9360"/>
          </w:cols>
          <w:docGrid w:linePitch="360"/>
        </w:sectPr>
      </w:pPr>
    </w:p>
    <w:p w14:paraId="4C48048E" w14:textId="77777777" w:rsidR="00000000" w:rsidRPr="0060384B" w:rsidRDefault="00CA5F6F">
      <w:pPr>
        <w:numPr>
          <w:ilvl w:val="0"/>
          <w:numId w:val="2"/>
        </w:numPr>
        <w:tabs>
          <w:tab w:val="left" w:pos="720"/>
        </w:tabs>
        <w:spacing w:line="297" w:lineRule="auto"/>
        <w:ind w:left="720" w:right="260" w:hanging="360"/>
        <w:rPr>
          <w:rFonts w:ascii="Lato" w:eastAsia="Arial" w:hAnsi="Lato"/>
          <w:color w:val="000000" w:themeColor="text1"/>
          <w:sz w:val="24"/>
          <w:szCs w:val="24"/>
        </w:rPr>
      </w:pPr>
      <w:bookmarkStart w:id="4" w:name="page5"/>
      <w:bookmarkEnd w:id="4"/>
      <w:r w:rsidRPr="0060384B">
        <w:rPr>
          <w:rFonts w:ascii="Lato" w:hAnsi="Lato"/>
          <w:color w:val="000000" w:themeColor="text1"/>
          <w:sz w:val="24"/>
          <w:szCs w:val="24"/>
        </w:rPr>
        <w:lastRenderedPageBreak/>
        <w:t>Intensified and expanded research on care and services, fueled by the infusion of new funding</w:t>
      </w:r>
      <w:r w:rsidRPr="0060384B">
        <w:rPr>
          <w:rFonts w:ascii="Lato" w:hAnsi="Lato"/>
          <w:color w:val="000000" w:themeColor="text1"/>
          <w:sz w:val="24"/>
          <w:szCs w:val="24"/>
        </w:rPr>
        <w:t xml:space="preserve"> as well as the first National Research Summit on Dementia Care</w:t>
      </w:r>
    </w:p>
    <w:p w14:paraId="01E3A0BE" w14:textId="77777777" w:rsidR="00000000" w:rsidRPr="0060384B" w:rsidRDefault="00CA5F6F">
      <w:pPr>
        <w:spacing w:line="228" w:lineRule="exact"/>
        <w:rPr>
          <w:rFonts w:ascii="Lato" w:eastAsia="Times New Roman" w:hAnsi="Lato"/>
          <w:color w:val="000000" w:themeColor="text1"/>
          <w:sz w:val="24"/>
          <w:szCs w:val="24"/>
        </w:rPr>
      </w:pPr>
    </w:p>
    <w:p w14:paraId="149A54BF" w14:textId="77777777" w:rsidR="00000000" w:rsidRPr="0060384B" w:rsidRDefault="00CA5F6F">
      <w:pPr>
        <w:spacing w:line="279" w:lineRule="auto"/>
        <w:ind w:right="160"/>
        <w:rPr>
          <w:rFonts w:ascii="Lato" w:hAnsi="Lato"/>
          <w:color w:val="000000" w:themeColor="text1"/>
          <w:sz w:val="24"/>
          <w:szCs w:val="24"/>
        </w:rPr>
      </w:pPr>
      <w:r w:rsidRPr="0060384B">
        <w:rPr>
          <w:rFonts w:ascii="Lato" w:hAnsi="Lato"/>
          <w:color w:val="000000" w:themeColor="text1"/>
          <w:sz w:val="24"/>
          <w:szCs w:val="24"/>
        </w:rPr>
        <w:t>In the 4 years since our first Alzheimer</w:t>
      </w:r>
      <w:r w:rsidRPr="0060384B">
        <w:rPr>
          <w:rFonts w:ascii="Lato" w:hAnsi="Lato"/>
          <w:color w:val="000000" w:themeColor="text1"/>
          <w:sz w:val="24"/>
          <w:szCs w:val="24"/>
        </w:rPr>
        <w:t>’s disease and related dementias Bypass Budget and the 7 years since our first NIH Alzheimer</w:t>
      </w:r>
      <w:r w:rsidRPr="0060384B">
        <w:rPr>
          <w:rFonts w:ascii="Lato" w:hAnsi="Lato"/>
          <w:color w:val="000000" w:themeColor="text1"/>
          <w:sz w:val="24"/>
          <w:szCs w:val="24"/>
        </w:rPr>
        <w:t>’s Disease Research Summit and initial National Plan to Add</w:t>
      </w:r>
      <w:r w:rsidRPr="0060384B">
        <w:rPr>
          <w:rFonts w:ascii="Lato" w:hAnsi="Lato"/>
          <w:color w:val="000000" w:themeColor="text1"/>
          <w:sz w:val="24"/>
          <w:szCs w:val="24"/>
        </w:rPr>
        <w:t>ress these diseases</w:t>
      </w:r>
      <w:r w:rsidRPr="0060384B">
        <w:rPr>
          <w:rFonts w:ascii="Lato" w:hAnsi="Lato"/>
          <w:color w:val="000000" w:themeColor="text1"/>
          <w:sz w:val="24"/>
          <w:szCs w:val="24"/>
        </w:rPr>
        <w:t>—and through a number of summits since that time</w:t>
      </w:r>
      <w:r w:rsidRPr="0060384B">
        <w:rPr>
          <w:rFonts w:ascii="Lato" w:hAnsi="Lato"/>
          <w:color w:val="000000" w:themeColor="text1"/>
          <w:sz w:val="24"/>
          <w:szCs w:val="24"/>
        </w:rPr>
        <w:t>—we have made unparalleled progress in understanding the science of Alzheimer</w:t>
      </w:r>
      <w:r w:rsidRPr="0060384B">
        <w:rPr>
          <w:rFonts w:ascii="Lato" w:hAnsi="Lato"/>
          <w:color w:val="000000" w:themeColor="text1"/>
          <w:sz w:val="24"/>
          <w:szCs w:val="24"/>
        </w:rPr>
        <w:t xml:space="preserve">’s disease and related dementias as well as dementia care and services. Our two most recent summits resulted in </w:t>
      </w:r>
      <w:r w:rsidRPr="0060384B">
        <w:rPr>
          <w:rFonts w:ascii="Lato" w:hAnsi="Lato"/>
          <w:color w:val="000000" w:themeColor="text1"/>
          <w:sz w:val="24"/>
          <w:szCs w:val="24"/>
        </w:rPr>
        <w:t>nearly 100 additional recommendations to chart our course forward. Setting sail for new horizons requires continued investment.</w:t>
      </w:r>
    </w:p>
    <w:p w14:paraId="7FB1CDF2" w14:textId="77777777" w:rsidR="00000000" w:rsidRPr="0060384B" w:rsidRDefault="00CA5F6F">
      <w:pPr>
        <w:spacing w:line="254" w:lineRule="exact"/>
        <w:rPr>
          <w:rFonts w:ascii="Lato" w:eastAsia="Times New Roman" w:hAnsi="Lato"/>
          <w:color w:val="000000" w:themeColor="text1"/>
          <w:sz w:val="24"/>
          <w:szCs w:val="24"/>
        </w:rPr>
      </w:pPr>
    </w:p>
    <w:p w14:paraId="6336B459" w14:textId="77777777" w:rsidR="00000000" w:rsidRPr="0060384B" w:rsidRDefault="00CA5F6F">
      <w:pPr>
        <w:spacing w:line="291" w:lineRule="auto"/>
        <w:ind w:right="40"/>
        <w:rPr>
          <w:rFonts w:ascii="Lato" w:hAnsi="Lato"/>
          <w:color w:val="000000" w:themeColor="text1"/>
          <w:sz w:val="24"/>
          <w:szCs w:val="24"/>
        </w:rPr>
      </w:pPr>
      <w:r w:rsidRPr="0060384B">
        <w:rPr>
          <w:rFonts w:ascii="Lato" w:hAnsi="Lato"/>
          <w:color w:val="000000" w:themeColor="text1"/>
          <w:sz w:val="24"/>
          <w:szCs w:val="24"/>
        </w:rPr>
        <w:t>The FY 2021 Professional Judgment Alzheimer</w:t>
      </w:r>
      <w:r w:rsidRPr="0060384B">
        <w:rPr>
          <w:rFonts w:ascii="Lato" w:hAnsi="Lato"/>
          <w:color w:val="000000" w:themeColor="text1"/>
          <w:sz w:val="24"/>
          <w:szCs w:val="24"/>
        </w:rPr>
        <w:t>’s disease and related dementias budget estimate includes $354 million in additional</w:t>
      </w:r>
      <w:r w:rsidRPr="0060384B">
        <w:rPr>
          <w:rFonts w:ascii="Lato" w:hAnsi="Lato"/>
          <w:color w:val="000000" w:themeColor="text1"/>
          <w:sz w:val="24"/>
          <w:szCs w:val="24"/>
        </w:rPr>
        <w:t xml:space="preserve"> resources for new research, with the overall resources needed totaling $2.822 billion. To build this budget, NIH took into account multiple factors. First, the FY 2020 estimate for Alzheimer</w:t>
      </w:r>
      <w:r w:rsidRPr="0060384B">
        <w:rPr>
          <w:rFonts w:ascii="Lato" w:hAnsi="Lato"/>
          <w:color w:val="000000" w:themeColor="text1"/>
          <w:sz w:val="24"/>
          <w:szCs w:val="24"/>
        </w:rPr>
        <w:t>’s disease and related dementias spending, based on the President</w:t>
      </w:r>
      <w:r w:rsidRPr="0060384B">
        <w:rPr>
          <w:rFonts w:ascii="Lato" w:hAnsi="Lato"/>
          <w:color w:val="000000" w:themeColor="text1"/>
          <w:sz w:val="24"/>
          <w:szCs w:val="24"/>
        </w:rPr>
        <w:t>’s budget, is $326 million below the FY 2019 estimated (enacted) funding level. The FY 2021 estimate includes funding to compensate for this reduction and adds the $354 million noted above in additional resources needed for new research. As a result, the t</w:t>
      </w:r>
      <w:r w:rsidRPr="0060384B">
        <w:rPr>
          <w:rFonts w:ascii="Lato" w:hAnsi="Lato"/>
          <w:color w:val="000000" w:themeColor="text1"/>
          <w:sz w:val="24"/>
          <w:szCs w:val="24"/>
        </w:rPr>
        <w:t>otal FY 2021 Professional Judgment Budget is $680 million above the FY 2020 President</w:t>
      </w:r>
      <w:r w:rsidRPr="0060384B">
        <w:rPr>
          <w:rFonts w:ascii="Lato" w:hAnsi="Lato"/>
          <w:color w:val="000000" w:themeColor="text1"/>
          <w:sz w:val="24"/>
          <w:szCs w:val="24"/>
        </w:rPr>
        <w:t xml:space="preserve">’s budget. NIH also considered funding that is projected to become available after completion of previously funded research initiatives, and that is reflected in the $354 </w:t>
      </w:r>
      <w:r w:rsidRPr="0060384B">
        <w:rPr>
          <w:rFonts w:ascii="Lato" w:hAnsi="Lato"/>
          <w:color w:val="000000" w:themeColor="text1"/>
          <w:sz w:val="24"/>
          <w:szCs w:val="24"/>
        </w:rPr>
        <w:t>million estimate.</w:t>
      </w:r>
    </w:p>
    <w:p w14:paraId="44B1A8DA" w14:textId="77777777" w:rsidR="00000000" w:rsidRPr="0060384B" w:rsidRDefault="00CA5F6F">
      <w:pPr>
        <w:spacing w:line="246" w:lineRule="exact"/>
        <w:rPr>
          <w:rFonts w:ascii="Lato" w:eastAsia="Times New Roman" w:hAnsi="Lato"/>
          <w:color w:val="000000" w:themeColor="text1"/>
          <w:sz w:val="24"/>
          <w:szCs w:val="24"/>
        </w:rPr>
      </w:pPr>
    </w:p>
    <w:p w14:paraId="6EA789F6" w14:textId="77777777" w:rsidR="00000000" w:rsidRPr="0060384B" w:rsidRDefault="00CA5F6F">
      <w:pPr>
        <w:spacing w:line="279" w:lineRule="auto"/>
        <w:ind w:right="80"/>
        <w:rPr>
          <w:rFonts w:ascii="Lato" w:hAnsi="Lato"/>
          <w:color w:val="000000" w:themeColor="text1"/>
          <w:sz w:val="24"/>
          <w:szCs w:val="24"/>
        </w:rPr>
      </w:pPr>
      <w:r w:rsidRPr="0060384B">
        <w:rPr>
          <w:rFonts w:ascii="Lato" w:hAnsi="Lato"/>
          <w:color w:val="000000" w:themeColor="text1"/>
          <w:sz w:val="24"/>
          <w:szCs w:val="24"/>
        </w:rPr>
        <w:t>It is a challenging but critical time in Alzheimer</w:t>
      </w:r>
      <w:r w:rsidRPr="0060384B">
        <w:rPr>
          <w:rFonts w:ascii="Lato" w:hAnsi="Lato"/>
          <w:color w:val="000000" w:themeColor="text1"/>
          <w:sz w:val="24"/>
          <w:szCs w:val="24"/>
        </w:rPr>
        <w:t>’s disease and related dementias research. We must continue to expand upon intense efforts that are helping to unlock the mysteries and mechanisms of these devastating diseases. While the</w:t>
      </w:r>
      <w:r w:rsidRPr="0060384B">
        <w:rPr>
          <w:rFonts w:ascii="Lato" w:hAnsi="Lato"/>
          <w:color w:val="000000" w:themeColor="text1"/>
          <w:sz w:val="24"/>
          <w:szCs w:val="24"/>
        </w:rPr>
        <w:t xml:space="preserve"> path toward prevention and treatment continues to present complex challenges, we can now dare to think in terms of true precision medicine in the realm of Alzheimer</w:t>
      </w:r>
      <w:r w:rsidRPr="0060384B">
        <w:rPr>
          <w:rFonts w:ascii="Lato" w:hAnsi="Lato"/>
          <w:color w:val="000000" w:themeColor="text1"/>
          <w:sz w:val="24"/>
          <w:szCs w:val="24"/>
        </w:rPr>
        <w:t>’s disease and related dementias</w:t>
      </w:r>
      <w:r w:rsidRPr="0060384B">
        <w:rPr>
          <w:rFonts w:ascii="Lato" w:hAnsi="Lato"/>
          <w:color w:val="000000" w:themeColor="text1"/>
          <w:sz w:val="24"/>
          <w:szCs w:val="24"/>
        </w:rPr>
        <w:t>—the possibility of treating a specific person with the rig</w:t>
      </w:r>
      <w:r w:rsidRPr="0060384B">
        <w:rPr>
          <w:rFonts w:ascii="Lato" w:hAnsi="Lato"/>
          <w:color w:val="000000" w:themeColor="text1"/>
          <w:sz w:val="24"/>
          <w:szCs w:val="24"/>
        </w:rPr>
        <w:t>ht intervention at the right time. With continued commitment and support, we have a realistic hope of realizing that vision.</w:t>
      </w:r>
    </w:p>
    <w:p w14:paraId="2C64893F" w14:textId="77777777" w:rsidR="00000000" w:rsidRPr="0060384B" w:rsidRDefault="00CA5F6F">
      <w:pPr>
        <w:spacing w:line="254" w:lineRule="exact"/>
        <w:rPr>
          <w:rFonts w:ascii="Lato" w:eastAsia="Times New Roman" w:hAnsi="Lato"/>
          <w:color w:val="000000" w:themeColor="text1"/>
          <w:sz w:val="24"/>
          <w:szCs w:val="24"/>
        </w:rPr>
      </w:pPr>
    </w:p>
    <w:p w14:paraId="27F1F880"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Sincerely yours,</w:t>
      </w:r>
    </w:p>
    <w:p w14:paraId="08D70C56" w14:textId="1C60D84F" w:rsidR="00000000" w:rsidRPr="0060384B" w:rsidRDefault="00FB45BD">
      <w:pPr>
        <w:spacing w:line="20" w:lineRule="exact"/>
        <w:rPr>
          <w:rFonts w:ascii="Lato" w:eastAsia="Times New Roman" w:hAnsi="Lato"/>
          <w:color w:val="000000" w:themeColor="text1"/>
          <w:sz w:val="24"/>
          <w:szCs w:val="24"/>
        </w:rPr>
      </w:pPr>
      <w:r w:rsidRPr="0060384B">
        <w:rPr>
          <w:rFonts w:ascii="Lato" w:hAnsi="Lato"/>
          <w:noProof/>
          <w:color w:val="000000" w:themeColor="text1"/>
          <w:sz w:val="24"/>
          <w:szCs w:val="24"/>
        </w:rPr>
        <w:drawing>
          <wp:anchor distT="0" distB="0" distL="114300" distR="114300" simplePos="0" relativeHeight="251646464" behindDoc="1" locked="0" layoutInCell="1" allowOverlap="1" wp14:anchorId="2C57C434" wp14:editId="25006CF6">
            <wp:simplePos x="0" y="0"/>
            <wp:positionH relativeFrom="column">
              <wp:posOffset>0</wp:posOffset>
            </wp:positionH>
            <wp:positionV relativeFrom="paragraph">
              <wp:posOffset>189865</wp:posOffset>
            </wp:positionV>
            <wp:extent cx="2912110" cy="410845"/>
            <wp:effectExtent l="0" t="0" r="0" b="0"/>
            <wp:wrapNone/>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2110" cy="410845"/>
                    </a:xfrm>
                    <a:prstGeom prst="rect">
                      <a:avLst/>
                    </a:prstGeom>
                    <a:noFill/>
                  </pic:spPr>
                </pic:pic>
              </a:graphicData>
            </a:graphic>
            <wp14:sizeRelH relativeFrom="page">
              <wp14:pctWidth>0</wp14:pctWidth>
            </wp14:sizeRelH>
            <wp14:sizeRelV relativeFrom="page">
              <wp14:pctHeight>0</wp14:pctHeight>
            </wp14:sizeRelV>
          </wp:anchor>
        </w:drawing>
      </w:r>
    </w:p>
    <w:p w14:paraId="3D00FDCF" w14:textId="77777777" w:rsidR="00000000" w:rsidRPr="0060384B" w:rsidRDefault="00CA5F6F">
      <w:pPr>
        <w:spacing w:line="200" w:lineRule="exact"/>
        <w:rPr>
          <w:rFonts w:ascii="Lato" w:eastAsia="Times New Roman" w:hAnsi="Lato"/>
          <w:color w:val="000000" w:themeColor="text1"/>
          <w:sz w:val="24"/>
          <w:szCs w:val="24"/>
        </w:rPr>
      </w:pPr>
    </w:p>
    <w:p w14:paraId="6A15BB60" w14:textId="77777777" w:rsidR="00000000" w:rsidRPr="0060384B" w:rsidRDefault="00CA5F6F">
      <w:pPr>
        <w:spacing w:line="200" w:lineRule="exact"/>
        <w:rPr>
          <w:rFonts w:ascii="Lato" w:eastAsia="Times New Roman" w:hAnsi="Lato"/>
          <w:color w:val="000000" w:themeColor="text1"/>
          <w:sz w:val="24"/>
          <w:szCs w:val="24"/>
        </w:rPr>
      </w:pPr>
    </w:p>
    <w:p w14:paraId="5EC22F29" w14:textId="77777777" w:rsidR="00000000" w:rsidRPr="0060384B" w:rsidRDefault="00CA5F6F">
      <w:pPr>
        <w:spacing w:line="200" w:lineRule="exact"/>
        <w:rPr>
          <w:rFonts w:ascii="Lato" w:eastAsia="Times New Roman" w:hAnsi="Lato"/>
          <w:color w:val="000000" w:themeColor="text1"/>
          <w:sz w:val="24"/>
          <w:szCs w:val="24"/>
        </w:rPr>
      </w:pPr>
    </w:p>
    <w:p w14:paraId="5A981734" w14:textId="77777777" w:rsidR="00000000" w:rsidRPr="0060384B" w:rsidRDefault="00CA5F6F">
      <w:pPr>
        <w:spacing w:line="200" w:lineRule="exact"/>
        <w:rPr>
          <w:rFonts w:ascii="Lato" w:eastAsia="Times New Roman" w:hAnsi="Lato"/>
          <w:color w:val="000000" w:themeColor="text1"/>
          <w:sz w:val="24"/>
          <w:szCs w:val="24"/>
        </w:rPr>
      </w:pPr>
    </w:p>
    <w:p w14:paraId="17BF0188" w14:textId="77777777" w:rsidR="00000000" w:rsidRPr="0060384B" w:rsidRDefault="00CA5F6F">
      <w:pPr>
        <w:spacing w:line="399" w:lineRule="exact"/>
        <w:rPr>
          <w:rFonts w:ascii="Lato" w:eastAsia="Times New Roman" w:hAnsi="Lato"/>
          <w:color w:val="000000" w:themeColor="text1"/>
          <w:sz w:val="24"/>
          <w:szCs w:val="24"/>
        </w:rPr>
      </w:pPr>
    </w:p>
    <w:p w14:paraId="15AA7781"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Francis S. Collins, MD, PhD</w:t>
      </w:r>
    </w:p>
    <w:p w14:paraId="47B75313"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Director, National Institutes of Health</w:t>
      </w:r>
    </w:p>
    <w:p w14:paraId="5EFAD71E" w14:textId="77777777" w:rsidR="00000000" w:rsidRPr="0060384B" w:rsidRDefault="00CA5F6F">
      <w:pPr>
        <w:spacing w:line="0" w:lineRule="atLeast"/>
        <w:rPr>
          <w:rFonts w:ascii="Lato" w:hAnsi="Lato"/>
          <w:color w:val="000000" w:themeColor="text1"/>
          <w:sz w:val="24"/>
          <w:szCs w:val="24"/>
        </w:rPr>
        <w:sectPr w:rsidR="00000000" w:rsidRPr="0060384B">
          <w:pgSz w:w="12240" w:h="15840"/>
          <w:pgMar w:top="1148" w:right="1440" w:bottom="0" w:left="1440" w:header="0" w:footer="0" w:gutter="0"/>
          <w:cols w:space="0" w:equalWidth="0">
            <w:col w:w="9360"/>
          </w:cols>
          <w:docGrid w:linePitch="360"/>
        </w:sectPr>
      </w:pPr>
    </w:p>
    <w:p w14:paraId="581B8438" w14:textId="77777777" w:rsidR="00000000" w:rsidRPr="0060384B" w:rsidRDefault="00CA5F6F">
      <w:pPr>
        <w:spacing w:line="200" w:lineRule="exact"/>
        <w:rPr>
          <w:rFonts w:ascii="Lato" w:eastAsia="Times New Roman" w:hAnsi="Lato"/>
          <w:color w:val="000000" w:themeColor="text1"/>
          <w:sz w:val="24"/>
          <w:szCs w:val="24"/>
        </w:rPr>
      </w:pPr>
    </w:p>
    <w:p w14:paraId="32AC4EE2" w14:textId="77777777" w:rsidR="00000000" w:rsidRPr="0060384B" w:rsidRDefault="00CA5F6F">
      <w:pPr>
        <w:spacing w:line="200" w:lineRule="exact"/>
        <w:rPr>
          <w:rFonts w:ascii="Lato" w:eastAsia="Times New Roman" w:hAnsi="Lato"/>
          <w:color w:val="000000" w:themeColor="text1"/>
          <w:sz w:val="24"/>
          <w:szCs w:val="24"/>
        </w:rPr>
      </w:pPr>
    </w:p>
    <w:p w14:paraId="175AF538" w14:textId="77777777" w:rsidR="00000000" w:rsidRPr="0060384B" w:rsidRDefault="00CA5F6F">
      <w:pPr>
        <w:spacing w:line="200" w:lineRule="exact"/>
        <w:rPr>
          <w:rFonts w:ascii="Lato" w:eastAsia="Times New Roman" w:hAnsi="Lato"/>
          <w:color w:val="000000" w:themeColor="text1"/>
          <w:sz w:val="24"/>
          <w:szCs w:val="24"/>
        </w:rPr>
      </w:pPr>
    </w:p>
    <w:p w14:paraId="177E12E7" w14:textId="77777777" w:rsidR="00000000" w:rsidRPr="0060384B" w:rsidRDefault="00CA5F6F">
      <w:pPr>
        <w:spacing w:line="200" w:lineRule="exact"/>
        <w:rPr>
          <w:rFonts w:ascii="Lato" w:eastAsia="Times New Roman" w:hAnsi="Lato"/>
          <w:color w:val="000000" w:themeColor="text1"/>
          <w:sz w:val="24"/>
          <w:szCs w:val="24"/>
        </w:rPr>
      </w:pPr>
    </w:p>
    <w:p w14:paraId="5AA7EC2D" w14:textId="77777777" w:rsidR="00000000" w:rsidRPr="0060384B" w:rsidRDefault="00CA5F6F">
      <w:pPr>
        <w:spacing w:line="200" w:lineRule="exact"/>
        <w:rPr>
          <w:rFonts w:ascii="Lato" w:eastAsia="Times New Roman" w:hAnsi="Lato"/>
          <w:color w:val="000000" w:themeColor="text1"/>
          <w:sz w:val="24"/>
          <w:szCs w:val="24"/>
        </w:rPr>
      </w:pPr>
    </w:p>
    <w:p w14:paraId="771C6664" w14:textId="77777777" w:rsidR="00000000" w:rsidRPr="0060384B" w:rsidRDefault="00CA5F6F">
      <w:pPr>
        <w:spacing w:line="200" w:lineRule="exact"/>
        <w:rPr>
          <w:rFonts w:ascii="Lato" w:eastAsia="Times New Roman" w:hAnsi="Lato"/>
          <w:color w:val="000000" w:themeColor="text1"/>
          <w:sz w:val="24"/>
          <w:szCs w:val="24"/>
        </w:rPr>
      </w:pPr>
    </w:p>
    <w:p w14:paraId="179107B0" w14:textId="77777777" w:rsidR="00000000" w:rsidRPr="0060384B" w:rsidRDefault="00CA5F6F">
      <w:pPr>
        <w:spacing w:line="200" w:lineRule="exact"/>
        <w:rPr>
          <w:rFonts w:ascii="Lato" w:eastAsia="Times New Roman" w:hAnsi="Lato"/>
          <w:color w:val="000000" w:themeColor="text1"/>
          <w:sz w:val="24"/>
          <w:szCs w:val="24"/>
        </w:rPr>
      </w:pPr>
    </w:p>
    <w:p w14:paraId="31E09A12" w14:textId="77777777" w:rsidR="00000000" w:rsidRPr="0060384B" w:rsidRDefault="00CA5F6F">
      <w:pPr>
        <w:spacing w:line="382"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80"/>
        <w:gridCol w:w="2780"/>
      </w:tblGrid>
      <w:tr w:rsidR="00000000" w:rsidRPr="0060384B" w14:paraId="1566F7EA" w14:textId="77777777">
        <w:trPr>
          <w:trHeight w:val="245"/>
        </w:trPr>
        <w:tc>
          <w:tcPr>
            <w:tcW w:w="6580" w:type="dxa"/>
            <w:shd w:val="clear" w:color="auto" w:fill="auto"/>
            <w:vAlign w:val="bottom"/>
          </w:tcPr>
          <w:p w14:paraId="108361AF"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TOGETHER WE SUCCEED</w:t>
            </w:r>
          </w:p>
        </w:tc>
        <w:tc>
          <w:tcPr>
            <w:tcW w:w="2780" w:type="dxa"/>
            <w:shd w:val="clear" w:color="auto" w:fill="auto"/>
            <w:vAlign w:val="bottom"/>
          </w:tcPr>
          <w:p w14:paraId="1B473272"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2</w:t>
            </w:r>
          </w:p>
        </w:tc>
      </w:tr>
      <w:tr w:rsidR="00000000" w:rsidRPr="0060384B" w14:paraId="6DD717A3" w14:textId="77777777">
        <w:trPr>
          <w:trHeight w:val="258"/>
        </w:trPr>
        <w:tc>
          <w:tcPr>
            <w:tcW w:w="6580" w:type="dxa"/>
            <w:shd w:val="clear" w:color="auto" w:fill="auto"/>
            <w:vAlign w:val="bottom"/>
          </w:tcPr>
          <w:p w14:paraId="2A417DD6"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w:t>
            </w:r>
            <w:r w:rsidRPr="0060384B">
              <w:rPr>
                <w:rFonts w:ascii="Lato" w:hAnsi="Lato"/>
                <w:color w:val="000000" w:themeColor="text1"/>
                <w:sz w:val="24"/>
                <w:szCs w:val="24"/>
              </w:rPr>
              <w:t>pass Budget Proposal for Fiscal Year 2021</w:t>
            </w:r>
          </w:p>
        </w:tc>
        <w:tc>
          <w:tcPr>
            <w:tcW w:w="2780" w:type="dxa"/>
            <w:shd w:val="clear" w:color="auto" w:fill="auto"/>
            <w:vAlign w:val="bottom"/>
          </w:tcPr>
          <w:p w14:paraId="2D854C91" w14:textId="77777777" w:rsidR="00000000" w:rsidRPr="0060384B" w:rsidRDefault="00CA5F6F">
            <w:pPr>
              <w:spacing w:line="0" w:lineRule="atLeast"/>
              <w:rPr>
                <w:rFonts w:ascii="Lato" w:eastAsia="Times New Roman" w:hAnsi="Lato"/>
                <w:color w:val="000000" w:themeColor="text1"/>
                <w:sz w:val="24"/>
                <w:szCs w:val="24"/>
              </w:rPr>
            </w:pPr>
          </w:p>
        </w:tc>
      </w:tr>
    </w:tbl>
    <w:p w14:paraId="6FB2B48F"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48" w:right="1440" w:bottom="0" w:left="1440" w:header="0" w:footer="0" w:gutter="0"/>
          <w:cols w:space="0" w:equalWidth="0">
            <w:col w:w="9360"/>
          </w:cols>
          <w:docGrid w:linePitch="360"/>
        </w:sectPr>
      </w:pPr>
    </w:p>
    <w:p w14:paraId="35C5C4F7" w14:textId="77777777" w:rsidR="00000000" w:rsidRPr="0060384B" w:rsidRDefault="00CA5F6F">
      <w:pPr>
        <w:spacing w:line="0" w:lineRule="atLeast"/>
        <w:rPr>
          <w:rFonts w:ascii="Lato" w:hAnsi="Lato"/>
          <w:b/>
          <w:color w:val="000000" w:themeColor="text1"/>
          <w:sz w:val="24"/>
          <w:szCs w:val="24"/>
        </w:rPr>
      </w:pPr>
      <w:bookmarkStart w:id="5" w:name="page6"/>
      <w:bookmarkEnd w:id="5"/>
      <w:r w:rsidRPr="0060384B">
        <w:rPr>
          <w:rFonts w:ascii="Lato" w:hAnsi="Lato"/>
          <w:b/>
          <w:color w:val="000000" w:themeColor="text1"/>
          <w:sz w:val="24"/>
          <w:szCs w:val="24"/>
        </w:rPr>
        <w:lastRenderedPageBreak/>
        <w:t>INTRODUCTION</w:t>
      </w:r>
    </w:p>
    <w:p w14:paraId="7F220AAC" w14:textId="77777777" w:rsidR="00000000" w:rsidRPr="0060384B" w:rsidRDefault="00CA5F6F">
      <w:pPr>
        <w:spacing w:line="288" w:lineRule="exact"/>
        <w:rPr>
          <w:rFonts w:ascii="Lato" w:eastAsia="Times New Roman" w:hAnsi="Lato"/>
          <w:color w:val="000000" w:themeColor="text1"/>
          <w:sz w:val="24"/>
          <w:szCs w:val="24"/>
        </w:rPr>
      </w:pPr>
    </w:p>
    <w:p w14:paraId="58006B9C" w14:textId="77777777" w:rsidR="00000000" w:rsidRPr="0060384B" w:rsidRDefault="00CA5F6F">
      <w:pPr>
        <w:spacing w:line="0" w:lineRule="atLeast"/>
        <w:ind w:right="4740"/>
        <w:rPr>
          <w:rFonts w:ascii="Lato" w:hAnsi="Lato"/>
          <w:color w:val="000000" w:themeColor="text1"/>
          <w:sz w:val="24"/>
          <w:szCs w:val="24"/>
        </w:rPr>
      </w:pPr>
      <w:r w:rsidRPr="0060384B">
        <w:rPr>
          <w:rFonts w:ascii="Lato" w:hAnsi="Lato"/>
          <w:color w:val="000000" w:themeColor="text1"/>
          <w:sz w:val="24"/>
          <w:szCs w:val="24"/>
        </w:rPr>
        <w:t>The Nation</w:t>
      </w:r>
      <w:r w:rsidRPr="0060384B">
        <w:rPr>
          <w:rFonts w:ascii="Lato" w:hAnsi="Lato"/>
          <w:color w:val="000000" w:themeColor="text1"/>
          <w:sz w:val="24"/>
          <w:szCs w:val="24"/>
        </w:rPr>
        <w:t>’s Alzheimer</w:t>
      </w:r>
      <w:r w:rsidRPr="0060384B">
        <w:rPr>
          <w:rFonts w:ascii="Lato" w:hAnsi="Lato"/>
          <w:color w:val="000000" w:themeColor="text1"/>
          <w:sz w:val="24"/>
          <w:szCs w:val="24"/>
        </w:rPr>
        <w:t>’s disease and related dementias research program has never been more robust</w:t>
      </w:r>
      <w:r w:rsidRPr="0060384B">
        <w:rPr>
          <w:rFonts w:ascii="Lato" w:hAnsi="Lato"/>
          <w:color w:val="000000" w:themeColor="text1"/>
          <w:sz w:val="24"/>
          <w:szCs w:val="24"/>
        </w:rPr>
        <w:t>—or more promising. Thanks to recent, critical increases in congressional appropriations, the Natio</w:t>
      </w:r>
      <w:r w:rsidRPr="0060384B">
        <w:rPr>
          <w:rFonts w:ascii="Lato" w:hAnsi="Lato"/>
          <w:color w:val="000000" w:themeColor="text1"/>
          <w:sz w:val="24"/>
          <w:szCs w:val="24"/>
        </w:rPr>
        <w:t>nal Institutes of Health (NIH) investment in research for treatment, prevention, and care will surpass an estimated $2 billion in Fiscal Year (FY) 2019. This unprecedented support has brought tangible progress, revealing more clearly the mechanisms and mys</w:t>
      </w:r>
      <w:r w:rsidRPr="0060384B">
        <w:rPr>
          <w:rFonts w:ascii="Lato" w:hAnsi="Lato"/>
          <w:color w:val="000000" w:themeColor="text1"/>
          <w:sz w:val="24"/>
          <w:szCs w:val="24"/>
        </w:rPr>
        <w:t>teries of dementia. It has enabled us to develop and test novel and potentially more effective therapies at the</w:t>
      </w:r>
    </w:p>
    <w:p w14:paraId="232D14B8" w14:textId="38F5DD3B" w:rsidR="00000000" w:rsidRPr="0060384B" w:rsidRDefault="00FB45BD">
      <w:pPr>
        <w:spacing w:line="20" w:lineRule="exact"/>
        <w:rPr>
          <w:rFonts w:ascii="Lato" w:eastAsia="Times New Roman" w:hAnsi="Lato"/>
          <w:color w:val="000000" w:themeColor="text1"/>
          <w:sz w:val="24"/>
          <w:szCs w:val="24"/>
        </w:rPr>
      </w:pPr>
      <w:r w:rsidRPr="0060384B">
        <w:rPr>
          <w:rFonts w:ascii="Lato" w:hAnsi="Lato"/>
          <w:noProof/>
          <w:color w:val="000000" w:themeColor="text1"/>
          <w:sz w:val="24"/>
          <w:szCs w:val="24"/>
        </w:rPr>
        <w:drawing>
          <wp:anchor distT="0" distB="0" distL="114300" distR="114300" simplePos="0" relativeHeight="251647488" behindDoc="1" locked="0" layoutInCell="1" allowOverlap="1" wp14:anchorId="3E0EB750" wp14:editId="21FB18DF">
            <wp:simplePos x="0" y="0"/>
            <wp:positionH relativeFrom="column">
              <wp:posOffset>3045460</wp:posOffset>
            </wp:positionH>
            <wp:positionV relativeFrom="paragraph">
              <wp:posOffset>-2392680</wp:posOffset>
            </wp:positionV>
            <wp:extent cx="2898140" cy="2286000"/>
            <wp:effectExtent l="0" t="0" r="0" b="0"/>
            <wp:wrapNone/>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8140" cy="2286000"/>
                    </a:xfrm>
                    <a:prstGeom prst="rect">
                      <a:avLst/>
                    </a:prstGeom>
                    <a:noFill/>
                  </pic:spPr>
                </pic:pic>
              </a:graphicData>
            </a:graphic>
            <wp14:sizeRelH relativeFrom="page">
              <wp14:pctWidth>0</wp14:pctWidth>
            </wp14:sizeRelH>
            <wp14:sizeRelV relativeFrom="page">
              <wp14:pctHeight>0</wp14:pctHeight>
            </wp14:sizeRelV>
          </wp:anchor>
        </w:drawing>
      </w:r>
    </w:p>
    <w:p w14:paraId="1380908B" w14:textId="77777777" w:rsidR="00000000" w:rsidRPr="0060384B" w:rsidRDefault="00CA5F6F">
      <w:pPr>
        <w:spacing w:line="251" w:lineRule="auto"/>
        <w:ind w:right="420"/>
        <w:rPr>
          <w:rFonts w:ascii="Lato" w:hAnsi="Lato"/>
          <w:color w:val="000000" w:themeColor="text1"/>
          <w:sz w:val="24"/>
          <w:szCs w:val="24"/>
        </w:rPr>
      </w:pPr>
      <w:r w:rsidRPr="0060384B">
        <w:rPr>
          <w:rFonts w:ascii="Lato" w:hAnsi="Lato"/>
          <w:color w:val="000000" w:themeColor="text1"/>
          <w:sz w:val="24"/>
          <w:szCs w:val="24"/>
        </w:rPr>
        <w:t xml:space="preserve">earliest possible time, and greatly intensified the search for new and better ways to provide medical care and long-term support and services </w:t>
      </w:r>
      <w:r w:rsidRPr="0060384B">
        <w:rPr>
          <w:rFonts w:ascii="Lato" w:hAnsi="Lato"/>
          <w:color w:val="000000" w:themeColor="text1"/>
          <w:sz w:val="24"/>
          <w:szCs w:val="24"/>
        </w:rPr>
        <w:t>for people living with these devastating diseases, their families, and caregivers.</w:t>
      </w:r>
    </w:p>
    <w:p w14:paraId="4635D2BA" w14:textId="77777777" w:rsidR="00000000" w:rsidRPr="0060384B" w:rsidRDefault="00CA5F6F">
      <w:pPr>
        <w:spacing w:line="233" w:lineRule="exact"/>
        <w:rPr>
          <w:rFonts w:ascii="Lato" w:eastAsia="Times New Roman" w:hAnsi="Lato"/>
          <w:color w:val="000000" w:themeColor="text1"/>
          <w:sz w:val="24"/>
          <w:szCs w:val="24"/>
        </w:rPr>
      </w:pPr>
    </w:p>
    <w:p w14:paraId="19E2062F"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What</w:t>
      </w:r>
      <w:r w:rsidRPr="0060384B">
        <w:rPr>
          <w:rFonts w:ascii="Lato" w:hAnsi="Lato"/>
          <w:b/>
          <w:color w:val="000000" w:themeColor="text1"/>
          <w:sz w:val="24"/>
          <w:szCs w:val="24"/>
        </w:rPr>
        <w:t>’s at Stake</w:t>
      </w:r>
    </w:p>
    <w:p w14:paraId="0F140009" w14:textId="77777777" w:rsidR="00000000" w:rsidRPr="0060384B" w:rsidRDefault="00CA5F6F">
      <w:pPr>
        <w:spacing w:line="287" w:lineRule="exact"/>
        <w:rPr>
          <w:rFonts w:ascii="Lato" w:eastAsia="Times New Roman" w:hAnsi="Lato"/>
          <w:color w:val="000000" w:themeColor="text1"/>
          <w:sz w:val="24"/>
          <w:szCs w:val="24"/>
        </w:rPr>
      </w:pPr>
    </w:p>
    <w:p w14:paraId="0D520D46" w14:textId="77777777" w:rsidR="00000000" w:rsidRPr="0060384B" w:rsidRDefault="00CA5F6F">
      <w:pPr>
        <w:spacing w:line="242" w:lineRule="auto"/>
        <w:ind w:right="20"/>
        <w:rPr>
          <w:rFonts w:ascii="Lato" w:hAnsi="Lato"/>
          <w:color w:val="000000" w:themeColor="text1"/>
          <w:sz w:val="24"/>
          <w:szCs w:val="24"/>
        </w:rPr>
      </w:pPr>
      <w:r w:rsidRPr="0060384B">
        <w:rPr>
          <w:rFonts w:ascii="Lato" w:hAnsi="Lato"/>
          <w:color w:val="000000" w:themeColor="text1"/>
          <w:sz w:val="24"/>
          <w:szCs w:val="24"/>
        </w:rPr>
        <w:t>We are now able to undertake intensified, accelerated efforts to address the demographic and scientific challenges before us. As many as 5.6 million Americ</w:t>
      </w:r>
      <w:r w:rsidRPr="0060384B">
        <w:rPr>
          <w:rFonts w:ascii="Lato" w:hAnsi="Lato"/>
          <w:color w:val="000000" w:themeColor="text1"/>
          <w:sz w:val="24"/>
          <w:szCs w:val="24"/>
        </w:rPr>
        <w:t>ans age 65 and older are estimated to be living with Alzheimer</w:t>
      </w:r>
      <w:r w:rsidRPr="0060384B">
        <w:rPr>
          <w:rFonts w:ascii="Lato" w:hAnsi="Lato"/>
          <w:color w:val="000000" w:themeColor="text1"/>
          <w:sz w:val="24"/>
          <w:szCs w:val="24"/>
        </w:rPr>
        <w:t xml:space="preserve">’s disease, the most common form of dementia </w:t>
      </w:r>
      <w:hyperlink r:id="rId9" w:history="1">
        <w:r w:rsidRPr="0060384B">
          <w:rPr>
            <w:rFonts w:ascii="Lato" w:hAnsi="Lato"/>
            <w:color w:val="000000" w:themeColor="text1"/>
            <w:sz w:val="24"/>
            <w:szCs w:val="24"/>
          </w:rPr>
          <w:t>(</w:t>
        </w:r>
        <w:r w:rsidRPr="0060384B">
          <w:rPr>
            <w:rFonts w:ascii="Lato" w:hAnsi="Lato"/>
            <w:color w:val="000000" w:themeColor="text1"/>
            <w:sz w:val="24"/>
            <w:szCs w:val="24"/>
          </w:rPr>
          <w:t>Hebert et</w:t>
        </w:r>
      </w:hyperlink>
      <w:r w:rsidRPr="0060384B">
        <w:rPr>
          <w:rFonts w:ascii="Lato" w:hAnsi="Lato"/>
          <w:color w:val="000000" w:themeColor="text1"/>
          <w:sz w:val="24"/>
          <w:szCs w:val="24"/>
        </w:rPr>
        <w:t xml:space="preserve"> </w:t>
      </w:r>
      <w:hyperlink r:id="rId10" w:history="1">
        <w:r w:rsidRPr="0060384B">
          <w:rPr>
            <w:rFonts w:ascii="Lato" w:hAnsi="Lato"/>
            <w:color w:val="000000" w:themeColor="text1"/>
            <w:sz w:val="24"/>
            <w:szCs w:val="24"/>
          </w:rPr>
          <w:t>al., 2013</w:t>
        </w:r>
      </w:hyperlink>
      <w:r w:rsidRPr="0060384B">
        <w:rPr>
          <w:rFonts w:ascii="Lato" w:hAnsi="Lato"/>
          <w:color w:val="000000" w:themeColor="text1"/>
          <w:sz w:val="24"/>
          <w:szCs w:val="24"/>
        </w:rPr>
        <w:t>)</w:t>
      </w:r>
      <w:r w:rsidRPr="0060384B">
        <w:rPr>
          <w:rFonts w:ascii="Lato" w:hAnsi="Lato"/>
          <w:color w:val="000000" w:themeColor="text1"/>
          <w:sz w:val="24"/>
          <w:szCs w:val="24"/>
        </w:rPr>
        <w:t>. Many</w:t>
      </w:r>
      <w:r w:rsidRPr="0060384B">
        <w:rPr>
          <w:rFonts w:ascii="Lato" w:hAnsi="Lato"/>
          <w:color w:val="000000" w:themeColor="text1"/>
          <w:sz w:val="24"/>
          <w:szCs w:val="24"/>
        </w:rPr>
        <w:t xml:space="preserve"> more under age 65 are affected by frontotemporal dementia or genetic forms</w:t>
      </w:r>
      <w:r w:rsidRPr="0060384B">
        <w:rPr>
          <w:rFonts w:ascii="Lato" w:hAnsi="Lato"/>
          <w:color w:val="000000" w:themeColor="text1"/>
          <w:sz w:val="24"/>
          <w:szCs w:val="24"/>
        </w:rPr>
        <w:t xml:space="preserve"> </w:t>
      </w:r>
      <w:r w:rsidRPr="0060384B">
        <w:rPr>
          <w:rFonts w:ascii="Lato" w:hAnsi="Lato"/>
          <w:color w:val="000000" w:themeColor="text1"/>
          <w:sz w:val="24"/>
          <w:szCs w:val="24"/>
        </w:rPr>
        <w:t>of early- onset Alzheimer</w:t>
      </w:r>
      <w:r w:rsidRPr="0060384B">
        <w:rPr>
          <w:rFonts w:ascii="Lato" w:hAnsi="Lato"/>
          <w:color w:val="000000" w:themeColor="text1"/>
          <w:sz w:val="24"/>
          <w:szCs w:val="24"/>
        </w:rPr>
        <w:t>’s. Millions of people, some with and some without Alzheimer</w:t>
      </w:r>
      <w:r w:rsidRPr="0060384B">
        <w:rPr>
          <w:rFonts w:ascii="Lato" w:hAnsi="Lato"/>
          <w:color w:val="000000" w:themeColor="text1"/>
          <w:sz w:val="24"/>
          <w:szCs w:val="24"/>
        </w:rPr>
        <w:t xml:space="preserve">’s, are affected by vascular cognitive impairment/dementia, Lewy body dementia (LBD), or mixed </w:t>
      </w:r>
      <w:r w:rsidRPr="0060384B">
        <w:rPr>
          <w:rFonts w:ascii="Lato" w:hAnsi="Lato"/>
          <w:color w:val="000000" w:themeColor="text1"/>
          <w:sz w:val="24"/>
          <w:szCs w:val="24"/>
        </w:rPr>
        <w:t>forms of these diseases. This prevalence reflects an emerging consensus that mixed dementia is the rule rather than the exception. The Centers for Disease Control and Prevention ranks Alzheimer</w:t>
      </w:r>
      <w:r w:rsidRPr="0060384B">
        <w:rPr>
          <w:rFonts w:ascii="Lato" w:hAnsi="Lato"/>
          <w:color w:val="000000" w:themeColor="text1"/>
          <w:sz w:val="24"/>
          <w:szCs w:val="24"/>
        </w:rPr>
        <w:t>’s disease as the sixth leading cause of death among people age</w:t>
      </w:r>
      <w:r w:rsidRPr="0060384B">
        <w:rPr>
          <w:rFonts w:ascii="Lato" w:hAnsi="Lato"/>
          <w:color w:val="000000" w:themeColor="text1"/>
          <w:sz w:val="24"/>
          <w:szCs w:val="24"/>
        </w:rPr>
        <w:t xml:space="preserve"> 65 and older and third for those age 85 and above </w:t>
      </w:r>
      <w:hyperlink r:id="rId11" w:history="1">
        <w:r w:rsidRPr="0060384B">
          <w:rPr>
            <w:rFonts w:ascii="Lato" w:hAnsi="Lato"/>
            <w:color w:val="000000" w:themeColor="text1"/>
            <w:sz w:val="24"/>
            <w:szCs w:val="24"/>
          </w:rPr>
          <w:t>(</w:t>
        </w:r>
        <w:r w:rsidRPr="0060384B">
          <w:rPr>
            <w:rFonts w:ascii="Lato" w:hAnsi="Lato"/>
            <w:color w:val="000000" w:themeColor="text1"/>
            <w:sz w:val="24"/>
            <w:szCs w:val="24"/>
          </w:rPr>
          <w:t>Heron, 2018</w:t>
        </w:r>
      </w:hyperlink>
      <w:r w:rsidRPr="0060384B">
        <w:rPr>
          <w:rFonts w:ascii="Lato" w:hAnsi="Lato"/>
          <w:color w:val="000000" w:themeColor="text1"/>
          <w:sz w:val="24"/>
          <w:szCs w:val="24"/>
        </w:rPr>
        <w:t>).</w:t>
      </w:r>
    </w:p>
    <w:p w14:paraId="1FD3EC28" w14:textId="77777777" w:rsidR="00000000" w:rsidRPr="0060384B" w:rsidRDefault="00CA5F6F">
      <w:pPr>
        <w:spacing w:line="257" w:lineRule="exact"/>
        <w:rPr>
          <w:rFonts w:ascii="Lato" w:hAnsi="Lato"/>
          <w:color w:val="000000" w:themeColor="text1"/>
          <w:sz w:val="24"/>
          <w:szCs w:val="24"/>
        </w:rPr>
      </w:pPr>
    </w:p>
    <w:p w14:paraId="20177713" w14:textId="77777777" w:rsidR="00000000" w:rsidRPr="0060384B" w:rsidRDefault="00CA5F6F">
      <w:pPr>
        <w:spacing w:line="242" w:lineRule="auto"/>
        <w:rPr>
          <w:rFonts w:ascii="Lato" w:hAnsi="Lato"/>
          <w:color w:val="000000" w:themeColor="text1"/>
          <w:sz w:val="24"/>
          <w:szCs w:val="24"/>
        </w:rPr>
      </w:pPr>
      <w:r w:rsidRPr="0060384B">
        <w:rPr>
          <w:rFonts w:ascii="Lato" w:hAnsi="Lato"/>
          <w:color w:val="000000" w:themeColor="text1"/>
          <w:sz w:val="24"/>
          <w:szCs w:val="24"/>
        </w:rPr>
        <w:t>Several large population studies suggest that the percentage of older people with dementia, including Alzheimer</w:t>
      </w:r>
      <w:r w:rsidRPr="0060384B">
        <w:rPr>
          <w:rFonts w:ascii="Lato" w:hAnsi="Lato"/>
          <w:color w:val="000000" w:themeColor="text1"/>
          <w:sz w:val="24"/>
          <w:szCs w:val="24"/>
        </w:rPr>
        <w:t>’s dis</w:t>
      </w:r>
      <w:r w:rsidRPr="0060384B">
        <w:rPr>
          <w:rFonts w:ascii="Lato" w:hAnsi="Lato"/>
          <w:color w:val="000000" w:themeColor="text1"/>
          <w:sz w:val="24"/>
          <w:szCs w:val="24"/>
        </w:rPr>
        <w:t>ease, has been declining, possibly as a result of higher levels of educational attainment and better high blood pressure treatment, two risk factors for dementia. However, millions of Americans remain at risk. The absolute numbers of affected individuals w</w:t>
      </w:r>
      <w:r w:rsidRPr="0060384B">
        <w:rPr>
          <w:rFonts w:ascii="Lato" w:hAnsi="Lato"/>
          <w:color w:val="000000" w:themeColor="text1"/>
          <w:sz w:val="24"/>
          <w:szCs w:val="24"/>
        </w:rPr>
        <w:t>ill continue to rise in the coming decades (</w:t>
      </w:r>
      <w:hyperlink r:id="rId12" w:history="1">
        <w:r w:rsidRPr="0060384B">
          <w:rPr>
            <w:rFonts w:ascii="Lato" w:hAnsi="Lato"/>
            <w:color w:val="000000" w:themeColor="text1"/>
            <w:sz w:val="24"/>
            <w:szCs w:val="24"/>
          </w:rPr>
          <w:t>Larson et al., 2013</w:t>
        </w:r>
      </w:hyperlink>
      <w:r w:rsidRPr="0060384B">
        <w:rPr>
          <w:rFonts w:ascii="Lato" w:hAnsi="Lato"/>
          <w:color w:val="000000" w:themeColor="text1"/>
          <w:sz w:val="24"/>
          <w:szCs w:val="24"/>
        </w:rPr>
        <w:t xml:space="preserve">) as the number of </w:t>
      </w:r>
      <w:r w:rsidRPr="0060384B">
        <w:rPr>
          <w:rFonts w:ascii="Lato" w:hAnsi="Lato"/>
          <w:color w:val="000000" w:themeColor="text1"/>
          <w:sz w:val="24"/>
          <w:szCs w:val="24"/>
        </w:rPr>
        <w:t>“oldest old</w:t>
      </w:r>
      <w:r w:rsidRPr="0060384B">
        <w:rPr>
          <w:rFonts w:ascii="Lato" w:hAnsi="Lato"/>
          <w:color w:val="000000" w:themeColor="text1"/>
          <w:sz w:val="24"/>
          <w:szCs w:val="24"/>
        </w:rPr>
        <w:t>”</w:t>
      </w:r>
      <w:r w:rsidRPr="0060384B">
        <w:rPr>
          <w:rFonts w:ascii="Lato" w:hAnsi="Lato"/>
          <w:color w:val="000000" w:themeColor="text1"/>
          <w:sz w:val="24"/>
          <w:szCs w:val="24"/>
        </w:rPr>
        <w:t>—people age 85 and older, who are at the highest risk of dementia</w:t>
      </w:r>
      <w:r w:rsidRPr="0060384B">
        <w:rPr>
          <w:rFonts w:ascii="Lato" w:hAnsi="Lato"/>
          <w:color w:val="000000" w:themeColor="text1"/>
          <w:sz w:val="24"/>
          <w:szCs w:val="24"/>
        </w:rPr>
        <w:t>—continues to climb. The gr</w:t>
      </w:r>
      <w:r w:rsidRPr="0060384B">
        <w:rPr>
          <w:rFonts w:ascii="Lato" w:hAnsi="Lato"/>
          <w:color w:val="000000" w:themeColor="text1"/>
          <w:sz w:val="24"/>
          <w:szCs w:val="24"/>
        </w:rPr>
        <w:t xml:space="preserve">owth of this age group is expected to accelerate with the continued aging of the population, increasing from approximately 5.8 million in 2010 to 19 million in 2050 </w:t>
      </w:r>
      <w:hyperlink r:id="rId13" w:history="1">
        <w:r w:rsidRPr="0060384B">
          <w:rPr>
            <w:rFonts w:ascii="Lato" w:hAnsi="Lato"/>
            <w:color w:val="000000" w:themeColor="text1"/>
            <w:sz w:val="24"/>
            <w:szCs w:val="24"/>
          </w:rPr>
          <w:t>(</w:t>
        </w:r>
        <w:r w:rsidRPr="0060384B">
          <w:rPr>
            <w:rFonts w:ascii="Lato" w:hAnsi="Lato"/>
            <w:color w:val="000000" w:themeColor="text1"/>
            <w:sz w:val="24"/>
            <w:szCs w:val="24"/>
          </w:rPr>
          <w:t>Vincent and</w:t>
        </w:r>
      </w:hyperlink>
      <w:r w:rsidRPr="0060384B">
        <w:rPr>
          <w:rFonts w:ascii="Lato" w:hAnsi="Lato"/>
          <w:color w:val="000000" w:themeColor="text1"/>
          <w:sz w:val="24"/>
          <w:szCs w:val="24"/>
        </w:rPr>
        <w:t xml:space="preserve"> </w:t>
      </w:r>
      <w:hyperlink r:id="rId14" w:history="1">
        <w:r w:rsidRPr="0060384B">
          <w:rPr>
            <w:rFonts w:ascii="Lato" w:hAnsi="Lato"/>
            <w:color w:val="000000" w:themeColor="text1"/>
            <w:sz w:val="24"/>
            <w:szCs w:val="24"/>
          </w:rPr>
          <w:t>Velkoff, 2010</w:t>
        </w:r>
      </w:hyperlink>
      <w:r w:rsidRPr="0060384B">
        <w:rPr>
          <w:rFonts w:ascii="Lato" w:hAnsi="Lato"/>
          <w:color w:val="000000" w:themeColor="text1"/>
          <w:sz w:val="24"/>
          <w:szCs w:val="24"/>
        </w:rPr>
        <w:t>)</w:t>
      </w:r>
      <w:r w:rsidRPr="0060384B">
        <w:rPr>
          <w:rFonts w:ascii="Lato" w:hAnsi="Lato"/>
          <w:color w:val="000000" w:themeColor="text1"/>
          <w:sz w:val="24"/>
          <w:szCs w:val="24"/>
        </w:rPr>
        <w:t>. At the same time, health conditions that often emerge at midlife and are known</w:t>
      </w:r>
      <w:r w:rsidRPr="0060384B">
        <w:rPr>
          <w:rFonts w:ascii="Lato" w:hAnsi="Lato"/>
          <w:color w:val="000000" w:themeColor="text1"/>
          <w:sz w:val="24"/>
          <w:szCs w:val="24"/>
        </w:rPr>
        <w:t xml:space="preserve"> </w:t>
      </w:r>
      <w:r w:rsidRPr="0060384B">
        <w:rPr>
          <w:rFonts w:ascii="Lato" w:hAnsi="Lato"/>
          <w:color w:val="000000" w:themeColor="text1"/>
          <w:sz w:val="24"/>
          <w:szCs w:val="24"/>
        </w:rPr>
        <w:t xml:space="preserve">risk factors for later development </w:t>
      </w:r>
      <w:r w:rsidRPr="0060384B">
        <w:rPr>
          <w:rFonts w:ascii="Lato" w:hAnsi="Lato"/>
          <w:color w:val="000000" w:themeColor="text1"/>
          <w:sz w:val="24"/>
          <w:szCs w:val="24"/>
        </w:rPr>
        <w:t xml:space="preserve">of dementia, such as uncontrolled hypertension and diabetes, also remain common </w:t>
      </w:r>
      <w:hyperlink r:id="rId15" w:history="1">
        <w:r w:rsidRPr="0060384B">
          <w:rPr>
            <w:rFonts w:ascii="Lato" w:hAnsi="Lato"/>
            <w:color w:val="000000" w:themeColor="text1"/>
            <w:sz w:val="24"/>
            <w:szCs w:val="24"/>
          </w:rPr>
          <w:t>(</w:t>
        </w:r>
        <w:r w:rsidRPr="0060384B">
          <w:rPr>
            <w:rFonts w:ascii="Lato" w:hAnsi="Lato"/>
            <w:color w:val="000000" w:themeColor="text1"/>
            <w:sz w:val="24"/>
            <w:szCs w:val="24"/>
          </w:rPr>
          <w:t>Barnes and Yaffe, 2011</w:t>
        </w:r>
      </w:hyperlink>
      <w:r w:rsidRPr="0060384B">
        <w:rPr>
          <w:rFonts w:ascii="Lato" w:hAnsi="Lato"/>
          <w:color w:val="000000" w:themeColor="text1"/>
          <w:sz w:val="24"/>
          <w:szCs w:val="24"/>
        </w:rPr>
        <w:t>).</w:t>
      </w:r>
    </w:p>
    <w:p w14:paraId="3F3FE4C0" w14:textId="77777777" w:rsidR="00000000" w:rsidRPr="0060384B" w:rsidRDefault="00CA5F6F">
      <w:pPr>
        <w:spacing w:line="242" w:lineRule="auto"/>
        <w:rPr>
          <w:rFonts w:ascii="Lato" w:hAnsi="Lato"/>
          <w:color w:val="000000" w:themeColor="text1"/>
          <w:sz w:val="24"/>
          <w:szCs w:val="24"/>
        </w:rPr>
        <w:sectPr w:rsidR="00000000" w:rsidRPr="0060384B">
          <w:pgSz w:w="12240" w:h="15840"/>
          <w:pgMar w:top="1125" w:right="1440" w:bottom="0" w:left="1440" w:header="0" w:footer="0" w:gutter="0"/>
          <w:cols w:space="0" w:equalWidth="0">
            <w:col w:w="9360"/>
          </w:cols>
          <w:docGrid w:linePitch="360"/>
        </w:sectPr>
      </w:pPr>
    </w:p>
    <w:p w14:paraId="11377338" w14:textId="77777777" w:rsidR="00000000" w:rsidRPr="0060384B" w:rsidRDefault="00CA5F6F">
      <w:pPr>
        <w:spacing w:line="200" w:lineRule="exact"/>
        <w:rPr>
          <w:rFonts w:ascii="Lato" w:hAnsi="Lato"/>
          <w:color w:val="000000" w:themeColor="text1"/>
          <w:sz w:val="24"/>
          <w:szCs w:val="24"/>
        </w:rPr>
      </w:pPr>
    </w:p>
    <w:p w14:paraId="174BDA2D" w14:textId="77777777" w:rsidR="00000000" w:rsidRPr="0060384B" w:rsidRDefault="00CA5F6F">
      <w:pPr>
        <w:spacing w:line="200" w:lineRule="exact"/>
        <w:rPr>
          <w:rFonts w:ascii="Lato" w:hAnsi="Lato"/>
          <w:color w:val="000000" w:themeColor="text1"/>
          <w:sz w:val="24"/>
          <w:szCs w:val="24"/>
        </w:rPr>
      </w:pPr>
    </w:p>
    <w:p w14:paraId="53FDB7FA" w14:textId="77777777" w:rsidR="00000000" w:rsidRPr="0060384B" w:rsidRDefault="00CA5F6F">
      <w:pPr>
        <w:spacing w:line="200" w:lineRule="exact"/>
        <w:rPr>
          <w:rFonts w:ascii="Lato" w:hAnsi="Lato"/>
          <w:color w:val="000000" w:themeColor="text1"/>
          <w:sz w:val="24"/>
          <w:szCs w:val="24"/>
        </w:rPr>
      </w:pPr>
    </w:p>
    <w:p w14:paraId="4787E489" w14:textId="77777777" w:rsidR="00000000" w:rsidRPr="0060384B" w:rsidRDefault="00CA5F6F">
      <w:pPr>
        <w:spacing w:line="200" w:lineRule="exact"/>
        <w:rPr>
          <w:rFonts w:ascii="Lato" w:hAnsi="Lato"/>
          <w:color w:val="000000" w:themeColor="text1"/>
          <w:sz w:val="24"/>
          <w:szCs w:val="24"/>
        </w:rPr>
      </w:pPr>
    </w:p>
    <w:p w14:paraId="43573921" w14:textId="77777777" w:rsidR="00000000" w:rsidRPr="0060384B" w:rsidRDefault="00CA5F6F">
      <w:pPr>
        <w:spacing w:line="252" w:lineRule="exact"/>
        <w:rPr>
          <w:rFonts w:ascii="Lato"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80"/>
        <w:gridCol w:w="2780"/>
      </w:tblGrid>
      <w:tr w:rsidR="00000000" w:rsidRPr="0060384B" w14:paraId="6359E12D" w14:textId="77777777">
        <w:trPr>
          <w:trHeight w:val="245"/>
        </w:trPr>
        <w:tc>
          <w:tcPr>
            <w:tcW w:w="6580" w:type="dxa"/>
            <w:shd w:val="clear" w:color="auto" w:fill="auto"/>
            <w:vAlign w:val="bottom"/>
          </w:tcPr>
          <w:p w14:paraId="04378D45"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780" w:type="dxa"/>
            <w:shd w:val="clear" w:color="auto" w:fill="auto"/>
            <w:vAlign w:val="bottom"/>
          </w:tcPr>
          <w:p w14:paraId="62334138"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3</w:t>
            </w:r>
          </w:p>
        </w:tc>
      </w:tr>
      <w:tr w:rsidR="00000000" w:rsidRPr="0060384B" w14:paraId="5DC14BBD" w14:textId="77777777">
        <w:trPr>
          <w:trHeight w:val="258"/>
        </w:trPr>
        <w:tc>
          <w:tcPr>
            <w:tcW w:w="6580" w:type="dxa"/>
            <w:shd w:val="clear" w:color="auto" w:fill="auto"/>
            <w:vAlign w:val="bottom"/>
          </w:tcPr>
          <w:p w14:paraId="0A206167"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NIH Bypass Budget Proposal for Fiscal Year 2021</w:t>
            </w:r>
          </w:p>
        </w:tc>
        <w:tc>
          <w:tcPr>
            <w:tcW w:w="2780" w:type="dxa"/>
            <w:shd w:val="clear" w:color="auto" w:fill="auto"/>
            <w:vAlign w:val="bottom"/>
          </w:tcPr>
          <w:p w14:paraId="17456F08" w14:textId="77777777" w:rsidR="00000000" w:rsidRPr="0060384B" w:rsidRDefault="00CA5F6F">
            <w:pPr>
              <w:spacing w:line="0" w:lineRule="atLeast"/>
              <w:rPr>
                <w:rFonts w:ascii="Lato" w:eastAsia="Times New Roman" w:hAnsi="Lato"/>
                <w:color w:val="000000" w:themeColor="text1"/>
                <w:sz w:val="24"/>
                <w:szCs w:val="24"/>
              </w:rPr>
            </w:pPr>
          </w:p>
        </w:tc>
      </w:tr>
    </w:tbl>
    <w:p w14:paraId="5B837696"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25" w:right="1440" w:bottom="0" w:left="1440" w:header="0" w:footer="0" w:gutter="0"/>
          <w:cols w:space="0" w:equalWidth="0">
            <w:col w:w="9360"/>
          </w:cols>
          <w:docGrid w:linePitch="360"/>
        </w:sectPr>
      </w:pPr>
    </w:p>
    <w:p w14:paraId="5D694C08" w14:textId="77777777" w:rsidR="00000000" w:rsidRPr="0060384B" w:rsidRDefault="00CA5F6F">
      <w:pPr>
        <w:spacing w:line="243" w:lineRule="auto"/>
        <w:ind w:right="40"/>
        <w:rPr>
          <w:rFonts w:ascii="Lato" w:hAnsi="Lato"/>
          <w:color w:val="000000" w:themeColor="text1"/>
          <w:sz w:val="24"/>
          <w:szCs w:val="24"/>
        </w:rPr>
      </w:pPr>
      <w:bookmarkStart w:id="6" w:name="page7"/>
      <w:bookmarkEnd w:id="6"/>
      <w:r w:rsidRPr="0060384B">
        <w:rPr>
          <w:rFonts w:ascii="Lato" w:hAnsi="Lato"/>
          <w:color w:val="000000" w:themeColor="text1"/>
          <w:sz w:val="24"/>
          <w:szCs w:val="24"/>
        </w:rPr>
        <w:lastRenderedPageBreak/>
        <w:t>The impac</w:t>
      </w:r>
      <w:r w:rsidRPr="0060384B">
        <w:rPr>
          <w:rFonts w:ascii="Lato" w:hAnsi="Lato"/>
          <w:color w:val="000000" w:themeColor="text1"/>
          <w:sz w:val="24"/>
          <w:szCs w:val="24"/>
        </w:rPr>
        <w:t>t on families and caregivers, who provide much of the care for people with dementia, is of utmost concern. While caregivers may find the experience to be deeply rewarding, they can also feel exhausted, overwhelmed, isolated, and/or distressed at the mental</w:t>
      </w:r>
      <w:r w:rsidRPr="0060384B">
        <w:rPr>
          <w:rFonts w:ascii="Lato" w:hAnsi="Lato"/>
          <w:color w:val="000000" w:themeColor="text1"/>
          <w:sz w:val="24"/>
          <w:szCs w:val="24"/>
        </w:rPr>
        <w:t>, emotional, physical, and behavioral aspects of providing care. NIH- supported investigators estimate that family caregivers spend an average of around 92 hours per month</w:t>
      </w:r>
      <w:r w:rsidRPr="0060384B">
        <w:rPr>
          <w:rFonts w:ascii="Lato" w:hAnsi="Lato"/>
          <w:color w:val="000000" w:themeColor="text1"/>
          <w:sz w:val="24"/>
          <w:szCs w:val="24"/>
        </w:rPr>
        <w:t>—the equivalent of more than 2 full work weeks</w:t>
      </w:r>
      <w:r w:rsidRPr="0060384B">
        <w:rPr>
          <w:rFonts w:ascii="Lato" w:hAnsi="Lato"/>
          <w:color w:val="000000" w:themeColor="text1"/>
          <w:sz w:val="24"/>
          <w:szCs w:val="24"/>
        </w:rPr>
        <w:t>—on in-home caregiving of adults ages 6</w:t>
      </w:r>
      <w:r w:rsidRPr="0060384B">
        <w:rPr>
          <w:rFonts w:ascii="Lato" w:hAnsi="Lato"/>
          <w:color w:val="000000" w:themeColor="text1"/>
          <w:sz w:val="24"/>
          <w:szCs w:val="24"/>
        </w:rPr>
        <w:t xml:space="preserve">5 and older with dementia. For spouses, that figure rises to about 145 hours per month </w:t>
      </w:r>
      <w:hyperlink r:id="rId16" w:history="1">
        <w:r w:rsidRPr="0060384B">
          <w:rPr>
            <w:rFonts w:ascii="Lato" w:hAnsi="Lato"/>
            <w:color w:val="000000" w:themeColor="text1"/>
            <w:sz w:val="24"/>
            <w:szCs w:val="24"/>
          </w:rPr>
          <w:t>(</w:t>
        </w:r>
        <w:r w:rsidRPr="0060384B">
          <w:rPr>
            <w:rFonts w:ascii="Lato" w:hAnsi="Lato"/>
            <w:color w:val="000000" w:themeColor="text1"/>
            <w:sz w:val="24"/>
            <w:szCs w:val="24"/>
          </w:rPr>
          <w:t>Kasper et al., 2015</w:t>
        </w:r>
      </w:hyperlink>
      <w:r w:rsidRPr="0060384B">
        <w:rPr>
          <w:rFonts w:ascii="Lato" w:hAnsi="Lato"/>
          <w:color w:val="000000" w:themeColor="text1"/>
          <w:sz w:val="24"/>
          <w:szCs w:val="24"/>
        </w:rPr>
        <w:t>).</w:t>
      </w:r>
    </w:p>
    <w:p w14:paraId="2B96AC32" w14:textId="77777777" w:rsidR="00000000" w:rsidRPr="0060384B" w:rsidRDefault="00CA5F6F">
      <w:pPr>
        <w:spacing w:line="254" w:lineRule="exact"/>
        <w:rPr>
          <w:rFonts w:ascii="Lato" w:eastAsia="Times New Roman" w:hAnsi="Lato"/>
          <w:color w:val="000000" w:themeColor="text1"/>
          <w:sz w:val="24"/>
          <w:szCs w:val="24"/>
        </w:rPr>
      </w:pPr>
    </w:p>
    <w:p w14:paraId="4E58B31C" w14:textId="77777777" w:rsidR="00000000" w:rsidRPr="0060384B" w:rsidRDefault="00CA5F6F">
      <w:pPr>
        <w:spacing w:line="244" w:lineRule="auto"/>
        <w:rPr>
          <w:rFonts w:ascii="Lato" w:hAnsi="Lato"/>
          <w:color w:val="000000" w:themeColor="text1"/>
          <w:sz w:val="24"/>
          <w:szCs w:val="24"/>
        </w:rPr>
      </w:pPr>
      <w:r w:rsidRPr="0060384B">
        <w:rPr>
          <w:rFonts w:ascii="Lato" w:hAnsi="Lato"/>
          <w:color w:val="000000" w:themeColor="text1"/>
          <w:sz w:val="24"/>
          <w:szCs w:val="24"/>
        </w:rPr>
        <w:t>The financial costs of dementia care are among the highest for any disease. In the l</w:t>
      </w:r>
      <w:r w:rsidRPr="0060384B">
        <w:rPr>
          <w:rFonts w:ascii="Lato" w:hAnsi="Lato"/>
          <w:color w:val="000000" w:themeColor="text1"/>
          <w:sz w:val="24"/>
          <w:szCs w:val="24"/>
        </w:rPr>
        <w:t>ast 5 years of life, total health care spending for people with dementia was 57 percent greater than the costs associated with other diseases, including cancer and heart disease. This analysis, by NIH-supported researchers, estimated total health care spen</w:t>
      </w:r>
      <w:r w:rsidRPr="0060384B">
        <w:rPr>
          <w:rFonts w:ascii="Lato" w:hAnsi="Lato"/>
          <w:color w:val="000000" w:themeColor="text1"/>
          <w:sz w:val="24"/>
          <w:szCs w:val="24"/>
        </w:rPr>
        <w:t xml:space="preserve">ding at $287,000 for those with probable dementia and $183,000 for those with other diseases, including heart disease and cancer </w:t>
      </w:r>
      <w:hyperlink r:id="rId17" w:history="1">
        <w:r w:rsidRPr="0060384B">
          <w:rPr>
            <w:rFonts w:ascii="Lato" w:hAnsi="Lato"/>
            <w:color w:val="000000" w:themeColor="text1"/>
            <w:sz w:val="24"/>
            <w:szCs w:val="24"/>
          </w:rPr>
          <w:t>(</w:t>
        </w:r>
        <w:r w:rsidRPr="0060384B">
          <w:rPr>
            <w:rFonts w:ascii="Lato" w:hAnsi="Lato"/>
            <w:color w:val="000000" w:themeColor="text1"/>
            <w:sz w:val="24"/>
            <w:szCs w:val="24"/>
          </w:rPr>
          <w:t>Kelley et al., 2015</w:t>
        </w:r>
      </w:hyperlink>
      <w:r w:rsidRPr="0060384B">
        <w:rPr>
          <w:rFonts w:ascii="Lato" w:hAnsi="Lato"/>
          <w:color w:val="000000" w:themeColor="text1"/>
          <w:sz w:val="24"/>
          <w:szCs w:val="24"/>
        </w:rPr>
        <w:t>).</w:t>
      </w:r>
    </w:p>
    <w:p w14:paraId="3BDC14CF" w14:textId="77777777" w:rsidR="00000000" w:rsidRPr="0060384B" w:rsidRDefault="00CA5F6F">
      <w:pPr>
        <w:spacing w:line="247" w:lineRule="exact"/>
        <w:rPr>
          <w:rFonts w:ascii="Lato" w:eastAsia="Times New Roman" w:hAnsi="Lato"/>
          <w:color w:val="000000" w:themeColor="text1"/>
          <w:sz w:val="24"/>
          <w:szCs w:val="24"/>
        </w:rPr>
      </w:pPr>
    </w:p>
    <w:p w14:paraId="051728A9"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Planning for Prevention, Treatment, and Ca</w:t>
      </w:r>
      <w:r w:rsidRPr="0060384B">
        <w:rPr>
          <w:rFonts w:ascii="Lato" w:hAnsi="Lato"/>
          <w:b/>
          <w:color w:val="000000" w:themeColor="text1"/>
          <w:sz w:val="24"/>
          <w:szCs w:val="24"/>
        </w:rPr>
        <w:t>re</w:t>
      </w:r>
    </w:p>
    <w:p w14:paraId="647F9E9A" w14:textId="77777777" w:rsidR="00000000" w:rsidRPr="0060384B" w:rsidRDefault="00CA5F6F">
      <w:pPr>
        <w:spacing w:line="284" w:lineRule="exact"/>
        <w:rPr>
          <w:rFonts w:ascii="Lato" w:eastAsia="Times New Roman" w:hAnsi="Lato"/>
          <w:color w:val="000000" w:themeColor="text1"/>
          <w:sz w:val="24"/>
          <w:szCs w:val="24"/>
        </w:rPr>
      </w:pPr>
    </w:p>
    <w:p w14:paraId="0EF47787" w14:textId="77777777" w:rsidR="00000000" w:rsidRPr="0060384B" w:rsidRDefault="00CA5F6F">
      <w:pPr>
        <w:spacing w:line="243" w:lineRule="auto"/>
        <w:rPr>
          <w:rFonts w:ascii="Lato" w:hAnsi="Lato"/>
          <w:color w:val="000000" w:themeColor="text1"/>
          <w:sz w:val="24"/>
          <w:szCs w:val="24"/>
        </w:rPr>
      </w:pPr>
      <w:r w:rsidRPr="0060384B">
        <w:rPr>
          <w:rFonts w:ascii="Lato" w:hAnsi="Lato"/>
          <w:color w:val="000000" w:themeColor="text1"/>
          <w:sz w:val="24"/>
          <w:szCs w:val="24"/>
        </w:rPr>
        <w:t>As more individuals, families, health care providers, and communities experienced the epidemic of Alzheimer</w:t>
      </w:r>
      <w:r w:rsidRPr="0060384B">
        <w:rPr>
          <w:rFonts w:ascii="Lato" w:hAnsi="Lato"/>
          <w:color w:val="000000" w:themeColor="text1"/>
          <w:sz w:val="24"/>
          <w:szCs w:val="24"/>
        </w:rPr>
        <w:t xml:space="preserve">’s and related dementias, the Nation took notice. In 2011, the </w:t>
      </w:r>
      <w:hyperlink r:id="rId18" w:history="1">
        <w:r w:rsidRPr="0060384B">
          <w:rPr>
            <w:rFonts w:ascii="Lato" w:hAnsi="Lato"/>
            <w:color w:val="000000" w:themeColor="text1"/>
            <w:sz w:val="24"/>
            <w:szCs w:val="24"/>
          </w:rPr>
          <w:t xml:space="preserve">National </w:t>
        </w:r>
        <w:r w:rsidRPr="0060384B">
          <w:rPr>
            <w:rFonts w:ascii="Lato" w:hAnsi="Lato"/>
            <w:color w:val="000000" w:themeColor="text1"/>
            <w:sz w:val="24"/>
            <w:szCs w:val="24"/>
          </w:rPr>
          <w:t>Alzheimer</w:t>
        </w:r>
        <w:r w:rsidRPr="0060384B">
          <w:rPr>
            <w:rFonts w:ascii="Lato" w:hAnsi="Lato"/>
            <w:color w:val="000000" w:themeColor="text1"/>
            <w:sz w:val="24"/>
            <w:szCs w:val="24"/>
          </w:rPr>
          <w:t>’s</w:t>
        </w:r>
      </w:hyperlink>
      <w:r w:rsidRPr="0060384B">
        <w:rPr>
          <w:rFonts w:ascii="Lato" w:hAnsi="Lato"/>
          <w:color w:val="000000" w:themeColor="text1"/>
          <w:sz w:val="24"/>
          <w:szCs w:val="24"/>
        </w:rPr>
        <w:t xml:space="preserve"> </w:t>
      </w:r>
      <w:hyperlink r:id="rId19" w:history="1">
        <w:r w:rsidRPr="0060384B">
          <w:rPr>
            <w:rFonts w:ascii="Lato" w:hAnsi="Lato"/>
            <w:color w:val="000000" w:themeColor="text1"/>
            <w:sz w:val="24"/>
            <w:szCs w:val="24"/>
          </w:rPr>
          <w:t>Project Act</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(NAPA)</w:t>
      </w:r>
      <w:r w:rsidRPr="0060384B">
        <w:rPr>
          <w:rFonts w:ascii="Lato" w:hAnsi="Lato"/>
          <w:color w:val="000000" w:themeColor="text1"/>
          <w:sz w:val="24"/>
          <w:szCs w:val="24"/>
        </w:rPr>
        <w:t xml:space="preserve"> </w:t>
      </w:r>
      <w:r w:rsidRPr="0060384B">
        <w:rPr>
          <w:rFonts w:ascii="Lato" w:hAnsi="Lato"/>
          <w:color w:val="000000" w:themeColor="text1"/>
          <w:sz w:val="24"/>
          <w:szCs w:val="24"/>
        </w:rPr>
        <w:t>became law. It declared prevention, treatment, and care to be a priority for</w:t>
      </w:r>
      <w:r w:rsidRPr="0060384B">
        <w:rPr>
          <w:rFonts w:ascii="Lato" w:hAnsi="Lato"/>
          <w:color w:val="000000" w:themeColor="text1"/>
          <w:sz w:val="24"/>
          <w:szCs w:val="24"/>
        </w:rPr>
        <w:t xml:space="preserve"> </w:t>
      </w:r>
      <w:r w:rsidRPr="0060384B">
        <w:rPr>
          <w:rFonts w:ascii="Lato" w:hAnsi="Lato"/>
          <w:color w:val="000000" w:themeColor="text1"/>
          <w:sz w:val="24"/>
          <w:szCs w:val="24"/>
        </w:rPr>
        <w:t xml:space="preserve">the United States and ordered creation of a </w:t>
      </w:r>
      <w:hyperlink r:id="rId20" w:history="1">
        <w:r w:rsidRPr="0060384B">
          <w:rPr>
            <w:rFonts w:ascii="Lato" w:hAnsi="Lato"/>
            <w:color w:val="000000" w:themeColor="text1"/>
            <w:sz w:val="24"/>
            <w:szCs w:val="24"/>
          </w:rPr>
          <w:t>National Plan to Address Alzheimer</w:t>
        </w:r>
        <w:r w:rsidRPr="0060384B">
          <w:rPr>
            <w:rFonts w:ascii="Lato" w:hAnsi="Lato"/>
            <w:color w:val="000000" w:themeColor="text1"/>
            <w:sz w:val="24"/>
            <w:szCs w:val="24"/>
          </w:rPr>
          <w:t>’s Disease</w:t>
        </w:r>
        <w:r w:rsidRPr="0060384B">
          <w:rPr>
            <w:rFonts w:ascii="Lato" w:hAnsi="Lato"/>
            <w:color w:val="000000" w:themeColor="text1"/>
            <w:sz w:val="24"/>
            <w:szCs w:val="24"/>
          </w:rPr>
          <w:t xml:space="preserve"> . </w:t>
        </w:r>
      </w:hyperlink>
      <w:r w:rsidRPr="0060384B">
        <w:rPr>
          <w:rFonts w:ascii="Lato" w:hAnsi="Lato"/>
          <w:color w:val="000000" w:themeColor="text1"/>
          <w:sz w:val="24"/>
          <w:szCs w:val="24"/>
        </w:rPr>
        <w:t>Later, as part of the FY 2015 appropriations act, Congress further mandated that NIH prepare a Professional Judgment Budget for Alzheimer</w:t>
      </w:r>
      <w:r w:rsidRPr="0060384B">
        <w:rPr>
          <w:rFonts w:ascii="Lato" w:hAnsi="Lato"/>
          <w:color w:val="000000" w:themeColor="text1"/>
          <w:sz w:val="24"/>
          <w:szCs w:val="24"/>
        </w:rPr>
        <w:t>’s and related dementi</w:t>
      </w:r>
      <w:r w:rsidRPr="0060384B">
        <w:rPr>
          <w:rFonts w:ascii="Lato" w:hAnsi="Lato"/>
          <w:color w:val="000000" w:themeColor="text1"/>
          <w:sz w:val="24"/>
          <w:szCs w:val="24"/>
        </w:rPr>
        <w:t>as for each fiscal year through 2025 to calculate the funding necessary to meet the research goals of the National Plan.</w:t>
      </w:r>
    </w:p>
    <w:p w14:paraId="539A3A01" w14:textId="77777777" w:rsidR="00000000" w:rsidRPr="0060384B" w:rsidRDefault="00CA5F6F">
      <w:pPr>
        <w:spacing w:line="250" w:lineRule="exact"/>
        <w:rPr>
          <w:rFonts w:ascii="Lato" w:hAnsi="Lato"/>
          <w:color w:val="000000" w:themeColor="text1"/>
          <w:sz w:val="24"/>
          <w:szCs w:val="24"/>
        </w:rPr>
      </w:pPr>
    </w:p>
    <w:p w14:paraId="5EB00889" w14:textId="77777777" w:rsidR="00000000" w:rsidRPr="0060384B" w:rsidRDefault="00CA5F6F">
      <w:pPr>
        <w:spacing w:line="245" w:lineRule="auto"/>
        <w:ind w:right="100"/>
        <w:rPr>
          <w:rFonts w:ascii="Lato" w:hAnsi="Lato"/>
          <w:color w:val="000000" w:themeColor="text1"/>
          <w:sz w:val="24"/>
          <w:szCs w:val="24"/>
        </w:rPr>
      </w:pPr>
      <w:r w:rsidRPr="0060384B">
        <w:rPr>
          <w:rFonts w:ascii="Lato" w:hAnsi="Lato"/>
          <w:color w:val="000000" w:themeColor="text1"/>
          <w:sz w:val="24"/>
          <w:szCs w:val="24"/>
        </w:rPr>
        <w:t>The first National Plan was released in 2012 by the Secretary of Health and Human Services, based on contributions by a range of publi</w:t>
      </w:r>
      <w:r w:rsidRPr="0060384B">
        <w:rPr>
          <w:rFonts w:ascii="Lato" w:hAnsi="Lato"/>
          <w:color w:val="000000" w:themeColor="text1"/>
          <w:sz w:val="24"/>
          <w:szCs w:val="24"/>
        </w:rPr>
        <w:t>c and private stakeholders. It articulated an accelerated and collaborative mission to find effective ways to treat or prevent dementia by 2025 and to improve clinical care and long-term care services and support. The National Plan is updated annually.</w:t>
      </w:r>
    </w:p>
    <w:p w14:paraId="2244573F" w14:textId="77777777" w:rsidR="00000000" w:rsidRPr="0060384B" w:rsidRDefault="00CA5F6F">
      <w:pPr>
        <w:spacing w:line="249" w:lineRule="exact"/>
        <w:rPr>
          <w:rFonts w:ascii="Lato" w:hAnsi="Lato"/>
          <w:color w:val="000000" w:themeColor="text1"/>
          <w:sz w:val="24"/>
          <w:szCs w:val="24"/>
        </w:rPr>
      </w:pPr>
    </w:p>
    <w:p w14:paraId="32D3DFCF" w14:textId="77777777" w:rsidR="00000000" w:rsidRPr="0060384B" w:rsidRDefault="00CA5F6F">
      <w:pPr>
        <w:spacing w:line="241" w:lineRule="auto"/>
        <w:ind w:right="40"/>
        <w:rPr>
          <w:rFonts w:ascii="Lato" w:hAnsi="Lato"/>
          <w:color w:val="000000" w:themeColor="text1"/>
          <w:sz w:val="24"/>
          <w:szCs w:val="24"/>
        </w:rPr>
      </w:pPr>
      <w:r w:rsidRPr="0060384B">
        <w:rPr>
          <w:rFonts w:ascii="Lato" w:hAnsi="Lato"/>
          <w:color w:val="000000" w:themeColor="text1"/>
          <w:sz w:val="24"/>
          <w:szCs w:val="24"/>
        </w:rPr>
        <w:t>NI</w:t>
      </w:r>
      <w:r w:rsidRPr="0060384B">
        <w:rPr>
          <w:rFonts w:ascii="Lato" w:hAnsi="Lato"/>
          <w:color w:val="000000" w:themeColor="text1"/>
          <w:sz w:val="24"/>
          <w:szCs w:val="24"/>
        </w:rPr>
        <w:t>H played an essential role in the overall Plan</w:t>
      </w:r>
      <w:r w:rsidRPr="0060384B">
        <w:rPr>
          <w:rFonts w:ascii="Lato" w:hAnsi="Lato"/>
          <w:color w:val="000000" w:themeColor="text1"/>
          <w:sz w:val="24"/>
          <w:szCs w:val="24"/>
        </w:rPr>
        <w:t>’s development and now takes the lead in planning and implementing its research goals. To that end, NIH has put in place a formal and inclusive strategic planning process. This effort relies on formal and infor</w:t>
      </w:r>
      <w:r w:rsidRPr="0060384B">
        <w:rPr>
          <w:rFonts w:ascii="Lato" w:hAnsi="Lato"/>
          <w:color w:val="000000" w:themeColor="text1"/>
          <w:sz w:val="24"/>
          <w:szCs w:val="24"/>
        </w:rPr>
        <w:t xml:space="preserve">mal communications and conferences with the scientific, medical, and care communities, as well as with individuals living with dementia, formal and informal caregivers, health care providers, advocates, regulators, and others. Major international research </w:t>
      </w:r>
      <w:r w:rsidRPr="0060384B">
        <w:rPr>
          <w:rFonts w:ascii="Lato" w:hAnsi="Lato"/>
          <w:color w:val="000000" w:themeColor="text1"/>
          <w:sz w:val="24"/>
          <w:szCs w:val="24"/>
        </w:rPr>
        <w:t>summits hosted by NIH are a primary planning resource. They focus on 1) treatment and prevention of Alzheimer</w:t>
      </w:r>
      <w:r w:rsidRPr="0060384B">
        <w:rPr>
          <w:rFonts w:ascii="Lato" w:hAnsi="Lato"/>
          <w:color w:val="000000" w:themeColor="text1"/>
          <w:sz w:val="24"/>
          <w:szCs w:val="24"/>
        </w:rPr>
        <w:t>’s disease, 2) treatment and prevention of Alzheimer</w:t>
      </w:r>
      <w:r w:rsidRPr="0060384B">
        <w:rPr>
          <w:rFonts w:ascii="Lato" w:hAnsi="Lato"/>
          <w:color w:val="000000" w:themeColor="text1"/>
          <w:sz w:val="24"/>
          <w:szCs w:val="24"/>
        </w:rPr>
        <w:t>’s disease-related dementias (ADRD), including vascular cognitive impairment/dementia, LBD, and</w:t>
      </w:r>
      <w:r w:rsidRPr="0060384B">
        <w:rPr>
          <w:rFonts w:ascii="Lato" w:hAnsi="Lato"/>
          <w:color w:val="000000" w:themeColor="text1"/>
          <w:sz w:val="24"/>
          <w:szCs w:val="24"/>
        </w:rPr>
        <w:t xml:space="preserve"> frontotemporal disorders, and 3) better approaches to care, services, and support. In a 3-year rotation by topic, the research summits are held annually. Participating experts provide recommendations, which reflect extensive summit-related discussion and </w:t>
      </w:r>
      <w:r w:rsidRPr="0060384B">
        <w:rPr>
          <w:rFonts w:ascii="Lato" w:hAnsi="Lato"/>
          <w:color w:val="000000" w:themeColor="text1"/>
          <w:sz w:val="24"/>
          <w:szCs w:val="24"/>
        </w:rPr>
        <w:t>input from a wide range of stakeholders, to guide future Alzheimer</w:t>
      </w:r>
      <w:r w:rsidRPr="0060384B">
        <w:rPr>
          <w:rFonts w:ascii="Lato" w:hAnsi="Lato"/>
          <w:color w:val="000000" w:themeColor="text1"/>
          <w:sz w:val="24"/>
          <w:szCs w:val="24"/>
        </w:rPr>
        <w:t>’s and related dementias research efforts.</w:t>
      </w:r>
    </w:p>
    <w:p w14:paraId="053DCC76" w14:textId="77777777" w:rsidR="00000000" w:rsidRPr="0060384B" w:rsidRDefault="00CA5F6F">
      <w:pPr>
        <w:spacing w:line="241" w:lineRule="auto"/>
        <w:ind w:right="4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2ED9908D" w14:textId="77777777" w:rsidR="00000000" w:rsidRPr="0060384B" w:rsidRDefault="00CA5F6F">
      <w:pPr>
        <w:spacing w:line="200" w:lineRule="exact"/>
        <w:rPr>
          <w:rFonts w:ascii="Lato" w:hAnsi="Lato"/>
          <w:color w:val="000000" w:themeColor="text1"/>
          <w:sz w:val="24"/>
          <w:szCs w:val="24"/>
        </w:rPr>
      </w:pPr>
    </w:p>
    <w:p w14:paraId="6B8B4836" w14:textId="77777777" w:rsidR="00000000" w:rsidRPr="0060384B" w:rsidRDefault="00CA5F6F">
      <w:pPr>
        <w:spacing w:line="200" w:lineRule="exact"/>
        <w:rPr>
          <w:rFonts w:ascii="Lato" w:hAnsi="Lato"/>
          <w:color w:val="000000" w:themeColor="text1"/>
          <w:sz w:val="24"/>
          <w:szCs w:val="24"/>
        </w:rPr>
      </w:pPr>
    </w:p>
    <w:p w14:paraId="595E3B66" w14:textId="77777777" w:rsidR="00000000" w:rsidRPr="0060384B" w:rsidRDefault="00CA5F6F">
      <w:pPr>
        <w:spacing w:line="238" w:lineRule="exact"/>
        <w:rPr>
          <w:rFonts w:ascii="Lato"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80"/>
        <w:gridCol w:w="2780"/>
      </w:tblGrid>
      <w:tr w:rsidR="00000000" w:rsidRPr="0060384B" w14:paraId="66600EBD" w14:textId="77777777">
        <w:trPr>
          <w:trHeight w:val="245"/>
        </w:trPr>
        <w:tc>
          <w:tcPr>
            <w:tcW w:w="6580" w:type="dxa"/>
            <w:shd w:val="clear" w:color="auto" w:fill="auto"/>
            <w:vAlign w:val="bottom"/>
          </w:tcPr>
          <w:p w14:paraId="0F199498"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780" w:type="dxa"/>
            <w:shd w:val="clear" w:color="auto" w:fill="auto"/>
            <w:vAlign w:val="bottom"/>
          </w:tcPr>
          <w:p w14:paraId="63664B35"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4</w:t>
            </w:r>
          </w:p>
        </w:tc>
      </w:tr>
      <w:tr w:rsidR="00000000" w:rsidRPr="0060384B" w14:paraId="1C339AA5" w14:textId="77777777">
        <w:trPr>
          <w:trHeight w:val="258"/>
        </w:trPr>
        <w:tc>
          <w:tcPr>
            <w:tcW w:w="6580" w:type="dxa"/>
            <w:shd w:val="clear" w:color="auto" w:fill="auto"/>
            <w:vAlign w:val="bottom"/>
          </w:tcPr>
          <w:p w14:paraId="0E224460"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NIH Bypass Budget Proposal for Fiscal Year 2021</w:t>
            </w:r>
          </w:p>
        </w:tc>
        <w:tc>
          <w:tcPr>
            <w:tcW w:w="2780" w:type="dxa"/>
            <w:shd w:val="clear" w:color="auto" w:fill="auto"/>
            <w:vAlign w:val="bottom"/>
          </w:tcPr>
          <w:p w14:paraId="53A5D6F0" w14:textId="77777777" w:rsidR="00000000" w:rsidRPr="0060384B" w:rsidRDefault="00CA5F6F">
            <w:pPr>
              <w:spacing w:line="0" w:lineRule="atLeast"/>
              <w:rPr>
                <w:rFonts w:ascii="Lato" w:eastAsia="Times New Roman" w:hAnsi="Lato"/>
                <w:color w:val="000000" w:themeColor="text1"/>
                <w:sz w:val="24"/>
                <w:szCs w:val="24"/>
              </w:rPr>
            </w:pPr>
          </w:p>
        </w:tc>
      </w:tr>
    </w:tbl>
    <w:p w14:paraId="02C05D2C"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28C3216D" w14:textId="77777777" w:rsidR="00000000" w:rsidRPr="0060384B" w:rsidRDefault="00CA5F6F">
      <w:pPr>
        <w:spacing w:line="243" w:lineRule="auto"/>
        <w:ind w:right="40"/>
        <w:rPr>
          <w:rFonts w:ascii="Lato" w:hAnsi="Lato"/>
          <w:color w:val="000000" w:themeColor="text1"/>
          <w:sz w:val="24"/>
          <w:szCs w:val="24"/>
        </w:rPr>
      </w:pPr>
      <w:bookmarkStart w:id="7" w:name="page8"/>
      <w:bookmarkEnd w:id="7"/>
      <w:r w:rsidRPr="0060384B">
        <w:rPr>
          <w:rFonts w:ascii="Lato" w:hAnsi="Lato"/>
          <w:color w:val="000000" w:themeColor="text1"/>
          <w:sz w:val="24"/>
          <w:szCs w:val="24"/>
        </w:rPr>
        <w:lastRenderedPageBreak/>
        <w:t>All of these activities, including the summit recommendations, inform</w:t>
      </w:r>
      <w:r w:rsidRPr="0060384B">
        <w:rPr>
          <w:rFonts w:ascii="Lato" w:hAnsi="Lato"/>
          <w:color w:val="000000" w:themeColor="text1"/>
          <w:sz w:val="24"/>
          <w:szCs w:val="24"/>
        </w:rPr>
        <w:t xml:space="preserve"> research implementation milestones, which show in detail how NIH intends to meet the goals of the National Plan and what has been achieved so far. Planning and implementation are led by the </w:t>
      </w:r>
      <w:hyperlink r:id="rId21" w:history="1">
        <w:r w:rsidRPr="0060384B">
          <w:rPr>
            <w:rFonts w:ascii="Lato" w:hAnsi="Lato"/>
            <w:color w:val="000000" w:themeColor="text1"/>
            <w:sz w:val="24"/>
            <w:szCs w:val="24"/>
          </w:rPr>
          <w:t>National Institute</w:t>
        </w:r>
      </w:hyperlink>
      <w:r w:rsidRPr="0060384B">
        <w:rPr>
          <w:rFonts w:ascii="Lato" w:hAnsi="Lato"/>
          <w:color w:val="000000" w:themeColor="text1"/>
          <w:sz w:val="24"/>
          <w:szCs w:val="24"/>
        </w:rPr>
        <w:t xml:space="preserve"> </w:t>
      </w:r>
      <w:hyperlink r:id="rId22" w:history="1">
        <w:r w:rsidRPr="0060384B">
          <w:rPr>
            <w:rFonts w:ascii="Lato" w:hAnsi="Lato"/>
            <w:color w:val="000000" w:themeColor="text1"/>
            <w:sz w:val="24"/>
            <w:szCs w:val="24"/>
          </w:rPr>
          <w:t>on Aging</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(NIA),</w:t>
      </w:r>
      <w:r w:rsidRPr="0060384B">
        <w:rPr>
          <w:rFonts w:ascii="Lato" w:hAnsi="Lato"/>
          <w:color w:val="000000" w:themeColor="text1"/>
          <w:sz w:val="24"/>
          <w:szCs w:val="24"/>
        </w:rPr>
        <w:t xml:space="preserve"> </w:t>
      </w:r>
      <w:r w:rsidRPr="0060384B">
        <w:rPr>
          <w:rFonts w:ascii="Lato" w:hAnsi="Lato"/>
          <w:color w:val="000000" w:themeColor="text1"/>
          <w:sz w:val="24"/>
          <w:szCs w:val="24"/>
        </w:rPr>
        <w:t>the primary NIH institute for the study of Alzheimer</w:t>
      </w:r>
      <w:r w:rsidRPr="0060384B">
        <w:rPr>
          <w:rFonts w:ascii="Lato" w:hAnsi="Lato"/>
          <w:color w:val="000000" w:themeColor="text1"/>
          <w:sz w:val="24"/>
          <w:szCs w:val="24"/>
        </w:rPr>
        <w:t>’s disease and age-related</w:t>
      </w:r>
      <w:r w:rsidRPr="0060384B">
        <w:rPr>
          <w:rFonts w:ascii="Lato" w:hAnsi="Lato"/>
          <w:color w:val="000000" w:themeColor="text1"/>
          <w:sz w:val="24"/>
          <w:szCs w:val="24"/>
        </w:rPr>
        <w:t xml:space="preserve"> </w:t>
      </w:r>
      <w:r w:rsidRPr="0060384B">
        <w:rPr>
          <w:rFonts w:ascii="Lato" w:hAnsi="Lato"/>
          <w:color w:val="000000" w:themeColor="text1"/>
          <w:sz w:val="24"/>
          <w:szCs w:val="24"/>
        </w:rPr>
        <w:t xml:space="preserve">cognitive change, and the </w:t>
      </w:r>
      <w:hyperlink r:id="rId23" w:history="1">
        <w:r w:rsidRPr="0060384B">
          <w:rPr>
            <w:rFonts w:ascii="Lato" w:hAnsi="Lato"/>
            <w:color w:val="000000" w:themeColor="text1"/>
            <w:sz w:val="24"/>
            <w:szCs w:val="24"/>
          </w:rPr>
          <w:t>National Institute of Neurological Disorders and Stroke</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which focuses its dementia research on Alzheimer</w:t>
      </w:r>
      <w:r w:rsidRPr="0060384B">
        <w:rPr>
          <w:rFonts w:ascii="Lato" w:hAnsi="Lato"/>
          <w:color w:val="000000" w:themeColor="text1"/>
          <w:sz w:val="24"/>
          <w:szCs w:val="24"/>
        </w:rPr>
        <w:t>’s disease-related dementias. A broader trans-NIH group of institutes and centers collaborates to bring all potentially relevant NIH programs into the fight against Alzheimer</w:t>
      </w:r>
      <w:r w:rsidRPr="0060384B">
        <w:rPr>
          <w:rFonts w:ascii="Lato" w:hAnsi="Lato"/>
          <w:color w:val="000000" w:themeColor="text1"/>
          <w:sz w:val="24"/>
          <w:szCs w:val="24"/>
        </w:rPr>
        <w:t>’s and related dementias.</w:t>
      </w:r>
    </w:p>
    <w:p w14:paraId="60E60E2B" w14:textId="77777777" w:rsidR="00000000" w:rsidRPr="0060384B" w:rsidRDefault="00CA5F6F">
      <w:pPr>
        <w:spacing w:line="250" w:lineRule="exact"/>
        <w:rPr>
          <w:rFonts w:ascii="Lato" w:hAnsi="Lato"/>
          <w:color w:val="000000" w:themeColor="text1"/>
          <w:sz w:val="24"/>
          <w:szCs w:val="24"/>
        </w:rPr>
      </w:pPr>
    </w:p>
    <w:p w14:paraId="74BA619B" w14:textId="77777777" w:rsidR="00000000" w:rsidRPr="0060384B" w:rsidRDefault="00CA5F6F">
      <w:pPr>
        <w:spacing w:line="245" w:lineRule="auto"/>
        <w:ind w:right="320"/>
        <w:rPr>
          <w:rFonts w:ascii="Lato" w:hAnsi="Lato"/>
          <w:color w:val="000000" w:themeColor="text1"/>
          <w:sz w:val="24"/>
          <w:szCs w:val="24"/>
        </w:rPr>
      </w:pPr>
      <w:r w:rsidRPr="0060384B">
        <w:rPr>
          <w:rFonts w:ascii="Lato" w:hAnsi="Lato"/>
          <w:color w:val="000000" w:themeColor="text1"/>
          <w:sz w:val="24"/>
          <w:szCs w:val="24"/>
        </w:rPr>
        <w:t>NIH al</w:t>
      </w:r>
      <w:r w:rsidRPr="0060384B">
        <w:rPr>
          <w:rFonts w:ascii="Lato" w:hAnsi="Lato"/>
          <w:color w:val="000000" w:themeColor="text1"/>
          <w:sz w:val="24"/>
          <w:szCs w:val="24"/>
        </w:rPr>
        <w:t>so operates a database of research supported by public and private organizations worldwide. An important planning tool to catalogue the global research investment in Alzheimer</w:t>
      </w:r>
      <w:r w:rsidRPr="0060384B">
        <w:rPr>
          <w:rFonts w:ascii="Lato" w:hAnsi="Lato"/>
          <w:color w:val="000000" w:themeColor="text1"/>
          <w:sz w:val="24"/>
          <w:szCs w:val="24"/>
        </w:rPr>
        <w:t xml:space="preserve">’s disease research, the </w:t>
      </w:r>
      <w:hyperlink r:id="rId24" w:history="1">
        <w:r w:rsidRPr="0060384B">
          <w:rPr>
            <w:rFonts w:ascii="Lato" w:hAnsi="Lato"/>
            <w:color w:val="000000" w:themeColor="text1"/>
            <w:sz w:val="24"/>
            <w:szCs w:val="24"/>
          </w:rPr>
          <w:t xml:space="preserve">International </w:t>
        </w:r>
        <w:r w:rsidRPr="0060384B">
          <w:rPr>
            <w:rFonts w:ascii="Lato" w:hAnsi="Lato"/>
            <w:color w:val="000000" w:themeColor="text1"/>
            <w:sz w:val="24"/>
            <w:szCs w:val="24"/>
          </w:rPr>
          <w:t>Alzheimer</w:t>
        </w:r>
        <w:r w:rsidRPr="0060384B">
          <w:rPr>
            <w:rFonts w:ascii="Lato" w:hAnsi="Lato"/>
            <w:color w:val="000000" w:themeColor="text1"/>
            <w:sz w:val="24"/>
            <w:szCs w:val="24"/>
          </w:rPr>
          <w:t>’s and Related Dementias Research</w:t>
        </w:r>
      </w:hyperlink>
      <w:r w:rsidRPr="0060384B">
        <w:rPr>
          <w:rFonts w:ascii="Lato" w:hAnsi="Lato"/>
          <w:color w:val="000000" w:themeColor="text1"/>
          <w:sz w:val="24"/>
          <w:szCs w:val="24"/>
        </w:rPr>
        <w:t xml:space="preserve"> </w:t>
      </w:r>
      <w:hyperlink r:id="rId25" w:history="1">
        <w:r w:rsidRPr="0060384B">
          <w:rPr>
            <w:rFonts w:ascii="Lato" w:hAnsi="Lato"/>
            <w:color w:val="000000" w:themeColor="text1"/>
            <w:sz w:val="24"/>
            <w:szCs w:val="24"/>
          </w:rPr>
          <w:t>Portfolio</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(IADRP),</w:t>
      </w:r>
      <w:r w:rsidRPr="0060384B">
        <w:rPr>
          <w:rFonts w:ascii="Lato" w:hAnsi="Lato"/>
          <w:color w:val="000000" w:themeColor="text1"/>
          <w:sz w:val="24"/>
          <w:szCs w:val="24"/>
        </w:rPr>
        <w:t xml:space="preserve"> </w:t>
      </w:r>
      <w:r w:rsidRPr="0060384B">
        <w:rPr>
          <w:rFonts w:ascii="Lato" w:hAnsi="Lato"/>
          <w:color w:val="000000" w:themeColor="text1"/>
          <w:sz w:val="24"/>
          <w:szCs w:val="24"/>
        </w:rPr>
        <w:t>is designed to foster collaboration and coordination, as well as to avoid</w:t>
      </w:r>
      <w:r w:rsidRPr="0060384B">
        <w:rPr>
          <w:rFonts w:ascii="Lato" w:hAnsi="Lato"/>
          <w:color w:val="000000" w:themeColor="text1"/>
          <w:sz w:val="24"/>
          <w:szCs w:val="24"/>
        </w:rPr>
        <w:t xml:space="preserve"> </w:t>
      </w:r>
      <w:r w:rsidRPr="0060384B">
        <w:rPr>
          <w:rFonts w:ascii="Lato" w:hAnsi="Lato"/>
          <w:color w:val="000000" w:themeColor="text1"/>
          <w:sz w:val="24"/>
          <w:szCs w:val="24"/>
        </w:rPr>
        <w:t>duplication of effort in Alzheimer</w:t>
      </w:r>
      <w:r w:rsidRPr="0060384B">
        <w:rPr>
          <w:rFonts w:ascii="Lato" w:hAnsi="Lato"/>
          <w:color w:val="000000" w:themeColor="text1"/>
          <w:sz w:val="24"/>
          <w:szCs w:val="24"/>
        </w:rPr>
        <w:t>’s research.</w:t>
      </w:r>
    </w:p>
    <w:p w14:paraId="2D3F7D48" w14:textId="2E709557" w:rsidR="00000000" w:rsidRPr="0060384B" w:rsidRDefault="00FB45BD">
      <w:pPr>
        <w:spacing w:line="20" w:lineRule="exact"/>
        <w:rPr>
          <w:rFonts w:ascii="Lato" w:eastAsia="Times New Roman" w:hAnsi="Lato"/>
          <w:color w:val="000000" w:themeColor="text1"/>
          <w:sz w:val="24"/>
          <w:szCs w:val="24"/>
        </w:rPr>
      </w:pPr>
      <w:r w:rsidRPr="0060384B">
        <w:rPr>
          <w:rFonts w:ascii="Lato" w:hAnsi="Lato"/>
          <w:noProof/>
          <w:color w:val="000000" w:themeColor="text1"/>
          <w:sz w:val="24"/>
          <w:szCs w:val="24"/>
        </w:rPr>
        <mc:AlternateContent>
          <mc:Choice Requires="wps">
            <w:drawing>
              <wp:anchor distT="0" distB="0" distL="114300" distR="114300" simplePos="0" relativeHeight="251648512" behindDoc="1" locked="0" layoutInCell="1" allowOverlap="1" wp14:anchorId="559B4949" wp14:editId="2C936AAF">
                <wp:simplePos x="0" y="0"/>
                <wp:positionH relativeFrom="column">
                  <wp:posOffset>-4445</wp:posOffset>
                </wp:positionH>
                <wp:positionV relativeFrom="paragraph">
                  <wp:posOffset>284480</wp:posOffset>
                </wp:positionV>
                <wp:extent cx="5695315" cy="0"/>
                <wp:effectExtent l="5080" t="8890" r="5080" b="10160"/>
                <wp:wrapNone/>
                <wp:docPr id="2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3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20918" id="Line 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2.4pt" to="448.1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"/>
            </w:pict>
          </mc:Fallback>
        </mc:AlternateContent>
      </w:r>
      <w:r w:rsidRPr="0060384B">
        <w:rPr>
          <w:rFonts w:ascii="Lato" w:hAnsi="Lato"/>
          <w:noProof/>
          <w:color w:val="000000" w:themeColor="text1"/>
          <w:sz w:val="24"/>
          <w:szCs w:val="24"/>
        </w:rPr>
        <mc:AlternateContent>
          <mc:Choice Requires="wps">
            <w:drawing>
              <wp:anchor distT="0" distB="0" distL="114300" distR="114300" simplePos="0" relativeHeight="251649536" behindDoc="1" locked="0" layoutInCell="1" allowOverlap="1" wp14:anchorId="41574B76" wp14:editId="53B8F185">
                <wp:simplePos x="0" y="0"/>
                <wp:positionH relativeFrom="column">
                  <wp:posOffset>5686425</wp:posOffset>
                </wp:positionH>
                <wp:positionV relativeFrom="paragraph">
                  <wp:posOffset>279400</wp:posOffset>
                </wp:positionV>
                <wp:extent cx="0" cy="2581275"/>
                <wp:effectExtent l="9525" t="13335" r="9525" b="5715"/>
                <wp:wrapNone/>
                <wp:docPr id="2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12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86C77" id="Line 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75pt,22pt" to="447.75pt,2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"/>
            </w:pict>
          </mc:Fallback>
        </mc:AlternateContent>
      </w:r>
      <w:r w:rsidRPr="0060384B">
        <w:rPr>
          <w:rFonts w:ascii="Lato" w:hAnsi="Lato"/>
          <w:noProof/>
          <w:color w:val="000000" w:themeColor="text1"/>
          <w:sz w:val="24"/>
          <w:szCs w:val="24"/>
        </w:rPr>
        <mc:AlternateContent>
          <mc:Choice Requires="wps">
            <w:drawing>
              <wp:anchor distT="0" distB="0" distL="114300" distR="114300" simplePos="0" relativeHeight="251650560" behindDoc="1" locked="0" layoutInCell="1" allowOverlap="1" wp14:anchorId="4CF6D4D1" wp14:editId="1150746F">
                <wp:simplePos x="0" y="0"/>
                <wp:positionH relativeFrom="column">
                  <wp:posOffset>0</wp:posOffset>
                </wp:positionH>
                <wp:positionV relativeFrom="paragraph">
                  <wp:posOffset>279400</wp:posOffset>
                </wp:positionV>
                <wp:extent cx="0" cy="2581275"/>
                <wp:effectExtent l="9525" t="13335" r="9525" b="5715"/>
                <wp:wrapNone/>
                <wp:docPr id="2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12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B7C47" id="Line 8"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pt" to="0,2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"/>
            </w:pict>
          </mc:Fallback>
        </mc:AlternateContent>
      </w:r>
      <w:r w:rsidRPr="0060384B">
        <w:rPr>
          <w:rFonts w:ascii="Lato" w:hAnsi="Lato"/>
          <w:noProof/>
          <w:color w:val="000000" w:themeColor="text1"/>
          <w:sz w:val="24"/>
          <w:szCs w:val="24"/>
        </w:rPr>
        <mc:AlternateContent>
          <mc:Choice Requires="wps">
            <w:drawing>
              <wp:anchor distT="0" distB="0" distL="114300" distR="114300" simplePos="0" relativeHeight="251651584" behindDoc="1" locked="0" layoutInCell="1" allowOverlap="1" wp14:anchorId="344F45CB" wp14:editId="0A502591">
                <wp:simplePos x="0" y="0"/>
                <wp:positionH relativeFrom="column">
                  <wp:posOffset>-4445</wp:posOffset>
                </wp:positionH>
                <wp:positionV relativeFrom="paragraph">
                  <wp:posOffset>2856230</wp:posOffset>
                </wp:positionV>
                <wp:extent cx="5695315" cy="0"/>
                <wp:effectExtent l="5080" t="8890" r="5080" b="1016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3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F6D61" id="Line 9"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24.9pt" to="448.1pt,2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"/>
            </w:pict>
          </mc:Fallback>
        </mc:AlternateContent>
      </w:r>
    </w:p>
    <w:p w14:paraId="77B6044D" w14:textId="77777777" w:rsidR="00000000" w:rsidRPr="0060384B" w:rsidRDefault="00CA5F6F">
      <w:pPr>
        <w:spacing w:line="200" w:lineRule="exact"/>
        <w:rPr>
          <w:rFonts w:ascii="Lato" w:eastAsia="Times New Roman" w:hAnsi="Lato"/>
          <w:color w:val="000000" w:themeColor="text1"/>
          <w:sz w:val="24"/>
          <w:szCs w:val="24"/>
        </w:rPr>
      </w:pPr>
    </w:p>
    <w:p w14:paraId="1CCFF350" w14:textId="77777777" w:rsidR="00000000" w:rsidRPr="0060384B" w:rsidRDefault="00CA5F6F">
      <w:pPr>
        <w:spacing w:line="326" w:lineRule="exact"/>
        <w:rPr>
          <w:rFonts w:ascii="Lato" w:eastAsia="Times New Roman" w:hAnsi="Lato"/>
          <w:color w:val="000000" w:themeColor="text1"/>
          <w:sz w:val="24"/>
          <w:szCs w:val="24"/>
        </w:rPr>
      </w:pPr>
    </w:p>
    <w:p w14:paraId="70B608EB" w14:textId="77777777" w:rsidR="00000000" w:rsidRPr="0060384B" w:rsidRDefault="00CA5F6F">
      <w:pPr>
        <w:spacing w:line="0" w:lineRule="atLeast"/>
        <w:ind w:left="160"/>
        <w:rPr>
          <w:rFonts w:ascii="Lato" w:hAnsi="Lato"/>
          <w:b/>
          <w:color w:val="000000" w:themeColor="text1"/>
          <w:sz w:val="24"/>
          <w:szCs w:val="24"/>
        </w:rPr>
      </w:pPr>
      <w:r w:rsidRPr="0060384B">
        <w:rPr>
          <w:rFonts w:ascii="Lato" w:hAnsi="Lato"/>
          <w:b/>
          <w:color w:val="000000" w:themeColor="text1"/>
          <w:sz w:val="24"/>
          <w:szCs w:val="24"/>
        </w:rPr>
        <w:t>Alzheimer</w:t>
      </w:r>
      <w:r w:rsidRPr="0060384B">
        <w:rPr>
          <w:rFonts w:ascii="Lato" w:hAnsi="Lato"/>
          <w:b/>
          <w:color w:val="000000" w:themeColor="text1"/>
          <w:sz w:val="24"/>
          <w:szCs w:val="24"/>
        </w:rPr>
        <w:t>’s Disease-Re</w:t>
      </w:r>
      <w:r w:rsidRPr="0060384B">
        <w:rPr>
          <w:rFonts w:ascii="Lato" w:hAnsi="Lato"/>
          <w:b/>
          <w:color w:val="000000" w:themeColor="text1"/>
          <w:sz w:val="24"/>
          <w:szCs w:val="24"/>
        </w:rPr>
        <w:t>lated Dementias Summit</w:t>
      </w:r>
    </w:p>
    <w:p w14:paraId="12811CCE" w14:textId="77777777" w:rsidR="00000000" w:rsidRPr="0060384B" w:rsidRDefault="00CA5F6F">
      <w:pPr>
        <w:spacing w:line="284" w:lineRule="exact"/>
        <w:rPr>
          <w:rFonts w:ascii="Lato" w:eastAsia="Times New Roman" w:hAnsi="Lato"/>
          <w:color w:val="000000" w:themeColor="text1"/>
          <w:sz w:val="24"/>
          <w:szCs w:val="24"/>
        </w:rPr>
      </w:pPr>
    </w:p>
    <w:p w14:paraId="7E3AC101" w14:textId="77777777" w:rsidR="00000000" w:rsidRPr="0060384B" w:rsidRDefault="00CA5F6F">
      <w:pPr>
        <w:spacing w:line="242" w:lineRule="auto"/>
        <w:ind w:left="160" w:right="580"/>
        <w:rPr>
          <w:rFonts w:ascii="Lato" w:hAnsi="Lato"/>
          <w:color w:val="000000" w:themeColor="text1"/>
          <w:sz w:val="24"/>
          <w:szCs w:val="24"/>
        </w:rPr>
      </w:pPr>
      <w:r w:rsidRPr="0060384B">
        <w:rPr>
          <w:rFonts w:ascii="Lato" w:hAnsi="Lato"/>
          <w:color w:val="000000" w:themeColor="text1"/>
          <w:sz w:val="24"/>
          <w:szCs w:val="24"/>
        </w:rPr>
        <w:t xml:space="preserve">NIH held its third </w:t>
      </w:r>
      <w:hyperlink r:id="rId26" w:history="1">
        <w:r w:rsidRPr="0060384B">
          <w:rPr>
            <w:rFonts w:ascii="Lato" w:hAnsi="Lato"/>
            <w:color w:val="000000" w:themeColor="text1"/>
            <w:sz w:val="24"/>
            <w:szCs w:val="24"/>
          </w:rPr>
          <w:t>Alzheimer</w:t>
        </w:r>
        <w:r w:rsidRPr="0060384B">
          <w:rPr>
            <w:rFonts w:ascii="Lato" w:hAnsi="Lato"/>
            <w:color w:val="000000" w:themeColor="text1"/>
            <w:sz w:val="24"/>
            <w:szCs w:val="24"/>
          </w:rPr>
          <w:t>’s Disease-Related Dementias (ADRD) Summit</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March 14- 15, 2019. This summit, one of the three triennial dementia research planning efforts led by NI</w:t>
      </w:r>
      <w:r w:rsidRPr="0060384B">
        <w:rPr>
          <w:rFonts w:ascii="Lato" w:hAnsi="Lato"/>
          <w:color w:val="000000" w:themeColor="text1"/>
          <w:sz w:val="24"/>
          <w:szCs w:val="24"/>
        </w:rPr>
        <w:t>H, brought together dementia experts, individuals living with related dementias, caregivers, families, and advocacy groups to reprioritize, revise, and update the research recommendations developed at the 2016 summit. The 2019 ADRD Summit included sessions</w:t>
      </w:r>
      <w:r w:rsidRPr="0060384B">
        <w:rPr>
          <w:rFonts w:ascii="Lato" w:hAnsi="Lato"/>
          <w:color w:val="000000" w:themeColor="text1"/>
          <w:sz w:val="24"/>
          <w:szCs w:val="24"/>
        </w:rPr>
        <w:t xml:space="preserve"> focusing on: FTD, LBD, vascular cognitive impairment/dementia, multiple etiology dementias, health disparities, nomenclature, and emerging topics such as dementia risk due to traumatic brain injuries and TDP-43 proteinopathy in AD/ADRD. Research recommend</w:t>
      </w:r>
      <w:r w:rsidRPr="0060384B">
        <w:rPr>
          <w:rFonts w:ascii="Lato" w:hAnsi="Lato"/>
          <w:color w:val="000000" w:themeColor="text1"/>
          <w:sz w:val="24"/>
          <w:szCs w:val="24"/>
        </w:rPr>
        <w:t>ations from the ADRD Summit will be incorporated into the National Plan as research milestones early next year and will help inform future AD/ADRD research investments.</w:t>
      </w:r>
    </w:p>
    <w:p w14:paraId="2F0B5014" w14:textId="77777777" w:rsidR="00000000" w:rsidRPr="0060384B" w:rsidRDefault="00CA5F6F">
      <w:pPr>
        <w:spacing w:line="200" w:lineRule="exact"/>
        <w:rPr>
          <w:rFonts w:ascii="Lato" w:eastAsia="Times New Roman" w:hAnsi="Lato"/>
          <w:color w:val="000000" w:themeColor="text1"/>
          <w:sz w:val="24"/>
          <w:szCs w:val="24"/>
        </w:rPr>
      </w:pPr>
    </w:p>
    <w:p w14:paraId="600BEDE6" w14:textId="77777777" w:rsidR="00000000" w:rsidRPr="0060384B" w:rsidRDefault="00CA5F6F">
      <w:pPr>
        <w:spacing w:line="200" w:lineRule="exact"/>
        <w:rPr>
          <w:rFonts w:ascii="Lato" w:eastAsia="Times New Roman" w:hAnsi="Lato"/>
          <w:color w:val="000000" w:themeColor="text1"/>
          <w:sz w:val="24"/>
          <w:szCs w:val="24"/>
        </w:rPr>
      </w:pPr>
    </w:p>
    <w:p w14:paraId="44B27A34" w14:textId="77777777" w:rsidR="00000000" w:rsidRPr="0060384B" w:rsidRDefault="00CA5F6F">
      <w:pPr>
        <w:spacing w:line="379" w:lineRule="exact"/>
        <w:rPr>
          <w:rFonts w:ascii="Lato" w:eastAsia="Times New Roman" w:hAnsi="Lato"/>
          <w:color w:val="000000" w:themeColor="text1"/>
          <w:sz w:val="24"/>
          <w:szCs w:val="24"/>
        </w:rPr>
      </w:pPr>
    </w:p>
    <w:p w14:paraId="0E06FB14"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Meeting the Scientific Challenge</w:t>
      </w:r>
    </w:p>
    <w:p w14:paraId="3CDAEE1B" w14:textId="77777777" w:rsidR="00000000" w:rsidRPr="0060384B" w:rsidRDefault="00CA5F6F">
      <w:pPr>
        <w:spacing w:line="284" w:lineRule="exact"/>
        <w:rPr>
          <w:rFonts w:ascii="Lato" w:eastAsia="Times New Roman" w:hAnsi="Lato"/>
          <w:color w:val="000000" w:themeColor="text1"/>
          <w:sz w:val="24"/>
          <w:szCs w:val="24"/>
        </w:rPr>
      </w:pPr>
    </w:p>
    <w:p w14:paraId="35ED525C" w14:textId="77777777" w:rsidR="00000000" w:rsidRPr="0060384B" w:rsidRDefault="00CA5F6F">
      <w:pPr>
        <w:spacing w:line="244" w:lineRule="auto"/>
        <w:ind w:right="20"/>
        <w:rPr>
          <w:rFonts w:ascii="Lato" w:hAnsi="Lato"/>
          <w:color w:val="000000" w:themeColor="text1"/>
          <w:sz w:val="24"/>
          <w:szCs w:val="24"/>
        </w:rPr>
      </w:pPr>
      <w:r w:rsidRPr="0060384B">
        <w:rPr>
          <w:rFonts w:ascii="Lato" w:hAnsi="Lato"/>
          <w:color w:val="000000" w:themeColor="text1"/>
          <w:sz w:val="24"/>
          <w:szCs w:val="24"/>
        </w:rPr>
        <w:t>This year</w:t>
      </w:r>
      <w:r w:rsidRPr="0060384B">
        <w:rPr>
          <w:rFonts w:ascii="Lato" w:hAnsi="Lato"/>
          <w:color w:val="000000" w:themeColor="text1"/>
          <w:sz w:val="24"/>
          <w:szCs w:val="24"/>
        </w:rPr>
        <w:t>’s annual bypass budget proposal highligh</w:t>
      </w:r>
      <w:r w:rsidRPr="0060384B">
        <w:rPr>
          <w:rFonts w:ascii="Lato" w:hAnsi="Lato"/>
          <w:color w:val="000000" w:themeColor="text1"/>
          <w:sz w:val="24"/>
          <w:szCs w:val="24"/>
        </w:rPr>
        <w:t>ts the most recent scientific progress in NIH</w:t>
      </w:r>
      <w:r w:rsidRPr="0060384B">
        <w:rPr>
          <w:rFonts w:ascii="Lato" w:hAnsi="Lato"/>
          <w:color w:val="000000" w:themeColor="text1"/>
          <w:sz w:val="24"/>
          <w:szCs w:val="24"/>
        </w:rPr>
        <w:t>’s quest for effective ways to prevent and treat Alzheimer</w:t>
      </w:r>
      <w:r w:rsidRPr="0060384B">
        <w:rPr>
          <w:rFonts w:ascii="Lato" w:hAnsi="Lato"/>
          <w:color w:val="000000" w:themeColor="text1"/>
          <w:sz w:val="24"/>
          <w:szCs w:val="24"/>
        </w:rPr>
        <w:t xml:space="preserve">’s disease and related dementias. To build on that progress, we offer this Professional Judgment Budget for additional NIH funding in FY 2021 to address </w:t>
      </w:r>
      <w:r w:rsidRPr="0060384B">
        <w:rPr>
          <w:rFonts w:ascii="Lato" w:hAnsi="Lato"/>
          <w:color w:val="000000" w:themeColor="text1"/>
          <w:sz w:val="24"/>
          <w:szCs w:val="24"/>
        </w:rPr>
        <w:t>the most pressing research needs and scientific opportunities. While the funding increases of the last 5 years have done much to advance AD/ADRD research, there is much more to be done.</w:t>
      </w:r>
    </w:p>
    <w:p w14:paraId="6C7D5103" w14:textId="77777777" w:rsidR="00000000" w:rsidRPr="0060384B" w:rsidRDefault="00CA5F6F">
      <w:pPr>
        <w:spacing w:line="250" w:lineRule="exact"/>
        <w:rPr>
          <w:rFonts w:ascii="Lato" w:eastAsia="Times New Roman" w:hAnsi="Lato"/>
          <w:color w:val="000000" w:themeColor="text1"/>
          <w:sz w:val="24"/>
          <w:szCs w:val="24"/>
        </w:rPr>
      </w:pPr>
    </w:p>
    <w:p w14:paraId="1E99C5C5" w14:textId="77777777" w:rsidR="00000000" w:rsidRPr="0060384B" w:rsidRDefault="00CA5F6F">
      <w:pPr>
        <w:spacing w:line="251" w:lineRule="auto"/>
        <w:ind w:right="420"/>
        <w:rPr>
          <w:rFonts w:ascii="Lato" w:hAnsi="Lato"/>
          <w:color w:val="000000" w:themeColor="text1"/>
          <w:sz w:val="24"/>
          <w:szCs w:val="24"/>
        </w:rPr>
      </w:pPr>
      <w:r w:rsidRPr="0060384B">
        <w:rPr>
          <w:rFonts w:ascii="Lato" w:hAnsi="Lato"/>
          <w:color w:val="000000" w:themeColor="text1"/>
          <w:sz w:val="24"/>
          <w:szCs w:val="24"/>
        </w:rPr>
        <w:t>The substantial increases in funding for Alzheimer</w:t>
      </w:r>
      <w:r w:rsidRPr="0060384B">
        <w:rPr>
          <w:rFonts w:ascii="Lato" w:hAnsi="Lato"/>
          <w:color w:val="000000" w:themeColor="text1"/>
          <w:sz w:val="24"/>
          <w:szCs w:val="24"/>
        </w:rPr>
        <w:t>’s disease and rela</w:t>
      </w:r>
      <w:r w:rsidRPr="0060384B">
        <w:rPr>
          <w:rFonts w:ascii="Lato" w:hAnsi="Lato"/>
          <w:color w:val="000000" w:themeColor="text1"/>
          <w:sz w:val="24"/>
          <w:szCs w:val="24"/>
        </w:rPr>
        <w:t>ted dementias research over the last several years have enabled us to expand and upgrade every aspect of our comprehensive research program, including:</w:t>
      </w:r>
    </w:p>
    <w:p w14:paraId="0C44DCC7" w14:textId="77777777" w:rsidR="00000000" w:rsidRPr="0060384B" w:rsidRDefault="00CA5F6F">
      <w:pPr>
        <w:spacing w:line="251" w:lineRule="auto"/>
        <w:ind w:right="42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48D67956" w14:textId="77777777" w:rsidR="00000000" w:rsidRPr="0060384B" w:rsidRDefault="00CA5F6F">
      <w:pPr>
        <w:spacing w:line="200" w:lineRule="exact"/>
        <w:rPr>
          <w:rFonts w:ascii="Lato" w:eastAsia="Times New Roman" w:hAnsi="Lato"/>
          <w:color w:val="000000" w:themeColor="text1"/>
          <w:sz w:val="24"/>
          <w:szCs w:val="24"/>
        </w:rPr>
      </w:pPr>
    </w:p>
    <w:p w14:paraId="66F9B72D" w14:textId="77777777" w:rsidR="00000000" w:rsidRPr="0060384B" w:rsidRDefault="00CA5F6F">
      <w:pPr>
        <w:spacing w:line="200" w:lineRule="exact"/>
        <w:rPr>
          <w:rFonts w:ascii="Lato" w:eastAsia="Times New Roman" w:hAnsi="Lato"/>
          <w:color w:val="000000" w:themeColor="text1"/>
          <w:sz w:val="24"/>
          <w:szCs w:val="24"/>
        </w:rPr>
      </w:pPr>
    </w:p>
    <w:p w14:paraId="14F51882" w14:textId="77777777" w:rsidR="00000000" w:rsidRPr="0060384B" w:rsidRDefault="00CA5F6F">
      <w:pPr>
        <w:spacing w:line="200" w:lineRule="exact"/>
        <w:rPr>
          <w:rFonts w:ascii="Lato" w:eastAsia="Times New Roman" w:hAnsi="Lato"/>
          <w:color w:val="000000" w:themeColor="text1"/>
          <w:sz w:val="24"/>
          <w:szCs w:val="24"/>
        </w:rPr>
      </w:pPr>
    </w:p>
    <w:p w14:paraId="19BA00EE" w14:textId="77777777" w:rsidR="00000000" w:rsidRPr="0060384B" w:rsidRDefault="00CA5F6F">
      <w:pPr>
        <w:spacing w:line="368"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80"/>
        <w:gridCol w:w="2780"/>
      </w:tblGrid>
      <w:tr w:rsidR="00000000" w:rsidRPr="0060384B" w14:paraId="2BBD0416" w14:textId="77777777">
        <w:trPr>
          <w:trHeight w:val="245"/>
        </w:trPr>
        <w:tc>
          <w:tcPr>
            <w:tcW w:w="6580" w:type="dxa"/>
            <w:shd w:val="clear" w:color="auto" w:fill="auto"/>
            <w:vAlign w:val="bottom"/>
          </w:tcPr>
          <w:p w14:paraId="0FC26BCD"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780" w:type="dxa"/>
            <w:shd w:val="clear" w:color="auto" w:fill="auto"/>
            <w:vAlign w:val="bottom"/>
          </w:tcPr>
          <w:p w14:paraId="30AE59EF"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5</w:t>
            </w:r>
          </w:p>
        </w:tc>
      </w:tr>
      <w:tr w:rsidR="00000000" w:rsidRPr="0060384B" w14:paraId="4C4F85E2" w14:textId="77777777">
        <w:trPr>
          <w:trHeight w:val="258"/>
        </w:trPr>
        <w:tc>
          <w:tcPr>
            <w:tcW w:w="6580" w:type="dxa"/>
            <w:shd w:val="clear" w:color="auto" w:fill="auto"/>
            <w:vAlign w:val="bottom"/>
          </w:tcPr>
          <w:p w14:paraId="0D5286CE"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NIH Bypass Budget Proposal for Fiscal Year 2021</w:t>
            </w:r>
          </w:p>
        </w:tc>
        <w:tc>
          <w:tcPr>
            <w:tcW w:w="2780" w:type="dxa"/>
            <w:shd w:val="clear" w:color="auto" w:fill="auto"/>
            <w:vAlign w:val="bottom"/>
          </w:tcPr>
          <w:p w14:paraId="320A32E7" w14:textId="77777777" w:rsidR="00000000" w:rsidRPr="0060384B" w:rsidRDefault="00CA5F6F">
            <w:pPr>
              <w:spacing w:line="0" w:lineRule="atLeast"/>
              <w:rPr>
                <w:rFonts w:ascii="Lato" w:eastAsia="Times New Roman" w:hAnsi="Lato"/>
                <w:color w:val="000000" w:themeColor="text1"/>
                <w:sz w:val="24"/>
                <w:szCs w:val="24"/>
              </w:rPr>
            </w:pPr>
          </w:p>
        </w:tc>
      </w:tr>
    </w:tbl>
    <w:p w14:paraId="21D01143"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4632E8DE" w14:textId="77777777" w:rsidR="00000000" w:rsidRPr="0060384B" w:rsidRDefault="00CA5F6F">
      <w:pPr>
        <w:numPr>
          <w:ilvl w:val="0"/>
          <w:numId w:val="3"/>
        </w:numPr>
        <w:tabs>
          <w:tab w:val="left" w:pos="540"/>
        </w:tabs>
        <w:spacing w:line="244" w:lineRule="auto"/>
        <w:ind w:left="540" w:right="100" w:hanging="360"/>
        <w:rPr>
          <w:rFonts w:ascii="Lato" w:eastAsia="Arial" w:hAnsi="Lato"/>
          <w:color w:val="000000" w:themeColor="text1"/>
          <w:sz w:val="24"/>
          <w:szCs w:val="24"/>
        </w:rPr>
      </w:pPr>
      <w:bookmarkStart w:id="8" w:name="page9"/>
      <w:bookmarkEnd w:id="8"/>
      <w:r w:rsidRPr="0060384B">
        <w:rPr>
          <w:rFonts w:ascii="Lato" w:hAnsi="Lato"/>
          <w:color w:val="000000" w:themeColor="text1"/>
          <w:sz w:val="24"/>
          <w:szCs w:val="24"/>
        </w:rPr>
        <w:lastRenderedPageBreak/>
        <w:t>Population and epidemiolo</w:t>
      </w:r>
      <w:r w:rsidRPr="0060384B">
        <w:rPr>
          <w:rFonts w:ascii="Lato" w:hAnsi="Lato"/>
          <w:color w:val="000000" w:themeColor="text1"/>
          <w:sz w:val="24"/>
          <w:szCs w:val="24"/>
        </w:rPr>
        <w:t>gical research to better understand disease risk and protective factors</w:t>
      </w:r>
    </w:p>
    <w:p w14:paraId="2A1C68F6" w14:textId="77777777" w:rsidR="00000000" w:rsidRPr="0060384B" w:rsidRDefault="00CA5F6F">
      <w:pPr>
        <w:spacing w:line="1" w:lineRule="exact"/>
        <w:rPr>
          <w:rFonts w:ascii="Lato" w:eastAsia="Arial" w:hAnsi="Lato"/>
          <w:color w:val="000000" w:themeColor="text1"/>
          <w:sz w:val="24"/>
          <w:szCs w:val="24"/>
        </w:rPr>
      </w:pPr>
    </w:p>
    <w:p w14:paraId="1EF376D1" w14:textId="77777777" w:rsidR="00000000" w:rsidRPr="0060384B" w:rsidRDefault="00CA5F6F">
      <w:pPr>
        <w:numPr>
          <w:ilvl w:val="0"/>
          <w:numId w:val="3"/>
        </w:numPr>
        <w:tabs>
          <w:tab w:val="left" w:pos="540"/>
        </w:tabs>
        <w:spacing w:line="0" w:lineRule="atLeast"/>
        <w:ind w:left="540" w:hanging="360"/>
        <w:rPr>
          <w:rFonts w:ascii="Lato" w:eastAsia="Arial" w:hAnsi="Lato"/>
          <w:color w:val="000000" w:themeColor="text1"/>
          <w:sz w:val="24"/>
          <w:szCs w:val="24"/>
        </w:rPr>
      </w:pPr>
      <w:r w:rsidRPr="0060384B">
        <w:rPr>
          <w:rFonts w:ascii="Lato" w:hAnsi="Lato"/>
          <w:color w:val="000000" w:themeColor="text1"/>
          <w:sz w:val="24"/>
          <w:szCs w:val="24"/>
        </w:rPr>
        <w:t>Basic science studies in genetics and biological mechanisms of disease</w:t>
      </w:r>
    </w:p>
    <w:p w14:paraId="7D21F468" w14:textId="77777777" w:rsidR="00000000" w:rsidRPr="0060384B" w:rsidRDefault="00CA5F6F">
      <w:pPr>
        <w:spacing w:line="14" w:lineRule="exact"/>
        <w:rPr>
          <w:rFonts w:ascii="Lato" w:eastAsia="Arial" w:hAnsi="Lato"/>
          <w:color w:val="000000" w:themeColor="text1"/>
          <w:sz w:val="24"/>
          <w:szCs w:val="24"/>
        </w:rPr>
      </w:pPr>
    </w:p>
    <w:p w14:paraId="1AAA3ABC" w14:textId="77777777" w:rsidR="00000000" w:rsidRPr="0060384B" w:rsidRDefault="00CA5F6F">
      <w:pPr>
        <w:numPr>
          <w:ilvl w:val="0"/>
          <w:numId w:val="3"/>
        </w:numPr>
        <w:tabs>
          <w:tab w:val="left" w:pos="540"/>
        </w:tabs>
        <w:spacing w:line="243" w:lineRule="auto"/>
        <w:ind w:left="540" w:right="100" w:hanging="360"/>
        <w:rPr>
          <w:rFonts w:ascii="Lato" w:eastAsia="Arial" w:hAnsi="Lato"/>
          <w:color w:val="000000" w:themeColor="text1"/>
          <w:sz w:val="24"/>
          <w:szCs w:val="24"/>
        </w:rPr>
      </w:pPr>
      <w:r w:rsidRPr="0060384B">
        <w:rPr>
          <w:rFonts w:ascii="Lato" w:hAnsi="Lato"/>
          <w:color w:val="000000" w:themeColor="text1"/>
          <w:sz w:val="24"/>
          <w:szCs w:val="24"/>
        </w:rPr>
        <w:t>Development, testing, and validation of biomarkers, including imaging and fluid-based, to detect and diagnose d</w:t>
      </w:r>
      <w:r w:rsidRPr="0060384B">
        <w:rPr>
          <w:rFonts w:ascii="Lato" w:hAnsi="Lato"/>
          <w:color w:val="000000" w:themeColor="text1"/>
          <w:sz w:val="24"/>
          <w:szCs w:val="24"/>
        </w:rPr>
        <w:t>isease, follow progression, and measure the effectiveness of treatments</w:t>
      </w:r>
    </w:p>
    <w:p w14:paraId="0F9C0901" w14:textId="77777777" w:rsidR="00000000" w:rsidRPr="0060384B" w:rsidRDefault="00CA5F6F">
      <w:pPr>
        <w:numPr>
          <w:ilvl w:val="0"/>
          <w:numId w:val="3"/>
        </w:numPr>
        <w:tabs>
          <w:tab w:val="left" w:pos="540"/>
        </w:tabs>
        <w:spacing w:line="245" w:lineRule="auto"/>
        <w:ind w:left="540" w:right="860" w:hanging="360"/>
        <w:rPr>
          <w:rFonts w:ascii="Lato" w:eastAsia="Arial" w:hAnsi="Lato"/>
          <w:color w:val="000000" w:themeColor="text1"/>
          <w:sz w:val="24"/>
          <w:szCs w:val="24"/>
        </w:rPr>
      </w:pPr>
      <w:r w:rsidRPr="0060384B">
        <w:rPr>
          <w:rFonts w:ascii="Lato" w:hAnsi="Lato"/>
          <w:color w:val="000000" w:themeColor="text1"/>
          <w:sz w:val="24"/>
          <w:szCs w:val="24"/>
        </w:rPr>
        <w:t>Translational drug discovery, development, testing, and clinical trials of promising therapies as early as possible in the disease process</w:t>
      </w:r>
    </w:p>
    <w:p w14:paraId="70122282" w14:textId="77777777" w:rsidR="00000000" w:rsidRPr="0060384B" w:rsidRDefault="00CA5F6F">
      <w:pPr>
        <w:spacing w:line="1" w:lineRule="exact"/>
        <w:rPr>
          <w:rFonts w:ascii="Lato" w:eastAsia="Arial" w:hAnsi="Lato"/>
          <w:color w:val="000000" w:themeColor="text1"/>
          <w:sz w:val="24"/>
          <w:szCs w:val="24"/>
        </w:rPr>
      </w:pPr>
    </w:p>
    <w:p w14:paraId="02C2C972" w14:textId="77777777" w:rsidR="00000000" w:rsidRPr="0060384B" w:rsidRDefault="00CA5F6F">
      <w:pPr>
        <w:numPr>
          <w:ilvl w:val="0"/>
          <w:numId w:val="3"/>
        </w:numPr>
        <w:tabs>
          <w:tab w:val="left" w:pos="540"/>
        </w:tabs>
        <w:spacing w:line="262" w:lineRule="auto"/>
        <w:ind w:left="540" w:right="460" w:hanging="360"/>
        <w:rPr>
          <w:rFonts w:ascii="Lato" w:eastAsia="Arial" w:hAnsi="Lato"/>
          <w:color w:val="000000" w:themeColor="text1"/>
          <w:sz w:val="24"/>
          <w:szCs w:val="24"/>
        </w:rPr>
      </w:pPr>
      <w:r w:rsidRPr="0060384B">
        <w:rPr>
          <w:rFonts w:ascii="Lato" w:hAnsi="Lato"/>
          <w:color w:val="000000" w:themeColor="text1"/>
          <w:sz w:val="24"/>
          <w:szCs w:val="24"/>
        </w:rPr>
        <w:t>Assessment of care needs and investigation o</w:t>
      </w:r>
      <w:r w:rsidRPr="0060384B">
        <w:rPr>
          <w:rFonts w:ascii="Lato" w:hAnsi="Lato"/>
          <w:color w:val="000000" w:themeColor="text1"/>
          <w:sz w:val="24"/>
          <w:szCs w:val="24"/>
        </w:rPr>
        <w:t>f better approaches for individuals living with dementia, caregivers, and health care providers</w:t>
      </w:r>
    </w:p>
    <w:p w14:paraId="05B6C367" w14:textId="77777777" w:rsidR="00000000" w:rsidRPr="0060384B" w:rsidRDefault="00CA5F6F">
      <w:pPr>
        <w:spacing w:line="227" w:lineRule="exact"/>
        <w:rPr>
          <w:rFonts w:ascii="Lato" w:eastAsia="Times New Roman" w:hAnsi="Lato"/>
          <w:color w:val="000000" w:themeColor="text1"/>
          <w:sz w:val="24"/>
          <w:szCs w:val="24"/>
        </w:rPr>
      </w:pPr>
    </w:p>
    <w:p w14:paraId="4F73079B" w14:textId="77777777" w:rsidR="00000000" w:rsidRPr="0060384B" w:rsidRDefault="00CA5F6F">
      <w:pPr>
        <w:spacing w:line="243" w:lineRule="auto"/>
        <w:ind w:right="20"/>
        <w:rPr>
          <w:rFonts w:ascii="Lato" w:hAnsi="Lato"/>
          <w:color w:val="000000" w:themeColor="text1"/>
          <w:sz w:val="24"/>
          <w:szCs w:val="24"/>
        </w:rPr>
      </w:pPr>
      <w:r w:rsidRPr="0060384B">
        <w:rPr>
          <w:rFonts w:ascii="Lato" w:hAnsi="Lato"/>
          <w:color w:val="000000" w:themeColor="text1"/>
          <w:sz w:val="24"/>
          <w:szCs w:val="24"/>
        </w:rPr>
        <w:t xml:space="preserve">This all-encompassing program relies on a sophisticated, high-tech infrastructure built by NIH to support data collection and </w:t>
      </w:r>
      <w:r w:rsidRPr="0060384B">
        <w:rPr>
          <w:rFonts w:ascii="Lato" w:hAnsi="Lato"/>
          <w:color w:val="000000" w:themeColor="text1"/>
          <w:sz w:val="24"/>
          <w:szCs w:val="24"/>
        </w:rPr>
        <w:t>“big data</w:t>
      </w:r>
      <w:r w:rsidRPr="0060384B">
        <w:rPr>
          <w:rFonts w:ascii="Lato" w:hAnsi="Lato"/>
          <w:color w:val="000000" w:themeColor="text1"/>
          <w:sz w:val="24"/>
          <w:szCs w:val="24"/>
        </w:rPr>
        <w:t>” analysis; develop cell</w:t>
      </w:r>
      <w:r w:rsidRPr="0060384B">
        <w:rPr>
          <w:rFonts w:ascii="Lato" w:hAnsi="Lato"/>
          <w:color w:val="000000" w:themeColor="text1"/>
          <w:sz w:val="24"/>
          <w:szCs w:val="24"/>
        </w:rPr>
        <w:t>ular and, when necessary, animal models for testing; and facilitate discovery and evaluation of new interventions. Described more thoroughly throughout this report, this infrastructure and some individual research projects feature creative partnerships amo</w:t>
      </w:r>
      <w:r w:rsidRPr="0060384B">
        <w:rPr>
          <w:rFonts w:ascii="Lato" w:hAnsi="Lato"/>
          <w:color w:val="000000" w:themeColor="text1"/>
          <w:sz w:val="24"/>
          <w:szCs w:val="24"/>
        </w:rPr>
        <w:t>ng NIH and other federal agencies, foundations, other nongovernmental organizations, and pharmaceutical and biotech companies. Such collaborations leverage related efforts and promote the organizations</w:t>
      </w:r>
      <w:r w:rsidRPr="0060384B">
        <w:rPr>
          <w:rFonts w:ascii="Lato" w:hAnsi="Lato"/>
          <w:color w:val="000000" w:themeColor="text1"/>
          <w:sz w:val="24"/>
          <w:szCs w:val="24"/>
        </w:rPr>
        <w:t>’ shared missions to provide relief as soon as possible</w:t>
      </w:r>
      <w:r w:rsidRPr="0060384B">
        <w:rPr>
          <w:rFonts w:ascii="Lato" w:hAnsi="Lato"/>
          <w:color w:val="000000" w:themeColor="text1"/>
          <w:sz w:val="24"/>
          <w:szCs w:val="24"/>
        </w:rPr>
        <w:t xml:space="preserve"> for people with dementia and their families.</w:t>
      </w:r>
    </w:p>
    <w:p w14:paraId="0AF7B732" w14:textId="77777777" w:rsidR="00000000" w:rsidRPr="0060384B" w:rsidRDefault="00CA5F6F">
      <w:pPr>
        <w:spacing w:line="247" w:lineRule="exact"/>
        <w:rPr>
          <w:rFonts w:ascii="Lato" w:eastAsia="Times New Roman" w:hAnsi="Lato"/>
          <w:color w:val="000000" w:themeColor="text1"/>
          <w:sz w:val="24"/>
          <w:szCs w:val="24"/>
        </w:rPr>
      </w:pPr>
    </w:p>
    <w:p w14:paraId="5C3BA0F3"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Recent Advances, New Initiatives</w:t>
      </w:r>
    </w:p>
    <w:p w14:paraId="769A756C" w14:textId="77777777" w:rsidR="00000000" w:rsidRPr="0060384B" w:rsidRDefault="00CA5F6F">
      <w:pPr>
        <w:spacing w:line="284" w:lineRule="exact"/>
        <w:rPr>
          <w:rFonts w:ascii="Lato" w:eastAsia="Times New Roman" w:hAnsi="Lato"/>
          <w:color w:val="000000" w:themeColor="text1"/>
          <w:sz w:val="24"/>
          <w:szCs w:val="24"/>
        </w:rPr>
      </w:pPr>
    </w:p>
    <w:p w14:paraId="1E97A6B3" w14:textId="77777777" w:rsidR="00000000" w:rsidRPr="0060384B" w:rsidRDefault="00CA5F6F">
      <w:pPr>
        <w:spacing w:line="245" w:lineRule="auto"/>
        <w:ind w:right="40"/>
        <w:rPr>
          <w:rFonts w:ascii="Lato" w:hAnsi="Lato"/>
          <w:color w:val="000000" w:themeColor="text1"/>
          <w:sz w:val="24"/>
          <w:szCs w:val="24"/>
        </w:rPr>
      </w:pPr>
      <w:r w:rsidRPr="0060384B">
        <w:rPr>
          <w:rFonts w:ascii="Lato" w:hAnsi="Lato"/>
          <w:color w:val="000000" w:themeColor="text1"/>
          <w:sz w:val="24"/>
          <w:szCs w:val="24"/>
        </w:rPr>
        <w:t>The complexity of Alzheimer</w:t>
      </w:r>
      <w:r w:rsidRPr="0060384B">
        <w:rPr>
          <w:rFonts w:ascii="Lato" w:hAnsi="Lato"/>
          <w:color w:val="000000" w:themeColor="text1"/>
          <w:sz w:val="24"/>
          <w:szCs w:val="24"/>
        </w:rPr>
        <w:t>’s disease and related dementias remains daunting. We now know there are multiple influences on these diseases, which, while broadly common, are uni</w:t>
      </w:r>
      <w:r w:rsidRPr="0060384B">
        <w:rPr>
          <w:rFonts w:ascii="Lato" w:hAnsi="Lato"/>
          <w:color w:val="000000" w:themeColor="text1"/>
          <w:sz w:val="24"/>
          <w:szCs w:val="24"/>
        </w:rPr>
        <w:t>que to a given individual. Ultimately, we want to devise a precision medicine approach to treatment and care, which will enable us to determine a person</w:t>
      </w:r>
      <w:r w:rsidRPr="0060384B">
        <w:rPr>
          <w:rFonts w:ascii="Lato" w:hAnsi="Lato"/>
          <w:color w:val="000000" w:themeColor="text1"/>
          <w:sz w:val="24"/>
          <w:szCs w:val="24"/>
        </w:rPr>
        <w:t>’s risk and tailor a mix of interventions most effective for that person.</w:t>
      </w:r>
    </w:p>
    <w:p w14:paraId="3AE2DB3F" w14:textId="77777777" w:rsidR="00000000" w:rsidRPr="0060384B" w:rsidRDefault="00CA5F6F">
      <w:pPr>
        <w:spacing w:line="249" w:lineRule="exact"/>
        <w:rPr>
          <w:rFonts w:ascii="Lato" w:eastAsia="Times New Roman" w:hAnsi="Lato"/>
          <w:color w:val="000000" w:themeColor="text1"/>
          <w:sz w:val="24"/>
          <w:szCs w:val="24"/>
        </w:rPr>
      </w:pPr>
    </w:p>
    <w:p w14:paraId="2C01DEE6" w14:textId="77777777" w:rsidR="00000000" w:rsidRPr="0060384B" w:rsidRDefault="00CA5F6F">
      <w:pPr>
        <w:spacing w:line="245" w:lineRule="auto"/>
        <w:ind w:right="40"/>
        <w:rPr>
          <w:rFonts w:ascii="Lato" w:hAnsi="Lato"/>
          <w:color w:val="000000" w:themeColor="text1"/>
          <w:sz w:val="24"/>
          <w:szCs w:val="24"/>
        </w:rPr>
      </w:pPr>
      <w:r w:rsidRPr="0060384B">
        <w:rPr>
          <w:rFonts w:ascii="Lato" w:hAnsi="Lato"/>
          <w:color w:val="000000" w:themeColor="text1"/>
          <w:sz w:val="24"/>
          <w:szCs w:val="24"/>
        </w:rPr>
        <w:t>This remarkable period of sci</w:t>
      </w:r>
      <w:r w:rsidRPr="0060384B">
        <w:rPr>
          <w:rFonts w:ascii="Lato" w:hAnsi="Lato"/>
          <w:color w:val="000000" w:themeColor="text1"/>
          <w:sz w:val="24"/>
          <w:szCs w:val="24"/>
        </w:rPr>
        <w:t>entific growth and discovery</w:t>
      </w:r>
      <w:r w:rsidRPr="0060384B">
        <w:rPr>
          <w:rFonts w:ascii="Lato" w:hAnsi="Lato"/>
          <w:color w:val="000000" w:themeColor="text1"/>
          <w:sz w:val="24"/>
          <w:szCs w:val="24"/>
        </w:rPr>
        <w:t>—and a continued high level of effort</w:t>
      </w:r>
      <w:r w:rsidRPr="0060384B">
        <w:rPr>
          <w:rFonts w:ascii="Lato" w:hAnsi="Lato"/>
          <w:color w:val="000000" w:themeColor="text1"/>
          <w:sz w:val="24"/>
          <w:szCs w:val="24"/>
        </w:rPr>
        <w:t>—will help us reach this goal. This report presents a small fraction of the latest findings by scientists nationwide who are engaged in the fight against Alzheimer</w:t>
      </w:r>
      <w:r w:rsidRPr="0060384B">
        <w:rPr>
          <w:rFonts w:ascii="Lato" w:hAnsi="Lato"/>
          <w:color w:val="000000" w:themeColor="text1"/>
          <w:sz w:val="24"/>
          <w:szCs w:val="24"/>
        </w:rPr>
        <w:t>’s disease and related demen</w:t>
      </w:r>
      <w:r w:rsidRPr="0060384B">
        <w:rPr>
          <w:rFonts w:ascii="Lato" w:hAnsi="Lato"/>
          <w:color w:val="000000" w:themeColor="text1"/>
          <w:sz w:val="24"/>
          <w:szCs w:val="24"/>
        </w:rPr>
        <w:t>tias. It also describes select programs and new initiatives to move promising discoveries to the next level. There is significant progress on several fronts:</w:t>
      </w:r>
    </w:p>
    <w:p w14:paraId="5ED0DD51" w14:textId="77777777" w:rsidR="00000000" w:rsidRPr="0060384B" w:rsidRDefault="00CA5F6F">
      <w:pPr>
        <w:spacing w:line="258" w:lineRule="exact"/>
        <w:rPr>
          <w:rFonts w:ascii="Lato" w:eastAsia="Times New Roman" w:hAnsi="Lato"/>
          <w:color w:val="000000" w:themeColor="text1"/>
          <w:sz w:val="24"/>
          <w:szCs w:val="24"/>
        </w:rPr>
      </w:pPr>
    </w:p>
    <w:p w14:paraId="0DC75C5F" w14:textId="77777777" w:rsidR="00000000" w:rsidRPr="0060384B" w:rsidRDefault="00CA5F6F">
      <w:pPr>
        <w:numPr>
          <w:ilvl w:val="0"/>
          <w:numId w:val="4"/>
        </w:numPr>
        <w:tabs>
          <w:tab w:val="left" w:pos="540"/>
        </w:tabs>
        <w:spacing w:line="242" w:lineRule="auto"/>
        <w:ind w:left="540" w:right="20" w:hanging="360"/>
        <w:rPr>
          <w:rFonts w:ascii="Lato" w:eastAsia="Arial" w:hAnsi="Lato"/>
          <w:color w:val="000000" w:themeColor="text1"/>
          <w:sz w:val="24"/>
          <w:szCs w:val="24"/>
        </w:rPr>
      </w:pPr>
      <w:r w:rsidRPr="0060384B">
        <w:rPr>
          <w:rFonts w:ascii="Lato" w:hAnsi="Lato"/>
          <w:b/>
          <w:color w:val="000000" w:themeColor="text1"/>
          <w:sz w:val="24"/>
          <w:szCs w:val="24"/>
        </w:rPr>
        <w:t>Deeper understanding of genetic risk factors for Alzheimer</w:t>
      </w:r>
      <w:r w:rsidRPr="0060384B">
        <w:rPr>
          <w:rFonts w:ascii="Lato" w:hAnsi="Lato"/>
          <w:b/>
          <w:color w:val="000000" w:themeColor="text1"/>
          <w:sz w:val="24"/>
          <w:szCs w:val="24"/>
        </w:rPr>
        <w:t xml:space="preserve">’s, dementia with Lewy bodies. </w:t>
      </w:r>
      <w:r w:rsidRPr="0060384B">
        <w:rPr>
          <w:rFonts w:ascii="Lato" w:hAnsi="Lato"/>
          <w:color w:val="000000" w:themeColor="text1"/>
          <w:sz w:val="24"/>
          <w:szCs w:val="24"/>
        </w:rPr>
        <w:t xml:space="preserve">In 2018 </w:t>
      </w:r>
      <w:r w:rsidRPr="0060384B">
        <w:rPr>
          <w:rFonts w:ascii="Lato" w:hAnsi="Lato"/>
          <w:color w:val="000000" w:themeColor="text1"/>
          <w:sz w:val="24"/>
          <w:szCs w:val="24"/>
        </w:rPr>
        <w:t>alone, the number of genetic risk factors found to be implicated in</w:t>
      </w:r>
      <w:r w:rsidRPr="0060384B">
        <w:rPr>
          <w:rFonts w:ascii="Lato" w:hAnsi="Lato"/>
          <w:b/>
          <w:color w:val="000000" w:themeColor="text1"/>
          <w:sz w:val="24"/>
          <w:szCs w:val="24"/>
        </w:rPr>
        <w:t xml:space="preserve"> </w:t>
      </w:r>
      <w:r w:rsidRPr="0060384B">
        <w:rPr>
          <w:rFonts w:ascii="Lato" w:hAnsi="Lato"/>
          <w:color w:val="000000" w:themeColor="text1"/>
          <w:sz w:val="24"/>
          <w:szCs w:val="24"/>
        </w:rPr>
        <w:t>Alzheimer</w:t>
      </w:r>
      <w:r w:rsidRPr="0060384B">
        <w:rPr>
          <w:rFonts w:ascii="Lato" w:hAnsi="Lato"/>
          <w:color w:val="000000" w:themeColor="text1"/>
          <w:sz w:val="24"/>
          <w:szCs w:val="24"/>
        </w:rPr>
        <w:t>’s disease was larger than what had been identified in all previous years combined. This amazing pace of discovery is evidenced by new research that revealed an additional five ne</w:t>
      </w:r>
      <w:r w:rsidRPr="0060384B">
        <w:rPr>
          <w:rFonts w:ascii="Lato" w:hAnsi="Lato"/>
          <w:color w:val="000000" w:themeColor="text1"/>
          <w:sz w:val="24"/>
          <w:szCs w:val="24"/>
        </w:rPr>
        <w:t>w risk genes and confirmed 20 known others. And, for the first time, researchers have been able to report findings from a large-scale genome-wide association study of dementia with Lewy bodies, which found associations with genes common to multiple neurode</w:t>
      </w:r>
      <w:r w:rsidRPr="0060384B">
        <w:rPr>
          <w:rFonts w:ascii="Lato" w:hAnsi="Lato"/>
          <w:color w:val="000000" w:themeColor="text1"/>
          <w:sz w:val="24"/>
          <w:szCs w:val="24"/>
        </w:rPr>
        <w:t>generative diseases and others involving pathways that may be unique to this condition. A collaborative, international infrastructure of large databases from dozens of population and genetics studies is the basis for accelerated progress in genetics.</w:t>
      </w:r>
    </w:p>
    <w:p w14:paraId="342F6A3A" w14:textId="77777777" w:rsidR="00000000" w:rsidRPr="0060384B" w:rsidRDefault="00CA5F6F">
      <w:pPr>
        <w:tabs>
          <w:tab w:val="left" w:pos="540"/>
        </w:tabs>
        <w:spacing w:line="242" w:lineRule="auto"/>
        <w:ind w:left="540" w:right="20" w:hanging="360"/>
        <w:rPr>
          <w:rFonts w:ascii="Lato" w:eastAsia="Arial" w:hAnsi="Lato"/>
          <w:color w:val="000000" w:themeColor="text1"/>
          <w:sz w:val="24"/>
          <w:szCs w:val="24"/>
        </w:rPr>
        <w:sectPr w:rsidR="00000000" w:rsidRPr="0060384B">
          <w:pgSz w:w="12240" w:h="15840"/>
          <w:pgMar w:top="1145" w:right="1440" w:bottom="0" w:left="1440" w:header="0" w:footer="0" w:gutter="0"/>
          <w:cols w:space="0" w:equalWidth="0">
            <w:col w:w="9360"/>
          </w:cols>
          <w:docGrid w:linePitch="360"/>
        </w:sectPr>
      </w:pPr>
    </w:p>
    <w:p w14:paraId="1A0AF203" w14:textId="77777777" w:rsidR="00000000" w:rsidRPr="0060384B" w:rsidRDefault="00CA5F6F">
      <w:pPr>
        <w:spacing w:line="200" w:lineRule="exact"/>
        <w:rPr>
          <w:rFonts w:ascii="Lato" w:eastAsia="Times New Roman" w:hAnsi="Lato"/>
          <w:color w:val="000000" w:themeColor="text1"/>
          <w:sz w:val="24"/>
          <w:szCs w:val="24"/>
        </w:rPr>
      </w:pPr>
    </w:p>
    <w:p w14:paraId="30F326BF" w14:textId="77777777" w:rsidR="00000000" w:rsidRPr="0060384B" w:rsidRDefault="00CA5F6F">
      <w:pPr>
        <w:spacing w:line="200" w:lineRule="exact"/>
        <w:rPr>
          <w:rFonts w:ascii="Lato" w:eastAsia="Times New Roman" w:hAnsi="Lato"/>
          <w:color w:val="000000" w:themeColor="text1"/>
          <w:sz w:val="24"/>
          <w:szCs w:val="24"/>
        </w:rPr>
      </w:pPr>
    </w:p>
    <w:p w14:paraId="7B223610" w14:textId="77777777" w:rsidR="00000000" w:rsidRPr="0060384B" w:rsidRDefault="00CA5F6F">
      <w:pPr>
        <w:spacing w:line="200" w:lineRule="exact"/>
        <w:rPr>
          <w:rFonts w:ascii="Lato" w:eastAsia="Times New Roman" w:hAnsi="Lato"/>
          <w:color w:val="000000" w:themeColor="text1"/>
          <w:sz w:val="24"/>
          <w:szCs w:val="24"/>
        </w:rPr>
      </w:pPr>
    </w:p>
    <w:p w14:paraId="6A810B5B" w14:textId="77777777" w:rsidR="00000000" w:rsidRPr="0060384B" w:rsidRDefault="00CA5F6F">
      <w:pPr>
        <w:spacing w:line="249"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80"/>
        <w:gridCol w:w="2780"/>
      </w:tblGrid>
      <w:tr w:rsidR="00000000" w:rsidRPr="0060384B" w14:paraId="669E8D70" w14:textId="77777777">
        <w:trPr>
          <w:trHeight w:val="245"/>
        </w:trPr>
        <w:tc>
          <w:tcPr>
            <w:tcW w:w="6580" w:type="dxa"/>
            <w:shd w:val="clear" w:color="auto" w:fill="auto"/>
            <w:vAlign w:val="bottom"/>
          </w:tcPr>
          <w:p w14:paraId="739D9286"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780" w:type="dxa"/>
            <w:shd w:val="clear" w:color="auto" w:fill="auto"/>
            <w:vAlign w:val="bottom"/>
          </w:tcPr>
          <w:p w14:paraId="7F0B112B"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6</w:t>
            </w:r>
          </w:p>
        </w:tc>
      </w:tr>
      <w:tr w:rsidR="00000000" w:rsidRPr="0060384B" w14:paraId="0061E8B9" w14:textId="77777777">
        <w:trPr>
          <w:trHeight w:val="258"/>
        </w:trPr>
        <w:tc>
          <w:tcPr>
            <w:tcW w:w="6580" w:type="dxa"/>
            <w:shd w:val="clear" w:color="auto" w:fill="auto"/>
            <w:vAlign w:val="bottom"/>
          </w:tcPr>
          <w:p w14:paraId="6BA4F466"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NIH Bypass Budget Proposal for Fiscal Year 2021</w:t>
            </w:r>
          </w:p>
        </w:tc>
        <w:tc>
          <w:tcPr>
            <w:tcW w:w="2780" w:type="dxa"/>
            <w:shd w:val="clear" w:color="auto" w:fill="auto"/>
            <w:vAlign w:val="bottom"/>
          </w:tcPr>
          <w:p w14:paraId="3240F0C8" w14:textId="77777777" w:rsidR="00000000" w:rsidRPr="0060384B" w:rsidRDefault="00CA5F6F">
            <w:pPr>
              <w:spacing w:line="0" w:lineRule="atLeast"/>
              <w:rPr>
                <w:rFonts w:ascii="Lato" w:eastAsia="Times New Roman" w:hAnsi="Lato"/>
                <w:color w:val="000000" w:themeColor="text1"/>
                <w:sz w:val="24"/>
                <w:szCs w:val="24"/>
              </w:rPr>
            </w:pPr>
          </w:p>
        </w:tc>
      </w:tr>
    </w:tbl>
    <w:p w14:paraId="4729C04C"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45" w:right="1440" w:bottom="0" w:left="1440" w:header="0" w:footer="0" w:gutter="0"/>
          <w:cols w:space="0" w:equalWidth="0">
            <w:col w:w="9360"/>
          </w:cols>
          <w:docGrid w:linePitch="360"/>
        </w:sectPr>
      </w:pPr>
    </w:p>
    <w:p w14:paraId="27C2FB34" w14:textId="77777777" w:rsidR="00000000" w:rsidRPr="0060384B" w:rsidRDefault="00CA5F6F">
      <w:pPr>
        <w:spacing w:line="244" w:lineRule="auto"/>
        <w:ind w:left="540" w:right="400"/>
        <w:rPr>
          <w:rFonts w:ascii="Lato" w:hAnsi="Lato"/>
          <w:color w:val="000000" w:themeColor="text1"/>
          <w:sz w:val="24"/>
          <w:szCs w:val="24"/>
        </w:rPr>
      </w:pPr>
      <w:bookmarkStart w:id="9" w:name="page10"/>
      <w:bookmarkEnd w:id="9"/>
      <w:r w:rsidRPr="0060384B">
        <w:rPr>
          <w:rFonts w:ascii="Lato" w:hAnsi="Lato"/>
          <w:color w:val="000000" w:themeColor="text1"/>
          <w:sz w:val="24"/>
          <w:szCs w:val="24"/>
        </w:rPr>
        <w:lastRenderedPageBreak/>
        <w:t xml:space="preserve">These types of discoveries have led to the evolving concept of </w:t>
      </w:r>
      <w:r w:rsidRPr="0060384B">
        <w:rPr>
          <w:rFonts w:ascii="Lato" w:hAnsi="Lato"/>
          <w:color w:val="000000" w:themeColor="text1"/>
          <w:sz w:val="24"/>
          <w:szCs w:val="24"/>
        </w:rPr>
        <w:t>“genetic hubs</w:t>
      </w:r>
      <w:r w:rsidRPr="0060384B">
        <w:rPr>
          <w:rFonts w:ascii="Lato" w:hAnsi="Lato"/>
          <w:color w:val="000000" w:themeColor="text1"/>
          <w:sz w:val="24"/>
          <w:szCs w:val="24"/>
        </w:rPr>
        <w:t xml:space="preserve">” for dementia, in which clusters of genes in common pathways with similar function contribute to disease </w:t>
      </w:r>
      <w:r w:rsidRPr="0060384B">
        <w:rPr>
          <w:rFonts w:ascii="Lato" w:hAnsi="Lato"/>
          <w:color w:val="000000" w:themeColor="text1"/>
          <w:sz w:val="24"/>
          <w:szCs w:val="24"/>
        </w:rPr>
        <w:t>risk. Emerging hubs include pathways involved in cholesterol metabolism, neuroinflammation, cellular immunity, and endocytosis. Technological advances now allow for pathway analyses to focus on optimal targets for the design of new drugs.</w:t>
      </w:r>
    </w:p>
    <w:p w14:paraId="7E2BC8B6" w14:textId="77777777" w:rsidR="00000000" w:rsidRPr="0060384B" w:rsidRDefault="00CA5F6F">
      <w:pPr>
        <w:spacing w:line="259" w:lineRule="exact"/>
        <w:rPr>
          <w:rFonts w:ascii="Lato" w:eastAsia="Times New Roman" w:hAnsi="Lato"/>
          <w:color w:val="000000" w:themeColor="text1"/>
          <w:sz w:val="24"/>
          <w:szCs w:val="24"/>
        </w:rPr>
      </w:pPr>
    </w:p>
    <w:p w14:paraId="70BFF19D" w14:textId="77777777" w:rsidR="00000000" w:rsidRPr="0060384B" w:rsidRDefault="00CA5F6F">
      <w:pPr>
        <w:numPr>
          <w:ilvl w:val="0"/>
          <w:numId w:val="5"/>
        </w:numPr>
        <w:tabs>
          <w:tab w:val="left" w:pos="540"/>
        </w:tabs>
        <w:spacing w:line="242" w:lineRule="auto"/>
        <w:ind w:left="540" w:right="100" w:hanging="353"/>
        <w:rPr>
          <w:rFonts w:ascii="Lato" w:eastAsia="Arial" w:hAnsi="Lato"/>
          <w:color w:val="000000" w:themeColor="text1"/>
          <w:sz w:val="24"/>
          <w:szCs w:val="24"/>
        </w:rPr>
      </w:pPr>
      <w:r w:rsidRPr="0060384B">
        <w:rPr>
          <w:rFonts w:ascii="Lato" w:hAnsi="Lato"/>
          <w:b/>
          <w:color w:val="000000" w:themeColor="text1"/>
          <w:sz w:val="24"/>
          <w:szCs w:val="24"/>
        </w:rPr>
        <w:t>Revealing diseas</w:t>
      </w:r>
      <w:r w:rsidRPr="0060384B">
        <w:rPr>
          <w:rFonts w:ascii="Lato" w:hAnsi="Lato"/>
          <w:b/>
          <w:color w:val="000000" w:themeColor="text1"/>
          <w:sz w:val="24"/>
          <w:szCs w:val="24"/>
        </w:rPr>
        <w:t xml:space="preserve">e mechanisms. </w:t>
      </w:r>
      <w:r w:rsidRPr="0060384B">
        <w:rPr>
          <w:rFonts w:ascii="Lato" w:hAnsi="Lato"/>
          <w:color w:val="000000" w:themeColor="text1"/>
          <w:sz w:val="24"/>
          <w:szCs w:val="24"/>
        </w:rPr>
        <w:t>New studies point more specifically than ever before to</w:t>
      </w:r>
      <w:r w:rsidRPr="0060384B">
        <w:rPr>
          <w:rFonts w:ascii="Lato" w:hAnsi="Lato"/>
          <w:b/>
          <w:color w:val="000000" w:themeColor="text1"/>
          <w:sz w:val="24"/>
          <w:szCs w:val="24"/>
        </w:rPr>
        <w:t xml:space="preserve"> </w:t>
      </w:r>
      <w:r w:rsidRPr="0060384B">
        <w:rPr>
          <w:rFonts w:ascii="Lato" w:hAnsi="Lato"/>
          <w:color w:val="000000" w:themeColor="text1"/>
          <w:sz w:val="24"/>
          <w:szCs w:val="24"/>
        </w:rPr>
        <w:t xml:space="preserve">how brain function may be compromised in dementia. Scientists examining the microbiome, which is of interest in relation to various diseases, describe how disruptions in the </w:t>
      </w:r>
      <w:r w:rsidRPr="0060384B">
        <w:rPr>
          <w:rFonts w:ascii="Lato" w:hAnsi="Lato"/>
          <w:color w:val="000000" w:themeColor="text1"/>
          <w:sz w:val="24"/>
          <w:szCs w:val="24"/>
        </w:rPr>
        <w:t>“gut-brain a</w:t>
      </w:r>
      <w:r w:rsidRPr="0060384B">
        <w:rPr>
          <w:rFonts w:ascii="Lato" w:hAnsi="Lato"/>
          <w:color w:val="000000" w:themeColor="text1"/>
          <w:sz w:val="24"/>
          <w:szCs w:val="24"/>
        </w:rPr>
        <w:t>xis</w:t>
      </w:r>
      <w:r w:rsidRPr="0060384B">
        <w:rPr>
          <w:rFonts w:ascii="Lato" w:hAnsi="Lato"/>
          <w:color w:val="000000" w:themeColor="text1"/>
          <w:sz w:val="24"/>
          <w:szCs w:val="24"/>
        </w:rPr>
        <w:t>” might contribute to cognitive impairment by altering levels of serum bile acids. Other investigators tracked how sleep deprivation contributes to the release, accumulation, and spread of tau into tangles in brain areas important for memory. Researcher</w:t>
      </w:r>
      <w:r w:rsidRPr="0060384B">
        <w:rPr>
          <w:rFonts w:ascii="Lato" w:hAnsi="Lato"/>
          <w:color w:val="000000" w:themeColor="text1"/>
          <w:sz w:val="24"/>
          <w:szCs w:val="24"/>
        </w:rPr>
        <w:t>s also reported on the misfolding of a protein called TDP-43 as a broad influence on neurodegenerative disease, suggesting that its impact should be assessed in the future across studies in dementia. Insights such as these are vital to understanding specif</w:t>
      </w:r>
      <w:r w:rsidRPr="0060384B">
        <w:rPr>
          <w:rFonts w:ascii="Lato" w:hAnsi="Lato"/>
          <w:color w:val="000000" w:themeColor="text1"/>
          <w:sz w:val="24"/>
          <w:szCs w:val="24"/>
        </w:rPr>
        <w:t>ic mechanisms that cause Alzheimer</w:t>
      </w:r>
      <w:r w:rsidRPr="0060384B">
        <w:rPr>
          <w:rFonts w:ascii="Lato" w:hAnsi="Lato"/>
          <w:color w:val="000000" w:themeColor="text1"/>
          <w:sz w:val="24"/>
          <w:szCs w:val="24"/>
        </w:rPr>
        <w:t>’s and related dementias and, together with genetics discoveries, are an important step in the development of effective drug and other treatments.</w:t>
      </w:r>
    </w:p>
    <w:p w14:paraId="0EA50BD9" w14:textId="77777777" w:rsidR="00000000" w:rsidRPr="0060384B" w:rsidRDefault="00CA5F6F">
      <w:pPr>
        <w:spacing w:line="223" w:lineRule="exact"/>
        <w:rPr>
          <w:rFonts w:ascii="Lato" w:eastAsia="Arial" w:hAnsi="Lato"/>
          <w:color w:val="000000" w:themeColor="text1"/>
          <w:sz w:val="24"/>
          <w:szCs w:val="24"/>
        </w:rPr>
      </w:pPr>
    </w:p>
    <w:p w14:paraId="6CC44864" w14:textId="77777777" w:rsidR="00000000" w:rsidRPr="0060384B" w:rsidRDefault="00CA5F6F">
      <w:pPr>
        <w:numPr>
          <w:ilvl w:val="0"/>
          <w:numId w:val="5"/>
        </w:numPr>
        <w:tabs>
          <w:tab w:val="left" w:pos="540"/>
        </w:tabs>
        <w:spacing w:line="242" w:lineRule="auto"/>
        <w:ind w:left="540" w:right="20" w:hanging="353"/>
        <w:rPr>
          <w:rFonts w:ascii="Lato" w:eastAsia="Arial" w:hAnsi="Lato"/>
          <w:color w:val="000000" w:themeColor="text1"/>
          <w:sz w:val="24"/>
          <w:szCs w:val="24"/>
        </w:rPr>
      </w:pPr>
      <w:r w:rsidRPr="0060384B">
        <w:rPr>
          <w:rFonts w:ascii="Lato" w:hAnsi="Lato"/>
          <w:b/>
          <w:color w:val="000000" w:themeColor="text1"/>
          <w:sz w:val="24"/>
          <w:szCs w:val="24"/>
        </w:rPr>
        <w:t xml:space="preserve">Better biological, behavioral markers to detect and diagnose disease. </w:t>
      </w:r>
      <w:r w:rsidRPr="0060384B">
        <w:rPr>
          <w:rFonts w:ascii="Lato" w:hAnsi="Lato"/>
          <w:color w:val="000000" w:themeColor="text1"/>
          <w:sz w:val="24"/>
          <w:szCs w:val="24"/>
        </w:rPr>
        <w:t xml:space="preserve">The </w:t>
      </w:r>
      <w:r w:rsidRPr="0060384B">
        <w:rPr>
          <w:rFonts w:ascii="Lato" w:hAnsi="Lato"/>
          <w:color w:val="000000" w:themeColor="text1"/>
          <w:sz w:val="24"/>
          <w:szCs w:val="24"/>
        </w:rPr>
        <w:t>identification</w:t>
      </w:r>
      <w:r w:rsidRPr="0060384B">
        <w:rPr>
          <w:rFonts w:ascii="Lato" w:hAnsi="Lato"/>
          <w:b/>
          <w:color w:val="000000" w:themeColor="text1"/>
          <w:sz w:val="24"/>
          <w:szCs w:val="24"/>
        </w:rPr>
        <w:t xml:space="preserve"> </w:t>
      </w:r>
      <w:r w:rsidRPr="0060384B">
        <w:rPr>
          <w:rFonts w:ascii="Lato" w:hAnsi="Lato"/>
          <w:color w:val="000000" w:themeColor="text1"/>
          <w:sz w:val="24"/>
          <w:szCs w:val="24"/>
        </w:rPr>
        <w:t>and use of clinical, imaging, genetic, and biochemical biomarkers is literally redefining Alzheimer</w:t>
      </w:r>
      <w:r w:rsidRPr="0060384B">
        <w:rPr>
          <w:rFonts w:ascii="Lato" w:hAnsi="Lato"/>
          <w:color w:val="000000" w:themeColor="text1"/>
          <w:sz w:val="24"/>
          <w:szCs w:val="24"/>
        </w:rPr>
        <w:t>’s disease. It is now possible, in a research setting, to use brain imaging and measures of tau and amyloid in cerebrospinal fluid to diagnose</w:t>
      </w:r>
      <w:r w:rsidRPr="0060384B">
        <w:rPr>
          <w:rFonts w:ascii="Lato" w:hAnsi="Lato"/>
          <w:color w:val="000000" w:themeColor="text1"/>
          <w:sz w:val="24"/>
          <w:szCs w:val="24"/>
        </w:rPr>
        <w:t xml:space="preserve"> Alzheimer</w:t>
      </w:r>
      <w:r w:rsidRPr="0060384B">
        <w:rPr>
          <w:rFonts w:ascii="Lato" w:hAnsi="Lato"/>
          <w:color w:val="000000" w:themeColor="text1"/>
          <w:sz w:val="24"/>
          <w:szCs w:val="24"/>
        </w:rPr>
        <w:t>’s and to use these markers to gauge the biological effects of interventions being tested in clinical trials. As these approaches continue to be refined and validated, new studies are looking at easier and less expensive approaches to biomarker d</w:t>
      </w:r>
      <w:r w:rsidRPr="0060384B">
        <w:rPr>
          <w:rFonts w:ascii="Lato" w:hAnsi="Lato"/>
          <w:color w:val="000000" w:themeColor="text1"/>
          <w:sz w:val="24"/>
          <w:szCs w:val="24"/>
        </w:rPr>
        <w:t>etection, including brain and blood metabolites associated with disease pathology and progression. These types of studies could lead the way to easier biomarker measures for study participants and researchers as they aim to greatly speed tracking in clinic</w:t>
      </w:r>
      <w:r w:rsidRPr="0060384B">
        <w:rPr>
          <w:rFonts w:ascii="Lato" w:hAnsi="Lato"/>
          <w:color w:val="000000" w:themeColor="text1"/>
          <w:sz w:val="24"/>
          <w:szCs w:val="24"/>
        </w:rPr>
        <w:t>al trials. Eventually, biomarker approaches could make their way into everyday clinical practice for the earliest detection of disease, before the symptoms of dementia become evident.</w:t>
      </w:r>
    </w:p>
    <w:p w14:paraId="411A05E3" w14:textId="77777777" w:rsidR="00000000" w:rsidRPr="0060384B" w:rsidRDefault="00CA5F6F">
      <w:pPr>
        <w:spacing w:line="223" w:lineRule="exact"/>
        <w:rPr>
          <w:rFonts w:ascii="Lato" w:eastAsia="Arial" w:hAnsi="Lato"/>
          <w:color w:val="000000" w:themeColor="text1"/>
          <w:sz w:val="24"/>
          <w:szCs w:val="24"/>
        </w:rPr>
      </w:pPr>
    </w:p>
    <w:p w14:paraId="1E609C20" w14:textId="77777777" w:rsidR="00000000" w:rsidRPr="0060384B" w:rsidRDefault="00CA5F6F">
      <w:pPr>
        <w:numPr>
          <w:ilvl w:val="0"/>
          <w:numId w:val="5"/>
        </w:numPr>
        <w:tabs>
          <w:tab w:val="left" w:pos="540"/>
        </w:tabs>
        <w:spacing w:line="242" w:lineRule="auto"/>
        <w:ind w:left="540" w:right="20" w:hanging="360"/>
        <w:rPr>
          <w:rFonts w:ascii="Lato" w:eastAsia="Arial" w:hAnsi="Lato"/>
          <w:color w:val="000000" w:themeColor="text1"/>
          <w:sz w:val="24"/>
          <w:szCs w:val="24"/>
        </w:rPr>
      </w:pPr>
      <w:r w:rsidRPr="0060384B">
        <w:rPr>
          <w:rFonts w:ascii="Lato" w:hAnsi="Lato"/>
          <w:b/>
          <w:color w:val="000000" w:themeColor="text1"/>
          <w:sz w:val="24"/>
          <w:szCs w:val="24"/>
        </w:rPr>
        <w:t xml:space="preserve">Accelerating drug design to human testing. </w:t>
      </w:r>
      <w:r w:rsidRPr="0060384B">
        <w:rPr>
          <w:rFonts w:ascii="Lato" w:hAnsi="Lato"/>
          <w:color w:val="000000" w:themeColor="text1"/>
          <w:sz w:val="24"/>
          <w:szCs w:val="24"/>
        </w:rPr>
        <w:t>The path from target and bio</w:t>
      </w:r>
      <w:r w:rsidRPr="0060384B">
        <w:rPr>
          <w:rFonts w:ascii="Lato" w:hAnsi="Lato"/>
          <w:color w:val="000000" w:themeColor="text1"/>
          <w:sz w:val="24"/>
          <w:szCs w:val="24"/>
        </w:rPr>
        <w:t>marker</w:t>
      </w:r>
      <w:r w:rsidRPr="0060384B">
        <w:rPr>
          <w:rFonts w:ascii="Lato" w:hAnsi="Lato"/>
          <w:b/>
          <w:color w:val="000000" w:themeColor="text1"/>
          <w:sz w:val="24"/>
          <w:szCs w:val="24"/>
        </w:rPr>
        <w:t xml:space="preserve"> </w:t>
      </w:r>
      <w:r w:rsidRPr="0060384B">
        <w:rPr>
          <w:rFonts w:ascii="Lato" w:hAnsi="Lato"/>
          <w:color w:val="000000" w:themeColor="text1"/>
          <w:sz w:val="24"/>
          <w:szCs w:val="24"/>
        </w:rPr>
        <w:t xml:space="preserve">identification to the development and testing of a drug that can be evaluated in humans is often referred to as the </w:t>
      </w:r>
      <w:r w:rsidRPr="0060384B">
        <w:rPr>
          <w:rFonts w:ascii="Lato" w:hAnsi="Lato"/>
          <w:color w:val="000000" w:themeColor="text1"/>
          <w:sz w:val="24"/>
          <w:szCs w:val="24"/>
        </w:rPr>
        <w:t>“Valley of Death.</w:t>
      </w:r>
      <w:r w:rsidRPr="0060384B">
        <w:rPr>
          <w:rFonts w:ascii="Lato" w:hAnsi="Lato"/>
          <w:color w:val="000000" w:themeColor="text1"/>
          <w:sz w:val="24"/>
          <w:szCs w:val="24"/>
        </w:rPr>
        <w:t>” Extensive NIH efforts to avoid this chasm are starting to pay off, in part by working to more precisely align drug</w:t>
      </w:r>
      <w:r w:rsidRPr="0060384B">
        <w:rPr>
          <w:rFonts w:ascii="Lato" w:hAnsi="Lato"/>
          <w:color w:val="000000" w:themeColor="text1"/>
          <w:sz w:val="24"/>
          <w:szCs w:val="24"/>
        </w:rPr>
        <w:t xml:space="preserve"> development directly with disease mechanisms. A new effort to make animal models more predictive in initial phases of testing has generated eight new mouse models of late-onset Alzheimer</w:t>
      </w:r>
      <w:r w:rsidRPr="0060384B">
        <w:rPr>
          <w:rFonts w:ascii="Lato" w:hAnsi="Lato"/>
          <w:color w:val="000000" w:themeColor="text1"/>
          <w:sz w:val="24"/>
          <w:szCs w:val="24"/>
        </w:rPr>
        <w:t>’s disease, and human adult stem cells are helping to generate tissue</w:t>
      </w:r>
      <w:r w:rsidRPr="0060384B">
        <w:rPr>
          <w:rFonts w:ascii="Lato" w:hAnsi="Lato"/>
          <w:color w:val="000000" w:themeColor="text1"/>
          <w:sz w:val="24"/>
          <w:szCs w:val="24"/>
        </w:rPr>
        <w:t xml:space="preserve"> models of brain cell interactions. A vibrant drug discovery and development enterprise features more than 30 novel drugs for Alzheimer</w:t>
      </w:r>
      <w:r w:rsidRPr="0060384B">
        <w:rPr>
          <w:rFonts w:ascii="Lato" w:hAnsi="Lato"/>
          <w:color w:val="000000" w:themeColor="text1"/>
          <w:sz w:val="24"/>
          <w:szCs w:val="24"/>
        </w:rPr>
        <w:t>’s and related dementias in different stages of development for more than 12 different targets. Furthermore, the signatur</w:t>
      </w:r>
      <w:r w:rsidRPr="0060384B">
        <w:rPr>
          <w:rFonts w:ascii="Lato" w:hAnsi="Lato"/>
          <w:color w:val="000000" w:themeColor="text1"/>
          <w:sz w:val="24"/>
          <w:szCs w:val="24"/>
        </w:rPr>
        <w:t>e Accelerating Medicines Partnership</w:t>
      </w:r>
      <w:r w:rsidRPr="0060384B">
        <w:rPr>
          <w:rFonts w:ascii="Lato" w:hAnsi="Lato"/>
          <w:color w:val="000000" w:themeColor="text1"/>
          <w:sz w:val="24"/>
          <w:szCs w:val="24"/>
        </w:rPr>
        <w:t>–Alzheimer</w:t>
      </w:r>
      <w:r w:rsidRPr="0060384B">
        <w:rPr>
          <w:rFonts w:ascii="Lato" w:hAnsi="Lato"/>
          <w:color w:val="000000" w:themeColor="text1"/>
          <w:sz w:val="24"/>
          <w:szCs w:val="24"/>
        </w:rPr>
        <w:t>’s Disease program this past year identified 100 novel candidate targets, sharing data widely so that the scientific community can begin target validation and preclinical testing of promising approaches.</w:t>
      </w:r>
    </w:p>
    <w:p w14:paraId="7B52361D" w14:textId="77777777" w:rsidR="00000000" w:rsidRPr="0060384B" w:rsidRDefault="00CA5F6F">
      <w:pPr>
        <w:tabs>
          <w:tab w:val="left" w:pos="540"/>
        </w:tabs>
        <w:spacing w:line="242" w:lineRule="auto"/>
        <w:ind w:left="540" w:right="20" w:hanging="360"/>
        <w:rPr>
          <w:rFonts w:ascii="Lato" w:eastAsia="Arial"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1BF2E31C" w14:textId="77777777" w:rsidR="00000000" w:rsidRPr="0060384B" w:rsidRDefault="00CA5F6F">
      <w:pPr>
        <w:spacing w:line="349"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80"/>
        <w:gridCol w:w="2780"/>
      </w:tblGrid>
      <w:tr w:rsidR="00000000" w:rsidRPr="0060384B" w14:paraId="7AA30A0E" w14:textId="77777777">
        <w:trPr>
          <w:trHeight w:val="245"/>
        </w:trPr>
        <w:tc>
          <w:tcPr>
            <w:tcW w:w="6580" w:type="dxa"/>
            <w:shd w:val="clear" w:color="auto" w:fill="auto"/>
            <w:vAlign w:val="bottom"/>
          </w:tcPr>
          <w:p w14:paraId="4FFF644A"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TOGE</w:t>
            </w:r>
            <w:r w:rsidRPr="0060384B">
              <w:rPr>
                <w:rFonts w:ascii="Lato" w:hAnsi="Lato"/>
                <w:color w:val="000000" w:themeColor="text1"/>
                <w:sz w:val="24"/>
                <w:szCs w:val="24"/>
              </w:rPr>
              <w:t>THER WE SUCCEED</w:t>
            </w:r>
          </w:p>
        </w:tc>
        <w:tc>
          <w:tcPr>
            <w:tcW w:w="2780" w:type="dxa"/>
            <w:shd w:val="clear" w:color="auto" w:fill="auto"/>
            <w:vAlign w:val="bottom"/>
          </w:tcPr>
          <w:p w14:paraId="13B750CA"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7</w:t>
            </w:r>
          </w:p>
        </w:tc>
      </w:tr>
      <w:tr w:rsidR="00000000" w:rsidRPr="0060384B" w14:paraId="6C670AE1" w14:textId="77777777">
        <w:trPr>
          <w:trHeight w:val="258"/>
        </w:trPr>
        <w:tc>
          <w:tcPr>
            <w:tcW w:w="6580" w:type="dxa"/>
            <w:shd w:val="clear" w:color="auto" w:fill="auto"/>
            <w:vAlign w:val="bottom"/>
          </w:tcPr>
          <w:p w14:paraId="5BC5AF86"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780" w:type="dxa"/>
            <w:shd w:val="clear" w:color="auto" w:fill="auto"/>
            <w:vAlign w:val="bottom"/>
          </w:tcPr>
          <w:p w14:paraId="49EB8C02" w14:textId="77777777" w:rsidR="00000000" w:rsidRPr="0060384B" w:rsidRDefault="00CA5F6F">
            <w:pPr>
              <w:spacing w:line="0" w:lineRule="atLeast"/>
              <w:rPr>
                <w:rFonts w:ascii="Lato" w:eastAsia="Times New Roman" w:hAnsi="Lato"/>
                <w:color w:val="000000" w:themeColor="text1"/>
                <w:sz w:val="24"/>
                <w:szCs w:val="24"/>
              </w:rPr>
            </w:pPr>
          </w:p>
        </w:tc>
      </w:tr>
    </w:tbl>
    <w:p w14:paraId="481957FE"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0F5187AA" w14:textId="77777777" w:rsidR="00000000" w:rsidRPr="0060384B" w:rsidRDefault="00CA5F6F">
      <w:pPr>
        <w:spacing w:line="244" w:lineRule="auto"/>
        <w:ind w:left="540" w:right="280"/>
        <w:rPr>
          <w:rFonts w:ascii="Lato" w:hAnsi="Lato"/>
          <w:color w:val="000000" w:themeColor="text1"/>
          <w:sz w:val="24"/>
          <w:szCs w:val="24"/>
        </w:rPr>
      </w:pPr>
      <w:bookmarkStart w:id="10" w:name="page11"/>
      <w:bookmarkEnd w:id="10"/>
      <w:r w:rsidRPr="0060384B">
        <w:rPr>
          <w:rFonts w:ascii="Lato" w:hAnsi="Lato"/>
          <w:color w:val="000000" w:themeColor="text1"/>
          <w:sz w:val="24"/>
          <w:szCs w:val="24"/>
        </w:rPr>
        <w:lastRenderedPageBreak/>
        <w:t>As of spring 2019, NIH supported approximately 200 clinical trials on a wide range of interventions aimed at Alzheimer</w:t>
      </w:r>
      <w:r w:rsidRPr="0060384B">
        <w:rPr>
          <w:rFonts w:ascii="Lato" w:hAnsi="Lato"/>
          <w:color w:val="000000" w:themeColor="text1"/>
          <w:sz w:val="24"/>
          <w:szCs w:val="24"/>
        </w:rPr>
        <w:t xml:space="preserve">’s and cognitive decline. Targets for drug trials are moving into a </w:t>
      </w:r>
      <w:r w:rsidRPr="0060384B">
        <w:rPr>
          <w:rFonts w:ascii="Lato" w:hAnsi="Lato"/>
          <w:color w:val="000000" w:themeColor="text1"/>
          <w:sz w:val="24"/>
          <w:szCs w:val="24"/>
        </w:rPr>
        <w:t>next generation. While amyloid continues to be a target of clinical investigation, of the 41 pharmacological trials supported by NIA, 26 are looking at other targets. More than 80 current trials test nonpharmacological interventions, while an additional 60</w:t>
      </w:r>
      <w:r w:rsidRPr="0060384B">
        <w:rPr>
          <w:rFonts w:ascii="Lato" w:hAnsi="Lato"/>
          <w:color w:val="000000" w:themeColor="text1"/>
          <w:sz w:val="24"/>
          <w:szCs w:val="24"/>
        </w:rPr>
        <w:t xml:space="preserve"> are aimed at care and caregiving for people with dementia.</w:t>
      </w:r>
    </w:p>
    <w:p w14:paraId="45CE36CF" w14:textId="77777777" w:rsidR="00000000" w:rsidRPr="0060384B" w:rsidRDefault="00CA5F6F">
      <w:pPr>
        <w:spacing w:line="259" w:lineRule="exact"/>
        <w:rPr>
          <w:rFonts w:ascii="Lato" w:eastAsia="Times New Roman" w:hAnsi="Lato"/>
          <w:color w:val="000000" w:themeColor="text1"/>
          <w:sz w:val="24"/>
          <w:szCs w:val="24"/>
        </w:rPr>
      </w:pPr>
    </w:p>
    <w:p w14:paraId="131989EE" w14:textId="77777777" w:rsidR="00000000" w:rsidRPr="0060384B" w:rsidRDefault="00CA5F6F">
      <w:pPr>
        <w:numPr>
          <w:ilvl w:val="0"/>
          <w:numId w:val="6"/>
        </w:numPr>
        <w:tabs>
          <w:tab w:val="left" w:pos="540"/>
        </w:tabs>
        <w:spacing w:line="242" w:lineRule="auto"/>
        <w:ind w:left="540" w:right="120" w:hanging="360"/>
        <w:rPr>
          <w:rFonts w:ascii="Lato" w:eastAsia="Arial" w:hAnsi="Lato"/>
          <w:color w:val="000000" w:themeColor="text1"/>
          <w:sz w:val="24"/>
          <w:szCs w:val="24"/>
        </w:rPr>
      </w:pPr>
      <w:r w:rsidRPr="0060384B">
        <w:rPr>
          <w:rFonts w:ascii="Lato" w:hAnsi="Lato"/>
          <w:b/>
          <w:color w:val="000000" w:themeColor="text1"/>
          <w:sz w:val="24"/>
          <w:szCs w:val="24"/>
        </w:rPr>
        <w:t xml:space="preserve">Intensifying research on care, services. </w:t>
      </w:r>
      <w:r w:rsidRPr="0060384B">
        <w:rPr>
          <w:rFonts w:ascii="Lato" w:hAnsi="Lato"/>
          <w:color w:val="000000" w:themeColor="text1"/>
          <w:sz w:val="24"/>
          <w:szCs w:val="24"/>
        </w:rPr>
        <w:t>Fueled by the infusion of new funding, as well as</w:t>
      </w:r>
      <w:r w:rsidRPr="0060384B">
        <w:rPr>
          <w:rFonts w:ascii="Lato" w:hAnsi="Lato"/>
          <w:b/>
          <w:color w:val="000000" w:themeColor="text1"/>
          <w:sz w:val="24"/>
          <w:szCs w:val="24"/>
        </w:rPr>
        <w:t xml:space="preserve"> </w:t>
      </w:r>
      <w:r w:rsidRPr="0060384B">
        <w:rPr>
          <w:rFonts w:ascii="Lato" w:hAnsi="Lato"/>
          <w:color w:val="000000" w:themeColor="text1"/>
          <w:sz w:val="24"/>
          <w:szCs w:val="24"/>
        </w:rPr>
        <w:t>the first National Research Summit on Dementia Care, Services, and Supports for Persons with Dementia an</w:t>
      </w:r>
      <w:r w:rsidRPr="0060384B">
        <w:rPr>
          <w:rFonts w:ascii="Lato" w:hAnsi="Lato"/>
          <w:color w:val="000000" w:themeColor="text1"/>
          <w:sz w:val="24"/>
          <w:szCs w:val="24"/>
        </w:rPr>
        <w:t>d Their Caregivers in 2017, NIH is expanding and upgrading its crucial research program on care and services. The summit process resulted in 58 recommendations, and NIH in response quickly took steps to solicit related applications. New initiatives include</w:t>
      </w:r>
      <w:r w:rsidRPr="0060384B">
        <w:rPr>
          <w:rFonts w:ascii="Lato" w:hAnsi="Lato"/>
          <w:color w:val="000000" w:themeColor="text1"/>
          <w:sz w:val="24"/>
          <w:szCs w:val="24"/>
        </w:rPr>
        <w:t xml:space="preserve"> expansion of NIA</w:t>
      </w:r>
      <w:r w:rsidRPr="0060384B">
        <w:rPr>
          <w:rFonts w:ascii="Lato" w:hAnsi="Lato"/>
          <w:color w:val="000000" w:themeColor="text1"/>
          <w:sz w:val="24"/>
          <w:szCs w:val="24"/>
        </w:rPr>
        <w:t>’s Edward R. Roybal Centers for Translational Research in the Behavioral and Social Sciences of Aging to focus on interventions for dementia care and support, establishment of a new Alzheimer</w:t>
      </w:r>
      <w:r w:rsidRPr="0060384B">
        <w:rPr>
          <w:rFonts w:ascii="Lato" w:hAnsi="Lato"/>
          <w:color w:val="000000" w:themeColor="text1"/>
          <w:sz w:val="24"/>
          <w:szCs w:val="24"/>
        </w:rPr>
        <w:t>’s Disease and Alzheimer</w:t>
      </w:r>
      <w:r w:rsidRPr="0060384B">
        <w:rPr>
          <w:rFonts w:ascii="Lato" w:hAnsi="Lato"/>
          <w:color w:val="000000" w:themeColor="text1"/>
          <w:sz w:val="24"/>
          <w:szCs w:val="24"/>
        </w:rPr>
        <w:t>’s Disease-Related Demen</w:t>
      </w:r>
      <w:r w:rsidRPr="0060384B">
        <w:rPr>
          <w:rFonts w:ascii="Lato" w:hAnsi="Lato"/>
          <w:color w:val="000000" w:themeColor="text1"/>
          <w:sz w:val="24"/>
          <w:szCs w:val="24"/>
        </w:rPr>
        <w:t xml:space="preserve">tias Health Care Systems Research Collaboratory to organize studies within and among health care systems, and an opportunity to examine how community-based services can be used more effectively by people with dementia and caregivers who have not been able </w:t>
      </w:r>
      <w:r w:rsidRPr="0060384B">
        <w:rPr>
          <w:rFonts w:ascii="Lato" w:hAnsi="Lato"/>
          <w:color w:val="000000" w:themeColor="text1"/>
          <w:sz w:val="24"/>
          <w:szCs w:val="24"/>
        </w:rPr>
        <w:t>to take advantage of such services.</w:t>
      </w:r>
    </w:p>
    <w:p w14:paraId="55CD240F" w14:textId="77777777" w:rsidR="00000000" w:rsidRPr="0060384B" w:rsidRDefault="00CA5F6F">
      <w:pPr>
        <w:spacing w:line="252" w:lineRule="exact"/>
        <w:rPr>
          <w:rFonts w:ascii="Lato" w:eastAsia="Times New Roman" w:hAnsi="Lato"/>
          <w:color w:val="000000" w:themeColor="text1"/>
          <w:sz w:val="24"/>
          <w:szCs w:val="24"/>
        </w:rPr>
      </w:pPr>
    </w:p>
    <w:p w14:paraId="39ED40EC"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Expanding a Multidisciplinary Army of Investigators</w:t>
      </w:r>
    </w:p>
    <w:p w14:paraId="5DE05FAB" w14:textId="77777777" w:rsidR="00000000" w:rsidRPr="0060384B" w:rsidRDefault="00CA5F6F">
      <w:pPr>
        <w:spacing w:line="284" w:lineRule="exact"/>
        <w:rPr>
          <w:rFonts w:ascii="Lato" w:eastAsia="Times New Roman" w:hAnsi="Lato"/>
          <w:color w:val="000000" w:themeColor="text1"/>
          <w:sz w:val="24"/>
          <w:szCs w:val="24"/>
        </w:rPr>
      </w:pPr>
    </w:p>
    <w:p w14:paraId="03C31D55" w14:textId="77777777" w:rsidR="00000000" w:rsidRPr="0060384B" w:rsidRDefault="00CA5F6F">
      <w:pPr>
        <w:spacing w:line="242" w:lineRule="auto"/>
        <w:rPr>
          <w:rFonts w:ascii="Lato" w:hAnsi="Lato"/>
          <w:color w:val="000000" w:themeColor="text1"/>
          <w:sz w:val="24"/>
          <w:szCs w:val="24"/>
        </w:rPr>
      </w:pPr>
      <w:r w:rsidRPr="0060384B">
        <w:rPr>
          <w:rFonts w:ascii="Lato" w:hAnsi="Lato"/>
          <w:color w:val="000000" w:themeColor="text1"/>
          <w:sz w:val="24"/>
          <w:szCs w:val="24"/>
        </w:rPr>
        <w:t>The explosion in scientific opportunity has required NIH to engage more scientific minds in the Alzheimer</w:t>
      </w:r>
      <w:r w:rsidRPr="0060384B">
        <w:rPr>
          <w:rFonts w:ascii="Lato" w:hAnsi="Lato"/>
          <w:color w:val="000000" w:themeColor="text1"/>
          <w:sz w:val="24"/>
          <w:szCs w:val="24"/>
        </w:rPr>
        <w:t>’s and related dementias research mission. The expert cadre o</w:t>
      </w:r>
      <w:r w:rsidRPr="0060384B">
        <w:rPr>
          <w:rFonts w:ascii="Lato" w:hAnsi="Lato"/>
          <w:color w:val="000000" w:themeColor="text1"/>
          <w:sz w:val="24"/>
          <w:szCs w:val="24"/>
        </w:rPr>
        <w:t>f scientists who have for many years dedicated their careers to dementia, aging, and brain research have been able to do more with the support provided. Still, given the challenges, we need to expand their ranks and so have reached out to and engaged talen</w:t>
      </w:r>
      <w:r w:rsidRPr="0060384B">
        <w:rPr>
          <w:rFonts w:ascii="Lato" w:hAnsi="Lato"/>
          <w:color w:val="000000" w:themeColor="text1"/>
          <w:sz w:val="24"/>
          <w:szCs w:val="24"/>
        </w:rPr>
        <w:t>ted scientists not previously involved in Alzheimer</w:t>
      </w:r>
      <w:r w:rsidRPr="0060384B">
        <w:rPr>
          <w:rFonts w:ascii="Lato" w:hAnsi="Lato"/>
          <w:color w:val="000000" w:themeColor="text1"/>
          <w:sz w:val="24"/>
          <w:szCs w:val="24"/>
        </w:rPr>
        <w:t xml:space="preserve">’s and related dementias research. Efforts included 1) inviting researchers with non-AD/ADRD grants to apply for supplemental funding if their ongoing work could effectively contribute to AD/ADRD research </w:t>
      </w:r>
      <w:r w:rsidRPr="0060384B">
        <w:rPr>
          <w:rFonts w:ascii="Lato" w:hAnsi="Lato"/>
          <w:color w:val="000000" w:themeColor="text1"/>
          <w:sz w:val="24"/>
          <w:szCs w:val="24"/>
        </w:rPr>
        <w:t>and 2) encouraging both early- stage and established investigators who are new to the field to engage with AD/ADRD research.</w:t>
      </w:r>
    </w:p>
    <w:p w14:paraId="6F49032B" w14:textId="77777777" w:rsidR="00000000" w:rsidRPr="0060384B" w:rsidRDefault="00CA5F6F">
      <w:pPr>
        <w:spacing w:line="257" w:lineRule="exact"/>
        <w:rPr>
          <w:rFonts w:ascii="Lato" w:eastAsia="Times New Roman" w:hAnsi="Lato"/>
          <w:color w:val="000000" w:themeColor="text1"/>
          <w:sz w:val="24"/>
          <w:szCs w:val="24"/>
        </w:rPr>
      </w:pPr>
    </w:p>
    <w:p w14:paraId="5F0B78CA" w14:textId="77777777" w:rsidR="00000000" w:rsidRPr="0060384B" w:rsidRDefault="00CA5F6F">
      <w:pPr>
        <w:spacing w:line="245" w:lineRule="auto"/>
        <w:ind w:right="400"/>
        <w:rPr>
          <w:rFonts w:ascii="Lato" w:hAnsi="Lato"/>
          <w:color w:val="000000" w:themeColor="text1"/>
          <w:sz w:val="24"/>
          <w:szCs w:val="24"/>
        </w:rPr>
      </w:pPr>
      <w:r w:rsidRPr="0060384B">
        <w:rPr>
          <w:rFonts w:ascii="Lato" w:hAnsi="Lato"/>
          <w:color w:val="000000" w:themeColor="text1"/>
          <w:sz w:val="24"/>
          <w:szCs w:val="24"/>
        </w:rPr>
        <w:t>Working with colleagues across NIH, NIA issued a notice for researchers holding grants from other NIH components to apply for supp</w:t>
      </w:r>
      <w:r w:rsidRPr="0060384B">
        <w:rPr>
          <w:rFonts w:ascii="Lato" w:hAnsi="Lato"/>
          <w:color w:val="000000" w:themeColor="text1"/>
          <w:sz w:val="24"/>
          <w:szCs w:val="24"/>
        </w:rPr>
        <w:t>lemental funding for research relevant both to Alzheimer</w:t>
      </w:r>
      <w:r w:rsidRPr="0060384B">
        <w:rPr>
          <w:rFonts w:ascii="Lato" w:hAnsi="Lato"/>
          <w:color w:val="000000" w:themeColor="text1"/>
          <w:sz w:val="24"/>
          <w:szCs w:val="24"/>
        </w:rPr>
        <w:t xml:space="preserve">’s and related dementias and to the topic of their existing grants. The result: In FY 2018, approximately 300 supplements totaling more than $132 million were awarded to investigators representing 25 </w:t>
      </w:r>
      <w:r w:rsidRPr="0060384B">
        <w:rPr>
          <w:rFonts w:ascii="Lato" w:hAnsi="Lato"/>
          <w:color w:val="000000" w:themeColor="text1"/>
          <w:sz w:val="24"/>
          <w:szCs w:val="24"/>
        </w:rPr>
        <w:t>NIH institutes, centers, and offices. Examples included:</w:t>
      </w:r>
    </w:p>
    <w:p w14:paraId="5625B413" w14:textId="77777777" w:rsidR="00000000" w:rsidRPr="0060384B" w:rsidRDefault="00CA5F6F">
      <w:pPr>
        <w:spacing w:line="261" w:lineRule="exact"/>
        <w:rPr>
          <w:rFonts w:ascii="Lato" w:eastAsia="Times New Roman" w:hAnsi="Lato"/>
          <w:color w:val="000000" w:themeColor="text1"/>
          <w:sz w:val="24"/>
          <w:szCs w:val="24"/>
        </w:rPr>
      </w:pPr>
    </w:p>
    <w:p w14:paraId="7F7A1CCF" w14:textId="77777777" w:rsidR="00000000" w:rsidRPr="0060384B" w:rsidRDefault="00CA5F6F">
      <w:pPr>
        <w:numPr>
          <w:ilvl w:val="0"/>
          <w:numId w:val="7"/>
        </w:numPr>
        <w:tabs>
          <w:tab w:val="left" w:pos="540"/>
        </w:tabs>
        <w:spacing w:line="243" w:lineRule="auto"/>
        <w:ind w:left="540" w:right="960" w:hanging="360"/>
        <w:rPr>
          <w:rFonts w:ascii="Lato" w:eastAsia="Arial" w:hAnsi="Lato"/>
          <w:color w:val="000000" w:themeColor="text1"/>
          <w:sz w:val="24"/>
          <w:szCs w:val="24"/>
        </w:rPr>
      </w:pPr>
      <w:r w:rsidRPr="0060384B">
        <w:rPr>
          <w:rFonts w:ascii="Lato" w:hAnsi="Lato"/>
          <w:color w:val="000000" w:themeColor="text1"/>
          <w:sz w:val="24"/>
          <w:szCs w:val="24"/>
        </w:rPr>
        <w:t>A gene-environment study of the association between early-life exposure to air pollutants and later-life development of Alzheimer</w:t>
      </w:r>
      <w:r w:rsidRPr="0060384B">
        <w:rPr>
          <w:rFonts w:ascii="Lato" w:hAnsi="Lato"/>
          <w:color w:val="000000" w:themeColor="text1"/>
          <w:sz w:val="24"/>
          <w:szCs w:val="24"/>
        </w:rPr>
        <w:t>’s-related pathology (National Institute of Environmental Health Scie</w:t>
      </w:r>
      <w:r w:rsidRPr="0060384B">
        <w:rPr>
          <w:rFonts w:ascii="Lato" w:hAnsi="Lato"/>
          <w:color w:val="000000" w:themeColor="text1"/>
          <w:sz w:val="24"/>
          <w:szCs w:val="24"/>
        </w:rPr>
        <w:t>nces)</w:t>
      </w:r>
    </w:p>
    <w:p w14:paraId="0AB01E39" w14:textId="77777777" w:rsidR="00000000" w:rsidRPr="0060384B" w:rsidRDefault="00CA5F6F">
      <w:pPr>
        <w:spacing w:line="2" w:lineRule="exact"/>
        <w:rPr>
          <w:rFonts w:ascii="Lato" w:eastAsia="Arial" w:hAnsi="Lato"/>
          <w:color w:val="000000" w:themeColor="text1"/>
          <w:sz w:val="24"/>
          <w:szCs w:val="24"/>
        </w:rPr>
      </w:pPr>
    </w:p>
    <w:p w14:paraId="21842F46" w14:textId="77777777" w:rsidR="00000000" w:rsidRPr="0060384B" w:rsidRDefault="00CA5F6F">
      <w:pPr>
        <w:numPr>
          <w:ilvl w:val="0"/>
          <w:numId w:val="7"/>
        </w:numPr>
        <w:tabs>
          <w:tab w:val="left" w:pos="540"/>
        </w:tabs>
        <w:spacing w:line="253" w:lineRule="auto"/>
        <w:ind w:left="540" w:right="1160" w:hanging="360"/>
        <w:rPr>
          <w:rFonts w:ascii="Lato" w:eastAsia="Arial" w:hAnsi="Lato"/>
          <w:color w:val="000000" w:themeColor="text1"/>
          <w:sz w:val="24"/>
          <w:szCs w:val="24"/>
        </w:rPr>
      </w:pPr>
      <w:r w:rsidRPr="0060384B">
        <w:rPr>
          <w:rFonts w:ascii="Lato" w:hAnsi="Lato"/>
          <w:color w:val="000000" w:themeColor="text1"/>
          <w:sz w:val="24"/>
          <w:szCs w:val="24"/>
        </w:rPr>
        <w:t>A study examining the relationships among psychosocial stress due to discrimination, markers of vascular risk, and cognitive function in early middle-aged, African-American women (National Heart, Lung, and Blood Institute)</w:t>
      </w:r>
    </w:p>
    <w:p w14:paraId="67165D9B" w14:textId="77777777" w:rsidR="00000000" w:rsidRPr="0060384B" w:rsidRDefault="00CA5F6F">
      <w:pPr>
        <w:spacing w:line="2" w:lineRule="exact"/>
        <w:rPr>
          <w:rFonts w:ascii="Lato" w:eastAsia="Arial" w:hAnsi="Lato"/>
          <w:color w:val="000000" w:themeColor="text1"/>
          <w:sz w:val="24"/>
          <w:szCs w:val="24"/>
        </w:rPr>
      </w:pPr>
    </w:p>
    <w:p w14:paraId="6011E098" w14:textId="77777777" w:rsidR="00000000" w:rsidRPr="0060384B" w:rsidRDefault="00CA5F6F">
      <w:pPr>
        <w:numPr>
          <w:ilvl w:val="0"/>
          <w:numId w:val="7"/>
        </w:numPr>
        <w:tabs>
          <w:tab w:val="left" w:pos="540"/>
        </w:tabs>
        <w:spacing w:line="262" w:lineRule="auto"/>
        <w:ind w:left="540" w:right="760" w:hanging="360"/>
        <w:rPr>
          <w:rFonts w:ascii="Lato" w:eastAsia="Arial" w:hAnsi="Lato"/>
          <w:color w:val="000000" w:themeColor="text1"/>
          <w:sz w:val="24"/>
          <w:szCs w:val="24"/>
        </w:rPr>
      </w:pPr>
      <w:r w:rsidRPr="0060384B">
        <w:rPr>
          <w:rFonts w:ascii="Lato" w:hAnsi="Lato"/>
          <w:color w:val="000000" w:themeColor="text1"/>
          <w:sz w:val="24"/>
          <w:szCs w:val="24"/>
        </w:rPr>
        <w:lastRenderedPageBreak/>
        <w:t>A study to identify trend</w:t>
      </w:r>
      <w:r w:rsidRPr="0060384B">
        <w:rPr>
          <w:rFonts w:ascii="Lato" w:hAnsi="Lato"/>
          <w:color w:val="000000" w:themeColor="text1"/>
          <w:sz w:val="24"/>
          <w:szCs w:val="24"/>
        </w:rPr>
        <w:t>s in infection management and palliative care in facility-bound AD/ADRD patients at the end of life (National Institute of Nursing Research)</w:t>
      </w:r>
    </w:p>
    <w:p w14:paraId="28E20687" w14:textId="77777777" w:rsidR="00000000" w:rsidRPr="0060384B" w:rsidRDefault="00CA5F6F">
      <w:pPr>
        <w:tabs>
          <w:tab w:val="left" w:pos="540"/>
        </w:tabs>
        <w:spacing w:line="262" w:lineRule="auto"/>
        <w:ind w:left="540" w:right="760" w:hanging="360"/>
        <w:rPr>
          <w:rFonts w:ascii="Lato" w:eastAsia="Arial"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022144AF" w14:textId="77777777" w:rsidR="00000000" w:rsidRPr="0060384B" w:rsidRDefault="00CA5F6F">
      <w:pPr>
        <w:spacing w:line="257"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80"/>
        <w:gridCol w:w="2780"/>
      </w:tblGrid>
      <w:tr w:rsidR="00000000" w:rsidRPr="0060384B" w14:paraId="6481B5E2" w14:textId="77777777">
        <w:trPr>
          <w:trHeight w:val="245"/>
        </w:trPr>
        <w:tc>
          <w:tcPr>
            <w:tcW w:w="6580" w:type="dxa"/>
            <w:shd w:val="clear" w:color="auto" w:fill="auto"/>
            <w:vAlign w:val="bottom"/>
          </w:tcPr>
          <w:p w14:paraId="5154A6AB"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780" w:type="dxa"/>
            <w:shd w:val="clear" w:color="auto" w:fill="auto"/>
            <w:vAlign w:val="bottom"/>
          </w:tcPr>
          <w:p w14:paraId="378AD7B3"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8</w:t>
            </w:r>
          </w:p>
        </w:tc>
      </w:tr>
      <w:tr w:rsidR="00000000" w:rsidRPr="0060384B" w14:paraId="3D4A6246" w14:textId="77777777">
        <w:trPr>
          <w:trHeight w:val="258"/>
        </w:trPr>
        <w:tc>
          <w:tcPr>
            <w:tcW w:w="6580" w:type="dxa"/>
            <w:shd w:val="clear" w:color="auto" w:fill="auto"/>
            <w:vAlign w:val="bottom"/>
          </w:tcPr>
          <w:p w14:paraId="5F2B805B"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780" w:type="dxa"/>
            <w:shd w:val="clear" w:color="auto" w:fill="auto"/>
            <w:vAlign w:val="bottom"/>
          </w:tcPr>
          <w:p w14:paraId="22E81A6C" w14:textId="77777777" w:rsidR="00000000" w:rsidRPr="0060384B" w:rsidRDefault="00CA5F6F">
            <w:pPr>
              <w:spacing w:line="0" w:lineRule="atLeast"/>
              <w:rPr>
                <w:rFonts w:ascii="Lato" w:eastAsia="Times New Roman" w:hAnsi="Lato"/>
                <w:color w:val="000000" w:themeColor="text1"/>
                <w:sz w:val="24"/>
                <w:szCs w:val="24"/>
              </w:rPr>
            </w:pPr>
          </w:p>
        </w:tc>
      </w:tr>
    </w:tbl>
    <w:p w14:paraId="69A8E461"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0F4E4BFC" w14:textId="77777777" w:rsidR="00000000" w:rsidRPr="0060384B" w:rsidRDefault="00CA5F6F">
      <w:pPr>
        <w:numPr>
          <w:ilvl w:val="0"/>
          <w:numId w:val="8"/>
        </w:numPr>
        <w:tabs>
          <w:tab w:val="left" w:pos="540"/>
        </w:tabs>
        <w:spacing w:line="243" w:lineRule="auto"/>
        <w:ind w:left="540" w:right="40" w:hanging="360"/>
        <w:rPr>
          <w:rFonts w:ascii="Lato" w:eastAsia="Arial" w:hAnsi="Lato"/>
          <w:color w:val="000000" w:themeColor="text1"/>
          <w:sz w:val="24"/>
          <w:szCs w:val="24"/>
        </w:rPr>
      </w:pPr>
      <w:bookmarkStart w:id="11" w:name="page12"/>
      <w:bookmarkEnd w:id="11"/>
      <w:r w:rsidRPr="0060384B">
        <w:rPr>
          <w:rFonts w:ascii="Lato" w:hAnsi="Lato"/>
          <w:color w:val="000000" w:themeColor="text1"/>
          <w:sz w:val="24"/>
          <w:szCs w:val="24"/>
        </w:rPr>
        <w:lastRenderedPageBreak/>
        <w:t>A study to develop and test a new imagi</w:t>
      </w:r>
      <w:r w:rsidRPr="0060384B">
        <w:rPr>
          <w:rFonts w:ascii="Lato" w:hAnsi="Lato"/>
          <w:color w:val="000000" w:themeColor="text1"/>
          <w:sz w:val="24"/>
          <w:szCs w:val="24"/>
        </w:rPr>
        <w:t>ng technique that maps oxygen metabolism in the brain, with a goal of improving our understanding of how oxygen is delivered and consumed in healthy and diseased brains, such as those with AD/ADRD pathology (National Institute of Neurological Disorders and</w:t>
      </w:r>
      <w:r w:rsidRPr="0060384B">
        <w:rPr>
          <w:rFonts w:ascii="Lato" w:hAnsi="Lato"/>
          <w:color w:val="000000" w:themeColor="text1"/>
          <w:sz w:val="24"/>
          <w:szCs w:val="24"/>
        </w:rPr>
        <w:t xml:space="preserve"> Stroke)</w:t>
      </w:r>
    </w:p>
    <w:p w14:paraId="49C5C7DB" w14:textId="77777777" w:rsidR="00000000" w:rsidRPr="0060384B" w:rsidRDefault="00CA5F6F">
      <w:pPr>
        <w:spacing w:line="1" w:lineRule="exact"/>
        <w:rPr>
          <w:rFonts w:ascii="Lato" w:eastAsia="Arial" w:hAnsi="Lato"/>
          <w:color w:val="000000" w:themeColor="text1"/>
          <w:sz w:val="24"/>
          <w:szCs w:val="24"/>
        </w:rPr>
      </w:pPr>
    </w:p>
    <w:p w14:paraId="4390F712" w14:textId="77777777" w:rsidR="00000000" w:rsidRPr="0060384B" w:rsidRDefault="00CA5F6F">
      <w:pPr>
        <w:numPr>
          <w:ilvl w:val="0"/>
          <w:numId w:val="8"/>
        </w:numPr>
        <w:tabs>
          <w:tab w:val="left" w:pos="540"/>
        </w:tabs>
        <w:spacing w:line="256" w:lineRule="auto"/>
        <w:ind w:left="540" w:right="240" w:hanging="360"/>
        <w:rPr>
          <w:rFonts w:ascii="Lato" w:eastAsia="Arial" w:hAnsi="Lato"/>
          <w:color w:val="000000" w:themeColor="text1"/>
          <w:sz w:val="24"/>
          <w:szCs w:val="24"/>
        </w:rPr>
      </w:pPr>
      <w:r w:rsidRPr="0060384B">
        <w:rPr>
          <w:rFonts w:ascii="Lato" w:hAnsi="Lato"/>
          <w:color w:val="000000" w:themeColor="text1"/>
          <w:sz w:val="24"/>
          <w:szCs w:val="24"/>
        </w:rPr>
        <w:t>A study adapting neurotransmitter sensors to detect AD/ADRD target proteins (National Eye Institute)</w:t>
      </w:r>
    </w:p>
    <w:p w14:paraId="2B635790" w14:textId="77777777" w:rsidR="00000000" w:rsidRPr="0060384B" w:rsidRDefault="00CA5F6F">
      <w:pPr>
        <w:spacing w:line="1" w:lineRule="exact"/>
        <w:rPr>
          <w:rFonts w:ascii="Lato" w:eastAsia="Arial" w:hAnsi="Lato"/>
          <w:color w:val="000000" w:themeColor="text1"/>
          <w:sz w:val="24"/>
          <w:szCs w:val="24"/>
        </w:rPr>
      </w:pPr>
    </w:p>
    <w:p w14:paraId="1D2309FA" w14:textId="77777777" w:rsidR="00000000" w:rsidRPr="0060384B" w:rsidRDefault="00CA5F6F">
      <w:pPr>
        <w:numPr>
          <w:ilvl w:val="0"/>
          <w:numId w:val="8"/>
        </w:numPr>
        <w:tabs>
          <w:tab w:val="left" w:pos="540"/>
        </w:tabs>
        <w:spacing w:line="296" w:lineRule="auto"/>
        <w:ind w:left="540" w:right="20" w:hanging="360"/>
        <w:jc w:val="both"/>
        <w:rPr>
          <w:rFonts w:ascii="Lato" w:eastAsia="Arial" w:hAnsi="Lato"/>
          <w:color w:val="000000" w:themeColor="text1"/>
          <w:sz w:val="24"/>
          <w:szCs w:val="24"/>
        </w:rPr>
      </w:pPr>
      <w:r w:rsidRPr="0060384B">
        <w:rPr>
          <w:rFonts w:ascii="Lato" w:hAnsi="Lato"/>
          <w:color w:val="000000" w:themeColor="text1"/>
          <w:sz w:val="24"/>
          <w:szCs w:val="24"/>
        </w:rPr>
        <w:t>A study of a possible molecular basis for the clinical associations among obesity, diabetes, and Alzheimer</w:t>
      </w:r>
      <w:r w:rsidRPr="0060384B">
        <w:rPr>
          <w:rFonts w:ascii="Lato" w:hAnsi="Lato"/>
          <w:color w:val="000000" w:themeColor="text1"/>
          <w:sz w:val="24"/>
          <w:szCs w:val="24"/>
        </w:rPr>
        <w:t>’s disease (National Institute of Diab</w:t>
      </w:r>
      <w:r w:rsidRPr="0060384B">
        <w:rPr>
          <w:rFonts w:ascii="Lato" w:hAnsi="Lato"/>
          <w:color w:val="000000" w:themeColor="text1"/>
          <w:sz w:val="24"/>
          <w:szCs w:val="24"/>
        </w:rPr>
        <w:t>etes and Digestive and Kidney Diseases)</w:t>
      </w:r>
    </w:p>
    <w:p w14:paraId="64428D6A" w14:textId="77777777" w:rsidR="00000000" w:rsidRPr="0060384B" w:rsidRDefault="00CA5F6F">
      <w:pPr>
        <w:spacing w:line="203" w:lineRule="exact"/>
        <w:rPr>
          <w:rFonts w:ascii="Lato" w:eastAsia="Times New Roman" w:hAnsi="Lato"/>
          <w:color w:val="000000" w:themeColor="text1"/>
          <w:sz w:val="24"/>
          <w:szCs w:val="24"/>
        </w:rPr>
      </w:pPr>
    </w:p>
    <w:p w14:paraId="6838144A" w14:textId="77777777" w:rsidR="00000000" w:rsidRPr="0060384B" w:rsidRDefault="00CA5F6F">
      <w:pPr>
        <w:spacing w:line="242" w:lineRule="auto"/>
        <w:ind w:right="220"/>
        <w:rPr>
          <w:rFonts w:ascii="Lato" w:hAnsi="Lato"/>
          <w:color w:val="000000" w:themeColor="text1"/>
          <w:sz w:val="24"/>
          <w:szCs w:val="24"/>
        </w:rPr>
      </w:pPr>
      <w:r w:rsidRPr="0060384B">
        <w:rPr>
          <w:rFonts w:ascii="Lato" w:hAnsi="Lato"/>
          <w:color w:val="000000" w:themeColor="text1"/>
          <w:sz w:val="24"/>
          <w:szCs w:val="24"/>
        </w:rPr>
        <w:t>An internal NIA analysis found that between 2015 and 2018, approximately one-quarter of its Research Project Grant (R01) equivalent awardees in AD/ADRD were either NIH-designated New Investigators (this was their fi</w:t>
      </w:r>
      <w:r w:rsidRPr="0060384B">
        <w:rPr>
          <w:rFonts w:ascii="Lato" w:hAnsi="Lato"/>
          <w:color w:val="000000" w:themeColor="text1"/>
          <w:sz w:val="24"/>
          <w:szCs w:val="24"/>
        </w:rPr>
        <w:t>rst competitive NIH grant) or Early-Stage Investigators (this was their first competitive NIH grant, and they were within 10 years of their terminal degree). In addition, approximately one-third of the R01 Alzheimer</w:t>
      </w:r>
      <w:r w:rsidRPr="0060384B">
        <w:rPr>
          <w:rFonts w:ascii="Lato" w:hAnsi="Lato"/>
          <w:color w:val="000000" w:themeColor="text1"/>
          <w:sz w:val="24"/>
          <w:szCs w:val="24"/>
        </w:rPr>
        <w:t>’s awardees had not previously applied fo</w:t>
      </w:r>
      <w:r w:rsidRPr="0060384B">
        <w:rPr>
          <w:rFonts w:ascii="Lato" w:hAnsi="Lato"/>
          <w:color w:val="000000" w:themeColor="text1"/>
          <w:sz w:val="24"/>
          <w:szCs w:val="24"/>
        </w:rPr>
        <w:t>r such funding from NIH, as almost half of them were established investigators previously pursuing other lines of study. NIH anticipates that these investigators</w:t>
      </w:r>
      <w:r w:rsidRPr="0060384B">
        <w:rPr>
          <w:rFonts w:ascii="Lato" w:hAnsi="Lato"/>
          <w:color w:val="000000" w:themeColor="text1"/>
          <w:sz w:val="24"/>
          <w:szCs w:val="24"/>
        </w:rPr>
        <w:t>’ success in securing funding will help ensure an active pipeline of energetic researchers look</w:t>
      </w:r>
      <w:r w:rsidRPr="0060384B">
        <w:rPr>
          <w:rFonts w:ascii="Lato" w:hAnsi="Lato"/>
          <w:color w:val="000000" w:themeColor="text1"/>
          <w:sz w:val="24"/>
          <w:szCs w:val="24"/>
        </w:rPr>
        <w:t>ing at AD/ADRD from new perspectives for years to come.</w:t>
      </w:r>
    </w:p>
    <w:p w14:paraId="4A6F5398" w14:textId="77777777" w:rsidR="00000000" w:rsidRPr="0060384B" w:rsidRDefault="00CA5F6F">
      <w:pPr>
        <w:spacing w:line="250" w:lineRule="exact"/>
        <w:rPr>
          <w:rFonts w:ascii="Lato" w:eastAsia="Times New Roman" w:hAnsi="Lato"/>
          <w:color w:val="000000" w:themeColor="text1"/>
          <w:sz w:val="24"/>
          <w:szCs w:val="24"/>
        </w:rPr>
      </w:pPr>
    </w:p>
    <w:p w14:paraId="2BE6B999"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Budgeting in FY 2021 to Fight Dementia</w:t>
      </w:r>
    </w:p>
    <w:p w14:paraId="4D6AF215" w14:textId="77777777" w:rsidR="00000000" w:rsidRPr="0060384B" w:rsidRDefault="00CA5F6F">
      <w:pPr>
        <w:spacing w:line="287" w:lineRule="exact"/>
        <w:rPr>
          <w:rFonts w:ascii="Lato" w:eastAsia="Times New Roman" w:hAnsi="Lato"/>
          <w:color w:val="000000" w:themeColor="text1"/>
          <w:sz w:val="24"/>
          <w:szCs w:val="24"/>
        </w:rPr>
      </w:pPr>
    </w:p>
    <w:p w14:paraId="1AD5DEC1" w14:textId="77777777" w:rsidR="00000000" w:rsidRPr="0060384B" w:rsidRDefault="00CA5F6F">
      <w:pPr>
        <w:spacing w:line="251" w:lineRule="auto"/>
        <w:ind w:right="140"/>
        <w:rPr>
          <w:rFonts w:ascii="Lato" w:hAnsi="Lato"/>
          <w:color w:val="000000" w:themeColor="text1"/>
          <w:sz w:val="24"/>
          <w:szCs w:val="24"/>
        </w:rPr>
      </w:pPr>
      <w:r w:rsidRPr="0060384B">
        <w:rPr>
          <w:rFonts w:ascii="Lato" w:hAnsi="Lato"/>
          <w:color w:val="000000" w:themeColor="text1"/>
          <w:sz w:val="24"/>
          <w:szCs w:val="24"/>
        </w:rPr>
        <w:t>In summer 2015, NIH prepared its first-ever Professional Judgment Budget for Alzheimer</w:t>
      </w:r>
      <w:r w:rsidRPr="0060384B">
        <w:rPr>
          <w:rFonts w:ascii="Lato" w:hAnsi="Lato"/>
          <w:color w:val="000000" w:themeColor="text1"/>
          <w:sz w:val="24"/>
          <w:szCs w:val="24"/>
        </w:rPr>
        <w:t>’s and related dementias, as required in Public Law No. 113-235, the Cons</w:t>
      </w:r>
      <w:r w:rsidRPr="0060384B">
        <w:rPr>
          <w:rFonts w:ascii="Lato" w:hAnsi="Lato"/>
          <w:color w:val="000000" w:themeColor="text1"/>
          <w:sz w:val="24"/>
          <w:szCs w:val="24"/>
        </w:rPr>
        <w:t>olidated and Further Appropriations Act, 2015, SEC. 230, which states:</w:t>
      </w:r>
    </w:p>
    <w:p w14:paraId="19CF64C3" w14:textId="77777777" w:rsidR="00000000" w:rsidRPr="0060384B" w:rsidRDefault="00CA5F6F">
      <w:pPr>
        <w:spacing w:line="240" w:lineRule="exact"/>
        <w:rPr>
          <w:rFonts w:ascii="Lato" w:eastAsia="Times New Roman" w:hAnsi="Lato"/>
          <w:color w:val="000000" w:themeColor="text1"/>
          <w:sz w:val="24"/>
          <w:szCs w:val="24"/>
        </w:rPr>
      </w:pPr>
    </w:p>
    <w:p w14:paraId="44594DBA" w14:textId="77777777" w:rsidR="00000000" w:rsidRPr="0060384B" w:rsidRDefault="00CA5F6F">
      <w:pPr>
        <w:spacing w:line="241" w:lineRule="auto"/>
        <w:ind w:left="720" w:right="720"/>
        <w:rPr>
          <w:rFonts w:ascii="Lato" w:hAnsi="Lato"/>
          <w:color w:val="000000" w:themeColor="text1"/>
          <w:sz w:val="24"/>
          <w:szCs w:val="24"/>
        </w:rPr>
      </w:pPr>
      <w:r w:rsidRPr="0060384B">
        <w:rPr>
          <w:rFonts w:ascii="Lato" w:hAnsi="Lato"/>
          <w:color w:val="000000" w:themeColor="text1"/>
          <w:sz w:val="24"/>
          <w:szCs w:val="24"/>
        </w:rPr>
        <w:t>Hereafter, for each fiscal year through fiscal year 2025, the Director of the National Institutes of Health shall prepare and submit directly to the President for review and transmitta</w:t>
      </w:r>
      <w:r w:rsidRPr="0060384B">
        <w:rPr>
          <w:rFonts w:ascii="Lato" w:hAnsi="Lato"/>
          <w:color w:val="000000" w:themeColor="text1"/>
          <w:sz w:val="24"/>
          <w:szCs w:val="24"/>
        </w:rPr>
        <w:t>l to Congress, after reasonable opportunity for comment, but without change, by the Secretary of Health and Human Services and the Advisory Council on Alzheimer</w:t>
      </w:r>
      <w:r w:rsidRPr="0060384B">
        <w:rPr>
          <w:rFonts w:ascii="Lato" w:hAnsi="Lato"/>
          <w:color w:val="000000" w:themeColor="text1"/>
          <w:sz w:val="24"/>
          <w:szCs w:val="24"/>
        </w:rPr>
        <w:t xml:space="preserve">’s Research, Care, and Services, an annual budget estimate (including an estimate of the number </w:t>
      </w:r>
      <w:r w:rsidRPr="0060384B">
        <w:rPr>
          <w:rFonts w:ascii="Lato" w:hAnsi="Lato"/>
          <w:color w:val="000000" w:themeColor="text1"/>
          <w:sz w:val="24"/>
          <w:szCs w:val="24"/>
        </w:rPr>
        <w:t>and type of personnel needs for the Institutes) for the initiatives of the National Institutes of Health pursuant to the National Alzheimer</w:t>
      </w:r>
      <w:r w:rsidRPr="0060384B">
        <w:rPr>
          <w:rFonts w:ascii="Lato" w:hAnsi="Lato"/>
          <w:color w:val="000000" w:themeColor="text1"/>
          <w:sz w:val="24"/>
          <w:szCs w:val="24"/>
        </w:rPr>
        <w:t>’s Plan, as required under section 2(d)(2) of Public Law 111</w:t>
      </w:r>
      <w:r w:rsidRPr="0060384B">
        <w:rPr>
          <w:rFonts w:ascii="Lato" w:hAnsi="Lato"/>
          <w:color w:val="000000" w:themeColor="text1"/>
          <w:sz w:val="24"/>
          <w:szCs w:val="24"/>
        </w:rPr>
        <w:t>–375.</w:t>
      </w:r>
    </w:p>
    <w:p w14:paraId="3107BDF3" w14:textId="77777777" w:rsidR="00000000" w:rsidRPr="0060384B" w:rsidRDefault="00CA5F6F">
      <w:pPr>
        <w:spacing w:line="268" w:lineRule="exact"/>
        <w:rPr>
          <w:rFonts w:ascii="Lato" w:eastAsia="Times New Roman" w:hAnsi="Lato"/>
          <w:color w:val="000000" w:themeColor="text1"/>
          <w:sz w:val="24"/>
          <w:szCs w:val="24"/>
        </w:rPr>
      </w:pPr>
    </w:p>
    <w:p w14:paraId="110EE3E7" w14:textId="77777777" w:rsidR="00000000" w:rsidRPr="0060384B" w:rsidRDefault="00CA5F6F">
      <w:pPr>
        <w:spacing w:line="247" w:lineRule="auto"/>
        <w:ind w:right="160"/>
        <w:rPr>
          <w:rFonts w:ascii="Lato" w:hAnsi="Lato"/>
          <w:color w:val="000000" w:themeColor="text1"/>
          <w:sz w:val="24"/>
          <w:szCs w:val="24"/>
        </w:rPr>
      </w:pPr>
      <w:r w:rsidRPr="0060384B">
        <w:rPr>
          <w:rFonts w:ascii="Lato" w:hAnsi="Lato"/>
          <w:color w:val="000000" w:themeColor="text1"/>
          <w:sz w:val="24"/>
          <w:szCs w:val="24"/>
        </w:rPr>
        <w:t>Only two other areas of biomedical research</w:t>
      </w:r>
      <w:r w:rsidRPr="0060384B">
        <w:rPr>
          <w:rFonts w:ascii="Lato" w:hAnsi="Lato"/>
          <w:color w:val="000000" w:themeColor="text1"/>
          <w:sz w:val="24"/>
          <w:szCs w:val="24"/>
        </w:rPr>
        <w:t>—cancer</w:t>
      </w:r>
      <w:r w:rsidRPr="0060384B">
        <w:rPr>
          <w:rFonts w:ascii="Lato" w:hAnsi="Lato"/>
          <w:color w:val="000000" w:themeColor="text1"/>
          <w:sz w:val="24"/>
          <w:szCs w:val="24"/>
        </w:rPr>
        <w:t xml:space="preserve"> and HIV/AIDS</w:t>
      </w:r>
      <w:r w:rsidRPr="0060384B">
        <w:rPr>
          <w:rFonts w:ascii="Lato" w:hAnsi="Lato"/>
          <w:color w:val="000000" w:themeColor="text1"/>
          <w:sz w:val="24"/>
          <w:szCs w:val="24"/>
        </w:rPr>
        <w:t xml:space="preserve">—have been the subject of such special NIH budget development aimed at speeding discovery. This approach is often referred to as a </w:t>
      </w:r>
      <w:r w:rsidRPr="0060384B">
        <w:rPr>
          <w:rFonts w:ascii="Lato" w:hAnsi="Lato"/>
          <w:color w:val="000000" w:themeColor="text1"/>
          <w:sz w:val="24"/>
          <w:szCs w:val="24"/>
        </w:rPr>
        <w:t>“bypass budget</w:t>
      </w:r>
      <w:r w:rsidRPr="0060384B">
        <w:rPr>
          <w:rFonts w:ascii="Lato" w:hAnsi="Lato"/>
          <w:color w:val="000000" w:themeColor="text1"/>
          <w:sz w:val="24"/>
          <w:szCs w:val="24"/>
        </w:rPr>
        <w:t>” because of its direct transmission to the President and to Congress without modification through</w:t>
      </w:r>
      <w:r w:rsidRPr="0060384B">
        <w:rPr>
          <w:rFonts w:ascii="Lato" w:hAnsi="Lato"/>
          <w:color w:val="000000" w:themeColor="text1"/>
          <w:sz w:val="24"/>
          <w:szCs w:val="24"/>
        </w:rPr>
        <w:t xml:space="preserve"> the traditional Federal budget process.</w:t>
      </w:r>
    </w:p>
    <w:p w14:paraId="0349D97B" w14:textId="77777777" w:rsidR="00000000" w:rsidRPr="0060384B" w:rsidRDefault="00CA5F6F">
      <w:pPr>
        <w:spacing w:line="246" w:lineRule="exact"/>
        <w:rPr>
          <w:rFonts w:ascii="Lato" w:eastAsia="Times New Roman" w:hAnsi="Lato"/>
          <w:color w:val="000000" w:themeColor="text1"/>
          <w:sz w:val="24"/>
          <w:szCs w:val="24"/>
        </w:rPr>
      </w:pPr>
    </w:p>
    <w:p w14:paraId="4328FEE1" w14:textId="77777777" w:rsidR="00000000" w:rsidRPr="0060384B" w:rsidRDefault="00CA5F6F">
      <w:pPr>
        <w:spacing w:line="245" w:lineRule="auto"/>
        <w:ind w:right="60"/>
        <w:rPr>
          <w:rFonts w:ascii="Lato" w:hAnsi="Lato"/>
          <w:color w:val="000000" w:themeColor="text1"/>
          <w:sz w:val="24"/>
          <w:szCs w:val="24"/>
        </w:rPr>
      </w:pPr>
      <w:r w:rsidRPr="0060384B">
        <w:rPr>
          <w:rFonts w:ascii="Lato" w:hAnsi="Lato"/>
          <w:color w:val="000000" w:themeColor="text1"/>
          <w:sz w:val="24"/>
          <w:szCs w:val="24"/>
        </w:rPr>
        <w:t>The FY 2021 Professional Judgment AD/ADRD budget estimate shows $354 million in additional resources needed for new research, with the total resources needed for AD/ADRD research totaling $2.822 billion. In FY 2021</w:t>
      </w:r>
      <w:r w:rsidRPr="0060384B">
        <w:rPr>
          <w:rFonts w:ascii="Lato" w:hAnsi="Lato"/>
          <w:color w:val="000000" w:themeColor="text1"/>
          <w:sz w:val="24"/>
          <w:szCs w:val="24"/>
        </w:rPr>
        <w:t>, the projected costs of resources needed for new research to enhance investigator-initiated research grants and initiatives to meet the 2025 treatment and prevention goal is $438 million. This estimate will be reduced by $84 million in funding that is</w:t>
      </w:r>
    </w:p>
    <w:p w14:paraId="16C6C440" w14:textId="77777777" w:rsidR="00000000" w:rsidRPr="0060384B" w:rsidRDefault="00CA5F6F">
      <w:pPr>
        <w:spacing w:line="245" w:lineRule="auto"/>
        <w:ind w:right="60"/>
        <w:rPr>
          <w:rFonts w:ascii="Lato" w:hAnsi="Lato"/>
          <w:color w:val="000000" w:themeColor="text1"/>
          <w:sz w:val="24"/>
          <w:szCs w:val="24"/>
        </w:rPr>
        <w:sectPr w:rsidR="00000000" w:rsidRPr="0060384B">
          <w:pgSz w:w="12240" w:h="15840"/>
          <w:pgMar w:top="1145" w:right="1440" w:bottom="0" w:left="1440" w:header="0" w:footer="0" w:gutter="0"/>
          <w:cols w:space="0" w:equalWidth="0">
            <w:col w:w="9360"/>
          </w:cols>
          <w:docGrid w:linePitch="360"/>
        </w:sectPr>
      </w:pPr>
    </w:p>
    <w:p w14:paraId="626392CE" w14:textId="77777777" w:rsidR="00000000" w:rsidRPr="0060384B" w:rsidRDefault="00CA5F6F">
      <w:pPr>
        <w:spacing w:line="200" w:lineRule="exact"/>
        <w:rPr>
          <w:rFonts w:ascii="Lato" w:eastAsia="Times New Roman" w:hAnsi="Lato"/>
          <w:color w:val="000000" w:themeColor="text1"/>
          <w:sz w:val="24"/>
          <w:szCs w:val="24"/>
        </w:rPr>
      </w:pPr>
    </w:p>
    <w:p w14:paraId="2103D496" w14:textId="77777777" w:rsidR="00000000" w:rsidRPr="0060384B" w:rsidRDefault="00CA5F6F">
      <w:pPr>
        <w:spacing w:line="290"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80"/>
        <w:gridCol w:w="2780"/>
      </w:tblGrid>
      <w:tr w:rsidR="00000000" w:rsidRPr="0060384B" w14:paraId="102D1172" w14:textId="77777777">
        <w:trPr>
          <w:trHeight w:val="245"/>
        </w:trPr>
        <w:tc>
          <w:tcPr>
            <w:tcW w:w="6580" w:type="dxa"/>
            <w:shd w:val="clear" w:color="auto" w:fill="auto"/>
            <w:vAlign w:val="bottom"/>
          </w:tcPr>
          <w:p w14:paraId="2AFF399D"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780" w:type="dxa"/>
            <w:shd w:val="clear" w:color="auto" w:fill="auto"/>
            <w:vAlign w:val="bottom"/>
          </w:tcPr>
          <w:p w14:paraId="1C51FB94"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9</w:t>
            </w:r>
          </w:p>
        </w:tc>
      </w:tr>
      <w:tr w:rsidR="00000000" w:rsidRPr="0060384B" w14:paraId="5B9E000E" w14:textId="77777777">
        <w:trPr>
          <w:trHeight w:val="258"/>
        </w:trPr>
        <w:tc>
          <w:tcPr>
            <w:tcW w:w="6580" w:type="dxa"/>
            <w:shd w:val="clear" w:color="auto" w:fill="auto"/>
            <w:vAlign w:val="bottom"/>
          </w:tcPr>
          <w:p w14:paraId="2C02EA21"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780" w:type="dxa"/>
            <w:shd w:val="clear" w:color="auto" w:fill="auto"/>
            <w:vAlign w:val="bottom"/>
          </w:tcPr>
          <w:p w14:paraId="06DCB1CF" w14:textId="77777777" w:rsidR="00000000" w:rsidRPr="0060384B" w:rsidRDefault="00CA5F6F">
            <w:pPr>
              <w:spacing w:line="0" w:lineRule="atLeast"/>
              <w:rPr>
                <w:rFonts w:ascii="Lato" w:eastAsia="Times New Roman" w:hAnsi="Lato"/>
                <w:color w:val="000000" w:themeColor="text1"/>
                <w:sz w:val="24"/>
                <w:szCs w:val="24"/>
              </w:rPr>
            </w:pPr>
          </w:p>
        </w:tc>
      </w:tr>
    </w:tbl>
    <w:p w14:paraId="5774F938"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45" w:right="1440" w:bottom="0" w:left="1440" w:header="0" w:footer="0" w:gutter="0"/>
          <w:cols w:space="0" w:equalWidth="0">
            <w:col w:w="9360"/>
          </w:cols>
          <w:docGrid w:linePitch="360"/>
        </w:sectPr>
      </w:pPr>
    </w:p>
    <w:p w14:paraId="3D89B4E8" w14:textId="77777777" w:rsidR="00000000" w:rsidRPr="0060384B" w:rsidRDefault="00CA5F6F">
      <w:pPr>
        <w:spacing w:line="251" w:lineRule="auto"/>
        <w:ind w:right="120"/>
        <w:rPr>
          <w:rFonts w:ascii="Lato" w:hAnsi="Lato"/>
          <w:color w:val="000000" w:themeColor="text1"/>
          <w:sz w:val="24"/>
          <w:szCs w:val="24"/>
        </w:rPr>
      </w:pPr>
      <w:bookmarkStart w:id="12" w:name="page13"/>
      <w:bookmarkEnd w:id="12"/>
      <w:r w:rsidRPr="0060384B">
        <w:rPr>
          <w:rFonts w:ascii="Lato" w:hAnsi="Lato"/>
          <w:color w:val="000000" w:themeColor="text1"/>
          <w:sz w:val="24"/>
          <w:szCs w:val="24"/>
        </w:rPr>
        <w:lastRenderedPageBreak/>
        <w:t xml:space="preserve">projected to become available after completion of previously funded AD/ADRD research initiatives. As a result, the additional resources needed for new research in the FY 2021 budget </w:t>
      </w:r>
      <w:r w:rsidRPr="0060384B">
        <w:rPr>
          <w:rFonts w:ascii="Lato" w:hAnsi="Lato"/>
          <w:color w:val="000000" w:themeColor="text1"/>
          <w:sz w:val="24"/>
          <w:szCs w:val="24"/>
        </w:rPr>
        <w:t>is $354 million.</w:t>
      </w:r>
    </w:p>
    <w:p w14:paraId="66EE00C5" w14:textId="77777777" w:rsidR="00000000" w:rsidRPr="0060384B" w:rsidRDefault="00CA5F6F">
      <w:pPr>
        <w:spacing w:line="240" w:lineRule="exact"/>
        <w:rPr>
          <w:rFonts w:ascii="Lato" w:eastAsia="Times New Roman" w:hAnsi="Lato"/>
          <w:color w:val="000000" w:themeColor="text1"/>
          <w:sz w:val="24"/>
          <w:szCs w:val="24"/>
        </w:rPr>
      </w:pPr>
    </w:p>
    <w:p w14:paraId="53A07343" w14:textId="77777777" w:rsidR="00000000" w:rsidRPr="0060384B" w:rsidRDefault="00CA5F6F">
      <w:pPr>
        <w:spacing w:line="243" w:lineRule="auto"/>
        <w:rPr>
          <w:rFonts w:ascii="Lato" w:hAnsi="Lato"/>
          <w:color w:val="000000" w:themeColor="text1"/>
          <w:sz w:val="24"/>
          <w:szCs w:val="24"/>
        </w:rPr>
      </w:pPr>
      <w:r w:rsidRPr="0060384B">
        <w:rPr>
          <w:rFonts w:ascii="Lato" w:hAnsi="Lato"/>
          <w:color w:val="000000" w:themeColor="text1"/>
          <w:sz w:val="24"/>
          <w:szCs w:val="24"/>
        </w:rPr>
        <w:t>In FY 2021, the total resources needed for AD/ADRD research is $2.822 billion. The total budget takes the FY 2020 President</w:t>
      </w:r>
      <w:r w:rsidRPr="0060384B">
        <w:rPr>
          <w:rFonts w:ascii="Lato" w:hAnsi="Lato"/>
          <w:color w:val="000000" w:themeColor="text1"/>
          <w:sz w:val="24"/>
          <w:szCs w:val="24"/>
        </w:rPr>
        <w:t>’s budget funding level of $2.142 billion for Alzheimer</w:t>
      </w:r>
      <w:r w:rsidRPr="0060384B">
        <w:rPr>
          <w:rFonts w:ascii="Lato" w:hAnsi="Lato"/>
          <w:color w:val="000000" w:themeColor="text1"/>
          <w:sz w:val="24"/>
          <w:szCs w:val="24"/>
        </w:rPr>
        <w:t>’s disease and related dementias research as the baseline es</w:t>
      </w:r>
      <w:r w:rsidRPr="0060384B">
        <w:rPr>
          <w:rFonts w:ascii="Lato" w:hAnsi="Lato"/>
          <w:color w:val="000000" w:themeColor="text1"/>
          <w:sz w:val="24"/>
          <w:szCs w:val="24"/>
        </w:rPr>
        <w:t>timate, restores $326 million to account for the difference between the FY 2020 President</w:t>
      </w:r>
      <w:r w:rsidRPr="0060384B">
        <w:rPr>
          <w:rFonts w:ascii="Lato" w:hAnsi="Lato"/>
          <w:color w:val="000000" w:themeColor="text1"/>
          <w:sz w:val="24"/>
          <w:szCs w:val="24"/>
        </w:rPr>
        <w:t>’s budget funding level and the FY 2019 estimated (enacted) funding level for Alzheimer</w:t>
      </w:r>
      <w:r w:rsidRPr="0060384B">
        <w:rPr>
          <w:rFonts w:ascii="Lato" w:hAnsi="Lato"/>
          <w:color w:val="000000" w:themeColor="text1"/>
          <w:sz w:val="24"/>
          <w:szCs w:val="24"/>
        </w:rPr>
        <w:t>’s disease and related dementias research of $2.468 billion (Consolidated Approp</w:t>
      </w:r>
      <w:r w:rsidRPr="0060384B">
        <w:rPr>
          <w:rFonts w:ascii="Lato" w:hAnsi="Lato"/>
          <w:color w:val="000000" w:themeColor="text1"/>
          <w:sz w:val="24"/>
          <w:szCs w:val="24"/>
        </w:rPr>
        <w:t>riations Act, 2019, P.L.116 -6), and adds the $354 million in additional resources needed for new research. As a result, the total FY 2021 Professional Judgment Budget is $680 million above the FY 2020 President</w:t>
      </w:r>
      <w:r w:rsidRPr="0060384B">
        <w:rPr>
          <w:rFonts w:ascii="Lato" w:hAnsi="Lato"/>
          <w:color w:val="000000" w:themeColor="text1"/>
          <w:sz w:val="24"/>
          <w:szCs w:val="24"/>
        </w:rPr>
        <w:t>’s budget.</w:t>
      </w:r>
    </w:p>
    <w:p w14:paraId="4D72A82E" w14:textId="77777777" w:rsidR="00000000" w:rsidRPr="0060384B" w:rsidRDefault="00CA5F6F">
      <w:pPr>
        <w:spacing w:line="250" w:lineRule="exact"/>
        <w:rPr>
          <w:rFonts w:ascii="Lato" w:eastAsia="Times New Roman" w:hAnsi="Lato"/>
          <w:color w:val="000000" w:themeColor="text1"/>
          <w:sz w:val="24"/>
          <w:szCs w:val="24"/>
        </w:rPr>
      </w:pPr>
    </w:p>
    <w:p w14:paraId="42AADA8E" w14:textId="77777777" w:rsidR="00000000" w:rsidRPr="0060384B" w:rsidRDefault="00CA5F6F">
      <w:pPr>
        <w:spacing w:line="256" w:lineRule="auto"/>
        <w:ind w:right="20"/>
        <w:rPr>
          <w:rFonts w:ascii="Lato" w:hAnsi="Lato"/>
          <w:color w:val="000000" w:themeColor="text1"/>
          <w:sz w:val="24"/>
          <w:szCs w:val="24"/>
        </w:rPr>
      </w:pPr>
      <w:r w:rsidRPr="0060384B">
        <w:rPr>
          <w:rFonts w:ascii="Lato" w:hAnsi="Lato"/>
          <w:color w:val="000000" w:themeColor="text1"/>
          <w:sz w:val="24"/>
          <w:szCs w:val="24"/>
        </w:rPr>
        <w:t>Overall, the $2.822 billion Profe</w:t>
      </w:r>
      <w:r w:rsidRPr="0060384B">
        <w:rPr>
          <w:rFonts w:ascii="Lato" w:hAnsi="Lato"/>
          <w:color w:val="000000" w:themeColor="text1"/>
          <w:sz w:val="24"/>
          <w:szCs w:val="24"/>
        </w:rPr>
        <w:t>ssional Judgment Budget is needed to sustain momentum in Alzheimer</w:t>
      </w:r>
      <w:r w:rsidRPr="0060384B">
        <w:rPr>
          <w:rFonts w:ascii="Lato" w:hAnsi="Lato"/>
          <w:color w:val="000000" w:themeColor="text1"/>
          <w:sz w:val="24"/>
          <w:szCs w:val="24"/>
        </w:rPr>
        <w:t>’s and related dementias research in FY 2021. This estimate continues to be substantial by virtue of the fact that these funds would enable NIH to focus intensively on better understanding t</w:t>
      </w:r>
      <w:r w:rsidRPr="0060384B">
        <w:rPr>
          <w:rFonts w:ascii="Lato" w:hAnsi="Lato"/>
          <w:color w:val="000000" w:themeColor="text1"/>
          <w:sz w:val="24"/>
          <w:szCs w:val="24"/>
        </w:rPr>
        <w:t>he basic biology of underlying dementia; characterizing novel biomarkers and screening tools such as an amyloid blood test; identifying and testing innovative drug targets; supporting clinical trials and infrastructure like the Alzheimer</w:t>
      </w:r>
      <w:r w:rsidRPr="0060384B">
        <w:rPr>
          <w:rFonts w:ascii="Lato" w:hAnsi="Lato"/>
          <w:color w:val="000000" w:themeColor="text1"/>
          <w:sz w:val="24"/>
          <w:szCs w:val="24"/>
        </w:rPr>
        <w:t xml:space="preserve">’s Clinical Trials </w:t>
      </w:r>
      <w:r w:rsidRPr="0060384B">
        <w:rPr>
          <w:rFonts w:ascii="Lato" w:hAnsi="Lato"/>
          <w:color w:val="000000" w:themeColor="text1"/>
          <w:sz w:val="24"/>
          <w:szCs w:val="24"/>
        </w:rPr>
        <w:t>Consortium; and improving the diagnosis, care, and support of those living with dementia.</w:t>
      </w:r>
    </w:p>
    <w:p w14:paraId="2F8F5E5E" w14:textId="77777777" w:rsidR="00000000" w:rsidRPr="0060384B" w:rsidRDefault="00CA5F6F">
      <w:pPr>
        <w:spacing w:line="231" w:lineRule="exact"/>
        <w:rPr>
          <w:rFonts w:ascii="Lato" w:eastAsia="Times New Roman" w:hAnsi="Lato"/>
          <w:color w:val="000000" w:themeColor="text1"/>
          <w:sz w:val="24"/>
          <w:szCs w:val="24"/>
        </w:rPr>
      </w:pPr>
    </w:p>
    <w:p w14:paraId="2A23FB64"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How to Navigate This Bypass Budget</w:t>
      </w:r>
    </w:p>
    <w:p w14:paraId="416FEA7E" w14:textId="77777777" w:rsidR="00000000" w:rsidRPr="0060384B" w:rsidRDefault="00CA5F6F">
      <w:pPr>
        <w:spacing w:line="284" w:lineRule="exact"/>
        <w:rPr>
          <w:rFonts w:ascii="Lato" w:eastAsia="Times New Roman" w:hAnsi="Lato"/>
          <w:color w:val="000000" w:themeColor="text1"/>
          <w:sz w:val="24"/>
          <w:szCs w:val="24"/>
        </w:rPr>
      </w:pPr>
    </w:p>
    <w:p w14:paraId="7D83C254" w14:textId="77777777" w:rsidR="00000000" w:rsidRPr="0060384B" w:rsidRDefault="00CA5F6F">
      <w:pPr>
        <w:spacing w:line="243" w:lineRule="auto"/>
        <w:ind w:right="80"/>
        <w:rPr>
          <w:rFonts w:ascii="Lato" w:hAnsi="Lato"/>
          <w:color w:val="000000" w:themeColor="text1"/>
          <w:sz w:val="24"/>
          <w:szCs w:val="24"/>
        </w:rPr>
      </w:pPr>
      <w:r w:rsidRPr="0060384B">
        <w:rPr>
          <w:rFonts w:ascii="Lato" w:hAnsi="Lato"/>
          <w:color w:val="000000" w:themeColor="text1"/>
          <w:sz w:val="24"/>
          <w:szCs w:val="24"/>
        </w:rPr>
        <w:t>This bypass budget proposal outlines the additional FY 2021 funding needed to advance NIH-supported research on Alzheimer</w:t>
      </w:r>
      <w:r w:rsidRPr="0060384B">
        <w:rPr>
          <w:rFonts w:ascii="Lato" w:hAnsi="Lato"/>
          <w:color w:val="000000" w:themeColor="text1"/>
          <w:sz w:val="24"/>
          <w:szCs w:val="24"/>
        </w:rPr>
        <w:t>’s disea</w:t>
      </w:r>
      <w:r w:rsidRPr="0060384B">
        <w:rPr>
          <w:rFonts w:ascii="Lato" w:hAnsi="Lato"/>
          <w:color w:val="000000" w:themeColor="text1"/>
          <w:sz w:val="24"/>
          <w:szCs w:val="24"/>
        </w:rPr>
        <w:t>se and related dementias aimed at the goal of the National Plan: to prevent and effectively treat these disorders by 2025. In addition to the dollar estimate, we provide a narrative to highlight several key areas of recent progress on which NIH would build</w:t>
      </w:r>
      <w:r w:rsidRPr="0060384B">
        <w:rPr>
          <w:rFonts w:ascii="Lato" w:hAnsi="Lato"/>
          <w:color w:val="000000" w:themeColor="text1"/>
          <w:sz w:val="24"/>
          <w:szCs w:val="24"/>
        </w:rPr>
        <w:t xml:space="preserve"> with increased funding. The document also reflects a subset of Alzheimer</w:t>
      </w:r>
      <w:r w:rsidRPr="0060384B">
        <w:rPr>
          <w:rFonts w:ascii="Lato" w:hAnsi="Lato"/>
          <w:color w:val="000000" w:themeColor="text1"/>
          <w:sz w:val="24"/>
          <w:szCs w:val="24"/>
        </w:rPr>
        <w:t>’s disease and related dementias research milestones that could begin or be accelerated in FY 2020, on which the current bypass budget estimates are based.</w:t>
      </w:r>
    </w:p>
    <w:p w14:paraId="42C3198F" w14:textId="77777777" w:rsidR="00000000" w:rsidRPr="0060384B" w:rsidRDefault="00CA5F6F">
      <w:pPr>
        <w:spacing w:line="254" w:lineRule="exact"/>
        <w:rPr>
          <w:rFonts w:ascii="Lato" w:eastAsia="Times New Roman" w:hAnsi="Lato"/>
          <w:color w:val="000000" w:themeColor="text1"/>
          <w:sz w:val="24"/>
          <w:szCs w:val="24"/>
        </w:rPr>
      </w:pPr>
    </w:p>
    <w:p w14:paraId="51B86554" w14:textId="77777777" w:rsidR="00000000" w:rsidRPr="0060384B" w:rsidRDefault="00CA5F6F">
      <w:pPr>
        <w:spacing w:line="262" w:lineRule="auto"/>
        <w:ind w:right="980"/>
        <w:rPr>
          <w:rFonts w:ascii="Lato" w:hAnsi="Lato"/>
          <w:color w:val="000000" w:themeColor="text1"/>
          <w:sz w:val="24"/>
          <w:szCs w:val="24"/>
        </w:rPr>
      </w:pPr>
      <w:r w:rsidRPr="0060384B">
        <w:rPr>
          <w:rFonts w:ascii="Lato" w:hAnsi="Lato"/>
          <w:color w:val="000000" w:themeColor="text1"/>
          <w:sz w:val="24"/>
          <w:szCs w:val="24"/>
        </w:rPr>
        <w:t>Learn more about plans and</w:t>
      </w:r>
      <w:r w:rsidRPr="0060384B">
        <w:rPr>
          <w:rFonts w:ascii="Lato" w:hAnsi="Lato"/>
          <w:color w:val="000000" w:themeColor="text1"/>
          <w:sz w:val="24"/>
          <w:szCs w:val="24"/>
        </w:rPr>
        <w:t xml:space="preserve"> progress toward the 2025 goal at the </w:t>
      </w:r>
      <w:hyperlink r:id="rId27" w:history="1">
        <w:r w:rsidRPr="0060384B">
          <w:rPr>
            <w:rFonts w:ascii="Lato" w:hAnsi="Lato"/>
            <w:color w:val="000000" w:themeColor="text1"/>
            <w:sz w:val="24"/>
            <w:szCs w:val="24"/>
          </w:rPr>
          <w:t>AD+ADRD Research</w:t>
        </w:r>
      </w:hyperlink>
      <w:r w:rsidRPr="0060384B">
        <w:rPr>
          <w:rFonts w:ascii="Lato" w:hAnsi="Lato"/>
          <w:color w:val="000000" w:themeColor="text1"/>
          <w:sz w:val="24"/>
          <w:szCs w:val="24"/>
        </w:rPr>
        <w:t xml:space="preserve"> </w:t>
      </w:r>
      <w:hyperlink r:id="rId28" w:history="1">
        <w:r w:rsidRPr="0060384B">
          <w:rPr>
            <w:rFonts w:ascii="Lato" w:hAnsi="Lato"/>
            <w:color w:val="000000" w:themeColor="text1"/>
            <w:sz w:val="24"/>
            <w:szCs w:val="24"/>
          </w:rPr>
          <w:t>Implementation Milestones</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database.</w:t>
      </w:r>
    </w:p>
    <w:p w14:paraId="2A143450" w14:textId="77777777" w:rsidR="00000000" w:rsidRPr="0060384B" w:rsidRDefault="00CA5F6F">
      <w:pPr>
        <w:spacing w:line="262" w:lineRule="auto"/>
        <w:ind w:right="98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6427B102" w14:textId="77777777" w:rsidR="00000000" w:rsidRPr="0060384B" w:rsidRDefault="00CA5F6F">
      <w:pPr>
        <w:spacing w:line="200" w:lineRule="exact"/>
        <w:rPr>
          <w:rFonts w:ascii="Lato" w:eastAsia="Times New Roman" w:hAnsi="Lato"/>
          <w:color w:val="000000" w:themeColor="text1"/>
          <w:sz w:val="24"/>
          <w:szCs w:val="24"/>
        </w:rPr>
      </w:pPr>
    </w:p>
    <w:p w14:paraId="61BE92A9" w14:textId="77777777" w:rsidR="00000000" w:rsidRPr="0060384B" w:rsidRDefault="00CA5F6F">
      <w:pPr>
        <w:spacing w:line="200" w:lineRule="exact"/>
        <w:rPr>
          <w:rFonts w:ascii="Lato" w:eastAsia="Times New Roman" w:hAnsi="Lato"/>
          <w:color w:val="000000" w:themeColor="text1"/>
          <w:sz w:val="24"/>
          <w:szCs w:val="24"/>
        </w:rPr>
      </w:pPr>
    </w:p>
    <w:p w14:paraId="670D3DAD" w14:textId="77777777" w:rsidR="00000000" w:rsidRPr="0060384B" w:rsidRDefault="00CA5F6F">
      <w:pPr>
        <w:spacing w:line="200" w:lineRule="exact"/>
        <w:rPr>
          <w:rFonts w:ascii="Lato" w:eastAsia="Times New Roman" w:hAnsi="Lato"/>
          <w:color w:val="000000" w:themeColor="text1"/>
          <w:sz w:val="24"/>
          <w:szCs w:val="24"/>
        </w:rPr>
      </w:pPr>
    </w:p>
    <w:p w14:paraId="0203FF5A" w14:textId="77777777" w:rsidR="00000000" w:rsidRPr="0060384B" w:rsidRDefault="00CA5F6F">
      <w:pPr>
        <w:spacing w:line="200" w:lineRule="exact"/>
        <w:rPr>
          <w:rFonts w:ascii="Lato" w:eastAsia="Times New Roman" w:hAnsi="Lato"/>
          <w:color w:val="000000" w:themeColor="text1"/>
          <w:sz w:val="24"/>
          <w:szCs w:val="24"/>
        </w:rPr>
      </w:pPr>
    </w:p>
    <w:p w14:paraId="6E67C994" w14:textId="77777777" w:rsidR="00000000" w:rsidRPr="0060384B" w:rsidRDefault="00CA5F6F">
      <w:pPr>
        <w:spacing w:line="200" w:lineRule="exact"/>
        <w:rPr>
          <w:rFonts w:ascii="Lato" w:eastAsia="Times New Roman" w:hAnsi="Lato"/>
          <w:color w:val="000000" w:themeColor="text1"/>
          <w:sz w:val="24"/>
          <w:szCs w:val="24"/>
        </w:rPr>
      </w:pPr>
    </w:p>
    <w:p w14:paraId="1EAD2137" w14:textId="77777777" w:rsidR="00000000" w:rsidRPr="0060384B" w:rsidRDefault="00CA5F6F">
      <w:pPr>
        <w:spacing w:line="200" w:lineRule="exact"/>
        <w:rPr>
          <w:rFonts w:ascii="Lato" w:eastAsia="Times New Roman" w:hAnsi="Lato"/>
          <w:color w:val="000000" w:themeColor="text1"/>
          <w:sz w:val="24"/>
          <w:szCs w:val="24"/>
        </w:rPr>
      </w:pPr>
    </w:p>
    <w:p w14:paraId="72DFFB7E" w14:textId="77777777" w:rsidR="00000000" w:rsidRPr="0060384B" w:rsidRDefault="00CA5F6F">
      <w:pPr>
        <w:spacing w:line="200" w:lineRule="exact"/>
        <w:rPr>
          <w:rFonts w:ascii="Lato" w:eastAsia="Times New Roman" w:hAnsi="Lato"/>
          <w:color w:val="000000" w:themeColor="text1"/>
          <w:sz w:val="24"/>
          <w:szCs w:val="24"/>
        </w:rPr>
      </w:pPr>
    </w:p>
    <w:p w14:paraId="15BFF9AD" w14:textId="77777777" w:rsidR="00000000" w:rsidRPr="0060384B" w:rsidRDefault="00CA5F6F">
      <w:pPr>
        <w:spacing w:line="200" w:lineRule="exact"/>
        <w:rPr>
          <w:rFonts w:ascii="Lato" w:eastAsia="Times New Roman" w:hAnsi="Lato"/>
          <w:color w:val="000000" w:themeColor="text1"/>
          <w:sz w:val="24"/>
          <w:szCs w:val="24"/>
        </w:rPr>
      </w:pPr>
    </w:p>
    <w:p w14:paraId="00DA20B7" w14:textId="77777777" w:rsidR="00000000" w:rsidRPr="0060384B" w:rsidRDefault="00CA5F6F">
      <w:pPr>
        <w:spacing w:line="200" w:lineRule="exact"/>
        <w:rPr>
          <w:rFonts w:ascii="Lato" w:eastAsia="Times New Roman" w:hAnsi="Lato"/>
          <w:color w:val="000000" w:themeColor="text1"/>
          <w:sz w:val="24"/>
          <w:szCs w:val="24"/>
        </w:rPr>
      </w:pPr>
    </w:p>
    <w:p w14:paraId="4B25CF2B" w14:textId="77777777" w:rsidR="00000000" w:rsidRPr="0060384B" w:rsidRDefault="00CA5F6F">
      <w:pPr>
        <w:spacing w:line="200" w:lineRule="exact"/>
        <w:rPr>
          <w:rFonts w:ascii="Lato" w:eastAsia="Times New Roman" w:hAnsi="Lato"/>
          <w:color w:val="000000" w:themeColor="text1"/>
          <w:sz w:val="24"/>
          <w:szCs w:val="24"/>
        </w:rPr>
      </w:pPr>
    </w:p>
    <w:p w14:paraId="0489716D" w14:textId="77777777" w:rsidR="00000000" w:rsidRPr="0060384B" w:rsidRDefault="00CA5F6F">
      <w:pPr>
        <w:spacing w:line="200" w:lineRule="exact"/>
        <w:rPr>
          <w:rFonts w:ascii="Lato" w:eastAsia="Times New Roman" w:hAnsi="Lato"/>
          <w:color w:val="000000" w:themeColor="text1"/>
          <w:sz w:val="24"/>
          <w:szCs w:val="24"/>
        </w:rPr>
      </w:pPr>
    </w:p>
    <w:p w14:paraId="27D12882" w14:textId="77777777" w:rsidR="00000000" w:rsidRPr="0060384B" w:rsidRDefault="00CA5F6F">
      <w:pPr>
        <w:spacing w:line="200" w:lineRule="exact"/>
        <w:rPr>
          <w:rFonts w:ascii="Lato" w:eastAsia="Times New Roman" w:hAnsi="Lato"/>
          <w:color w:val="000000" w:themeColor="text1"/>
          <w:sz w:val="24"/>
          <w:szCs w:val="24"/>
        </w:rPr>
      </w:pPr>
    </w:p>
    <w:p w14:paraId="1E0BC8C3" w14:textId="77777777" w:rsidR="00000000" w:rsidRPr="0060384B" w:rsidRDefault="00CA5F6F">
      <w:pPr>
        <w:spacing w:line="200" w:lineRule="exact"/>
        <w:rPr>
          <w:rFonts w:ascii="Lato" w:eastAsia="Times New Roman" w:hAnsi="Lato"/>
          <w:color w:val="000000" w:themeColor="text1"/>
          <w:sz w:val="24"/>
          <w:szCs w:val="24"/>
        </w:rPr>
      </w:pPr>
    </w:p>
    <w:p w14:paraId="4521A9E5" w14:textId="77777777" w:rsidR="00000000" w:rsidRPr="0060384B" w:rsidRDefault="00CA5F6F">
      <w:pPr>
        <w:spacing w:line="200" w:lineRule="exact"/>
        <w:rPr>
          <w:rFonts w:ascii="Lato" w:eastAsia="Times New Roman" w:hAnsi="Lato"/>
          <w:color w:val="000000" w:themeColor="text1"/>
          <w:sz w:val="24"/>
          <w:szCs w:val="24"/>
        </w:rPr>
      </w:pPr>
    </w:p>
    <w:p w14:paraId="377F93DA" w14:textId="77777777" w:rsidR="00000000" w:rsidRPr="0060384B" w:rsidRDefault="00CA5F6F">
      <w:pPr>
        <w:spacing w:line="200" w:lineRule="exact"/>
        <w:rPr>
          <w:rFonts w:ascii="Lato" w:eastAsia="Times New Roman" w:hAnsi="Lato"/>
          <w:color w:val="000000" w:themeColor="text1"/>
          <w:sz w:val="24"/>
          <w:szCs w:val="24"/>
        </w:rPr>
      </w:pPr>
    </w:p>
    <w:p w14:paraId="3457EDFC" w14:textId="77777777" w:rsidR="00000000" w:rsidRPr="0060384B" w:rsidRDefault="00CA5F6F">
      <w:pPr>
        <w:spacing w:line="200" w:lineRule="exact"/>
        <w:rPr>
          <w:rFonts w:ascii="Lato" w:eastAsia="Times New Roman" w:hAnsi="Lato"/>
          <w:color w:val="000000" w:themeColor="text1"/>
          <w:sz w:val="24"/>
          <w:szCs w:val="24"/>
        </w:rPr>
      </w:pPr>
    </w:p>
    <w:p w14:paraId="2C51A395" w14:textId="77777777" w:rsidR="00000000" w:rsidRPr="0060384B" w:rsidRDefault="00CA5F6F">
      <w:pPr>
        <w:spacing w:line="200" w:lineRule="exact"/>
        <w:rPr>
          <w:rFonts w:ascii="Lato" w:eastAsia="Times New Roman" w:hAnsi="Lato"/>
          <w:color w:val="000000" w:themeColor="text1"/>
          <w:sz w:val="24"/>
          <w:szCs w:val="24"/>
        </w:rPr>
      </w:pPr>
    </w:p>
    <w:p w14:paraId="52FD4619" w14:textId="77777777" w:rsidR="00000000" w:rsidRPr="0060384B" w:rsidRDefault="00CA5F6F">
      <w:pPr>
        <w:spacing w:line="200" w:lineRule="exact"/>
        <w:rPr>
          <w:rFonts w:ascii="Lato" w:eastAsia="Times New Roman" w:hAnsi="Lato"/>
          <w:color w:val="000000" w:themeColor="text1"/>
          <w:sz w:val="24"/>
          <w:szCs w:val="24"/>
        </w:rPr>
      </w:pPr>
    </w:p>
    <w:p w14:paraId="5977050C" w14:textId="77777777" w:rsidR="00000000" w:rsidRPr="0060384B" w:rsidRDefault="00CA5F6F">
      <w:pPr>
        <w:spacing w:line="200" w:lineRule="exact"/>
        <w:rPr>
          <w:rFonts w:ascii="Lato" w:eastAsia="Times New Roman" w:hAnsi="Lato"/>
          <w:color w:val="000000" w:themeColor="text1"/>
          <w:sz w:val="24"/>
          <w:szCs w:val="24"/>
        </w:rPr>
      </w:pPr>
    </w:p>
    <w:p w14:paraId="460980A4" w14:textId="77777777" w:rsidR="00000000" w:rsidRPr="0060384B" w:rsidRDefault="00CA5F6F">
      <w:pPr>
        <w:spacing w:line="316"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5C14E138" w14:textId="77777777">
        <w:trPr>
          <w:trHeight w:val="245"/>
        </w:trPr>
        <w:tc>
          <w:tcPr>
            <w:tcW w:w="6540" w:type="dxa"/>
            <w:shd w:val="clear" w:color="auto" w:fill="auto"/>
            <w:vAlign w:val="bottom"/>
          </w:tcPr>
          <w:p w14:paraId="7598E0E7"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TOGETHER WE SUCCEED</w:t>
            </w:r>
          </w:p>
        </w:tc>
        <w:tc>
          <w:tcPr>
            <w:tcW w:w="2820" w:type="dxa"/>
            <w:shd w:val="clear" w:color="auto" w:fill="auto"/>
            <w:vAlign w:val="bottom"/>
          </w:tcPr>
          <w:p w14:paraId="04F8E925"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10</w:t>
            </w:r>
          </w:p>
        </w:tc>
      </w:tr>
      <w:tr w:rsidR="00000000" w:rsidRPr="0060384B" w14:paraId="5C9AFFE4" w14:textId="77777777">
        <w:trPr>
          <w:trHeight w:val="258"/>
        </w:trPr>
        <w:tc>
          <w:tcPr>
            <w:tcW w:w="6540" w:type="dxa"/>
            <w:shd w:val="clear" w:color="auto" w:fill="auto"/>
            <w:vAlign w:val="bottom"/>
          </w:tcPr>
          <w:p w14:paraId="281104B3" w14:textId="400F9BA8"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w:t>
            </w:r>
            <w:r w:rsidR="0060384B" w:rsidRPr="0060384B">
              <w:rPr>
                <w:rFonts w:ascii="Lato" w:hAnsi="Lato"/>
                <w:color w:val="000000" w:themeColor="text1"/>
                <w:sz w:val="24"/>
                <w:szCs w:val="24"/>
              </w:rPr>
              <w:t>XX</w:t>
            </w:r>
          </w:p>
        </w:tc>
        <w:tc>
          <w:tcPr>
            <w:tcW w:w="2820" w:type="dxa"/>
            <w:shd w:val="clear" w:color="auto" w:fill="auto"/>
            <w:vAlign w:val="bottom"/>
          </w:tcPr>
          <w:p w14:paraId="2FEE1B53" w14:textId="77777777" w:rsidR="00000000" w:rsidRPr="0060384B" w:rsidRDefault="00CA5F6F">
            <w:pPr>
              <w:spacing w:line="0" w:lineRule="atLeast"/>
              <w:rPr>
                <w:rFonts w:ascii="Lato" w:eastAsia="Times New Roman" w:hAnsi="Lato"/>
                <w:color w:val="000000" w:themeColor="text1"/>
                <w:sz w:val="24"/>
                <w:szCs w:val="24"/>
              </w:rPr>
            </w:pPr>
          </w:p>
        </w:tc>
      </w:tr>
    </w:tbl>
    <w:p w14:paraId="4157A545"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5A6C20EE" w14:textId="77777777" w:rsidR="00000000" w:rsidRPr="0060384B" w:rsidRDefault="00CA5F6F">
      <w:pPr>
        <w:spacing w:line="242" w:lineRule="auto"/>
        <w:ind w:right="280"/>
        <w:rPr>
          <w:rFonts w:ascii="Lato" w:hAnsi="Lato"/>
          <w:b/>
          <w:color w:val="000000" w:themeColor="text1"/>
          <w:sz w:val="24"/>
          <w:szCs w:val="24"/>
        </w:rPr>
      </w:pPr>
      <w:bookmarkStart w:id="13" w:name="page14"/>
      <w:bookmarkEnd w:id="13"/>
      <w:r w:rsidRPr="0060384B">
        <w:rPr>
          <w:rFonts w:ascii="Lato" w:hAnsi="Lato"/>
          <w:b/>
          <w:color w:val="000000" w:themeColor="text1"/>
          <w:sz w:val="24"/>
          <w:szCs w:val="24"/>
        </w:rPr>
        <w:lastRenderedPageBreak/>
        <w:t>FISCAL YEAR 2021 PROFESSIONAL JUDGMENT BUDGET: ALZHEIMER</w:t>
      </w:r>
      <w:r w:rsidRPr="0060384B">
        <w:rPr>
          <w:rFonts w:ascii="Lato" w:hAnsi="Lato"/>
          <w:b/>
          <w:color w:val="000000" w:themeColor="text1"/>
          <w:sz w:val="24"/>
          <w:szCs w:val="24"/>
        </w:rPr>
        <w:t>’S DISEASE AND RELATED DEMENTIAS</w:t>
      </w:r>
    </w:p>
    <w:p w14:paraId="013834A3" w14:textId="77777777" w:rsidR="00000000" w:rsidRPr="0060384B" w:rsidRDefault="00CA5F6F">
      <w:pPr>
        <w:spacing w:line="293" w:lineRule="auto"/>
        <w:ind w:right="3580"/>
        <w:rPr>
          <w:rFonts w:ascii="Lato" w:hAnsi="Lato"/>
          <w:b/>
          <w:color w:val="000000" w:themeColor="text1"/>
          <w:sz w:val="24"/>
          <w:szCs w:val="24"/>
        </w:rPr>
      </w:pPr>
      <w:r w:rsidRPr="0060384B">
        <w:rPr>
          <w:rFonts w:ascii="Lato" w:hAnsi="Lato"/>
          <w:b/>
          <w:color w:val="000000" w:themeColor="text1"/>
          <w:sz w:val="24"/>
          <w:szCs w:val="24"/>
        </w:rPr>
        <w:t>Baseline Estimate, President</w:t>
      </w:r>
      <w:r w:rsidRPr="0060384B">
        <w:rPr>
          <w:rFonts w:ascii="Lato" w:hAnsi="Lato"/>
          <w:b/>
          <w:color w:val="000000" w:themeColor="text1"/>
          <w:sz w:val="24"/>
          <w:szCs w:val="24"/>
        </w:rPr>
        <w:t>’s Budget, Fiscal Year 2020 Alzheimer</w:t>
      </w:r>
      <w:r w:rsidRPr="0060384B">
        <w:rPr>
          <w:rFonts w:ascii="Lato" w:hAnsi="Lato"/>
          <w:b/>
          <w:color w:val="000000" w:themeColor="text1"/>
          <w:sz w:val="24"/>
          <w:szCs w:val="24"/>
        </w:rPr>
        <w:t>’s Disease, Including Alzheimer</w:t>
      </w:r>
      <w:r w:rsidRPr="0060384B">
        <w:rPr>
          <w:rFonts w:ascii="Lato" w:hAnsi="Lato"/>
          <w:b/>
          <w:color w:val="000000" w:themeColor="text1"/>
          <w:sz w:val="24"/>
          <w:szCs w:val="24"/>
        </w:rPr>
        <w:t>’s Disease-Related</w:t>
      </w:r>
    </w:p>
    <w:p w14:paraId="64481373" w14:textId="77777777" w:rsidR="00000000" w:rsidRPr="0060384B" w:rsidRDefault="00CA5F6F">
      <w:pPr>
        <w:spacing w:line="178"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00"/>
        <w:gridCol w:w="6700"/>
        <w:gridCol w:w="220"/>
        <w:gridCol w:w="420"/>
        <w:gridCol w:w="1300"/>
        <w:gridCol w:w="720"/>
      </w:tblGrid>
      <w:tr w:rsidR="00000000" w:rsidRPr="0060384B" w14:paraId="017E5F2B" w14:textId="77777777">
        <w:trPr>
          <w:trHeight w:val="477"/>
        </w:trPr>
        <w:tc>
          <w:tcPr>
            <w:tcW w:w="7020" w:type="dxa"/>
            <w:gridSpan w:val="3"/>
            <w:shd w:val="clear" w:color="auto" w:fill="auto"/>
            <w:vAlign w:val="bottom"/>
          </w:tcPr>
          <w:p w14:paraId="3C1F127F" w14:textId="77777777" w:rsidR="00000000" w:rsidRPr="0060384B" w:rsidRDefault="00CA5F6F">
            <w:pPr>
              <w:spacing w:line="0" w:lineRule="atLeast"/>
              <w:rPr>
                <w:rFonts w:ascii="Lato" w:hAnsi="Lato"/>
                <w:b/>
                <w:color w:val="000000" w:themeColor="text1"/>
                <w:sz w:val="24"/>
                <w:szCs w:val="24"/>
                <w:vertAlign w:val="superscript"/>
              </w:rPr>
            </w:pPr>
            <w:r w:rsidRPr="0060384B">
              <w:rPr>
                <w:rFonts w:ascii="Lato" w:hAnsi="Lato"/>
                <w:b/>
                <w:color w:val="000000" w:themeColor="text1"/>
                <w:sz w:val="24"/>
                <w:szCs w:val="24"/>
              </w:rPr>
              <w:t>Dementias (AD/ADRD)</w:t>
            </w:r>
            <w:r w:rsidRPr="0060384B">
              <w:rPr>
                <w:rFonts w:ascii="Lato" w:hAnsi="Lato"/>
                <w:b/>
                <w:color w:val="000000" w:themeColor="text1"/>
                <w:sz w:val="24"/>
                <w:szCs w:val="24"/>
                <w:vertAlign w:val="superscript"/>
              </w:rPr>
              <w:t>1</w:t>
            </w:r>
          </w:p>
        </w:tc>
        <w:tc>
          <w:tcPr>
            <w:tcW w:w="1720" w:type="dxa"/>
            <w:gridSpan w:val="2"/>
            <w:shd w:val="clear" w:color="auto" w:fill="auto"/>
            <w:vAlign w:val="bottom"/>
          </w:tcPr>
          <w:p w14:paraId="0F1570C6" w14:textId="77777777" w:rsidR="00000000" w:rsidRPr="0060384B" w:rsidRDefault="00CA5F6F">
            <w:pPr>
              <w:spacing w:line="0" w:lineRule="atLeast"/>
              <w:jc w:val="right"/>
              <w:rPr>
                <w:rFonts w:ascii="Lato" w:hAnsi="Lato"/>
                <w:b/>
                <w:color w:val="000000" w:themeColor="text1"/>
                <w:sz w:val="24"/>
                <w:szCs w:val="24"/>
              </w:rPr>
            </w:pPr>
            <w:r w:rsidRPr="0060384B">
              <w:rPr>
                <w:rFonts w:ascii="Lato" w:hAnsi="Lato"/>
                <w:b/>
                <w:color w:val="000000" w:themeColor="text1"/>
                <w:sz w:val="24"/>
                <w:szCs w:val="24"/>
              </w:rPr>
              <w:t>$2,142,000,000</w:t>
            </w:r>
          </w:p>
        </w:tc>
        <w:tc>
          <w:tcPr>
            <w:tcW w:w="720" w:type="dxa"/>
            <w:shd w:val="clear" w:color="auto" w:fill="auto"/>
            <w:vAlign w:val="bottom"/>
          </w:tcPr>
          <w:p w14:paraId="44941F37" w14:textId="77777777" w:rsidR="00000000" w:rsidRPr="0060384B" w:rsidRDefault="00CA5F6F">
            <w:pPr>
              <w:spacing w:line="0" w:lineRule="atLeast"/>
              <w:rPr>
                <w:rFonts w:ascii="Lato" w:eastAsia="Times New Roman" w:hAnsi="Lato"/>
                <w:color w:val="000000" w:themeColor="text1"/>
                <w:sz w:val="24"/>
                <w:szCs w:val="24"/>
              </w:rPr>
            </w:pPr>
          </w:p>
        </w:tc>
      </w:tr>
      <w:tr w:rsidR="00000000" w:rsidRPr="0060384B" w14:paraId="23B8E36B" w14:textId="77777777">
        <w:trPr>
          <w:trHeight w:val="387"/>
        </w:trPr>
        <w:tc>
          <w:tcPr>
            <w:tcW w:w="9460" w:type="dxa"/>
            <w:gridSpan w:val="6"/>
            <w:shd w:val="clear" w:color="auto" w:fill="auto"/>
            <w:vAlign w:val="bottom"/>
          </w:tcPr>
          <w:p w14:paraId="6815B475"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Professional Judgment Budget FY 2021, Projected Costs, and Additional Resources Needed</w:t>
            </w:r>
          </w:p>
        </w:tc>
      </w:tr>
      <w:tr w:rsidR="00000000" w:rsidRPr="0060384B" w14:paraId="64768892" w14:textId="77777777">
        <w:trPr>
          <w:trHeight w:val="103"/>
        </w:trPr>
        <w:tc>
          <w:tcPr>
            <w:tcW w:w="100" w:type="dxa"/>
            <w:tcBorders>
              <w:bottom w:val="single" w:sz="8" w:space="0" w:color="auto"/>
            </w:tcBorders>
            <w:shd w:val="clear" w:color="auto" w:fill="auto"/>
            <w:vAlign w:val="bottom"/>
          </w:tcPr>
          <w:p w14:paraId="06F948EE" w14:textId="77777777" w:rsidR="00000000" w:rsidRPr="0060384B" w:rsidRDefault="00CA5F6F">
            <w:pPr>
              <w:spacing w:line="0" w:lineRule="atLeast"/>
              <w:rPr>
                <w:rFonts w:ascii="Lato" w:eastAsia="Times New Roman" w:hAnsi="Lato"/>
                <w:color w:val="000000" w:themeColor="text1"/>
                <w:sz w:val="24"/>
                <w:szCs w:val="24"/>
              </w:rPr>
            </w:pPr>
          </w:p>
        </w:tc>
        <w:tc>
          <w:tcPr>
            <w:tcW w:w="6700" w:type="dxa"/>
            <w:tcBorders>
              <w:bottom w:val="single" w:sz="8" w:space="0" w:color="auto"/>
            </w:tcBorders>
            <w:shd w:val="clear" w:color="auto" w:fill="auto"/>
            <w:vAlign w:val="bottom"/>
          </w:tcPr>
          <w:p w14:paraId="246F89C3" w14:textId="77777777" w:rsidR="00000000" w:rsidRPr="0060384B" w:rsidRDefault="00CA5F6F">
            <w:pPr>
              <w:spacing w:line="0" w:lineRule="atLeast"/>
              <w:rPr>
                <w:rFonts w:ascii="Lato" w:eastAsia="Times New Roman" w:hAnsi="Lato"/>
                <w:color w:val="000000" w:themeColor="text1"/>
                <w:sz w:val="24"/>
                <w:szCs w:val="24"/>
              </w:rPr>
            </w:pPr>
          </w:p>
        </w:tc>
        <w:tc>
          <w:tcPr>
            <w:tcW w:w="220" w:type="dxa"/>
            <w:tcBorders>
              <w:bottom w:val="single" w:sz="8" w:space="0" w:color="auto"/>
            </w:tcBorders>
            <w:shd w:val="clear" w:color="auto" w:fill="auto"/>
            <w:vAlign w:val="bottom"/>
          </w:tcPr>
          <w:p w14:paraId="6604B343" w14:textId="77777777" w:rsidR="00000000" w:rsidRPr="0060384B" w:rsidRDefault="00CA5F6F">
            <w:pPr>
              <w:spacing w:line="0" w:lineRule="atLeast"/>
              <w:rPr>
                <w:rFonts w:ascii="Lato" w:eastAsia="Times New Roman" w:hAnsi="Lato"/>
                <w:color w:val="000000" w:themeColor="text1"/>
                <w:sz w:val="24"/>
                <w:szCs w:val="24"/>
              </w:rPr>
            </w:pPr>
          </w:p>
        </w:tc>
        <w:tc>
          <w:tcPr>
            <w:tcW w:w="420" w:type="dxa"/>
            <w:tcBorders>
              <w:bottom w:val="single" w:sz="8" w:space="0" w:color="auto"/>
            </w:tcBorders>
            <w:shd w:val="clear" w:color="auto" w:fill="auto"/>
            <w:vAlign w:val="bottom"/>
          </w:tcPr>
          <w:p w14:paraId="5D5DFEBC" w14:textId="77777777" w:rsidR="00000000" w:rsidRPr="0060384B" w:rsidRDefault="00CA5F6F">
            <w:pPr>
              <w:spacing w:line="0" w:lineRule="atLeast"/>
              <w:rPr>
                <w:rFonts w:ascii="Lato" w:eastAsia="Times New Roman" w:hAnsi="Lato"/>
                <w:color w:val="000000" w:themeColor="text1"/>
                <w:sz w:val="24"/>
                <w:szCs w:val="24"/>
              </w:rPr>
            </w:pPr>
          </w:p>
        </w:tc>
        <w:tc>
          <w:tcPr>
            <w:tcW w:w="1300" w:type="dxa"/>
            <w:tcBorders>
              <w:bottom w:val="single" w:sz="8" w:space="0" w:color="auto"/>
            </w:tcBorders>
            <w:shd w:val="clear" w:color="auto" w:fill="auto"/>
            <w:vAlign w:val="bottom"/>
          </w:tcPr>
          <w:p w14:paraId="7A0253A0" w14:textId="77777777" w:rsidR="00000000" w:rsidRPr="0060384B" w:rsidRDefault="00CA5F6F">
            <w:pPr>
              <w:spacing w:line="0" w:lineRule="atLeast"/>
              <w:rPr>
                <w:rFonts w:ascii="Lato" w:eastAsia="Times New Roman" w:hAnsi="Lato"/>
                <w:color w:val="000000" w:themeColor="text1"/>
                <w:sz w:val="24"/>
                <w:szCs w:val="24"/>
              </w:rPr>
            </w:pPr>
          </w:p>
        </w:tc>
        <w:tc>
          <w:tcPr>
            <w:tcW w:w="720" w:type="dxa"/>
            <w:tcBorders>
              <w:bottom w:val="single" w:sz="8" w:space="0" w:color="auto"/>
            </w:tcBorders>
            <w:shd w:val="clear" w:color="auto" w:fill="auto"/>
            <w:vAlign w:val="bottom"/>
          </w:tcPr>
          <w:p w14:paraId="464F1F74" w14:textId="77777777" w:rsidR="00000000" w:rsidRPr="0060384B" w:rsidRDefault="00CA5F6F">
            <w:pPr>
              <w:spacing w:line="0" w:lineRule="atLeast"/>
              <w:rPr>
                <w:rFonts w:ascii="Lato" w:eastAsia="Times New Roman" w:hAnsi="Lato"/>
                <w:color w:val="000000" w:themeColor="text1"/>
                <w:sz w:val="24"/>
                <w:szCs w:val="24"/>
              </w:rPr>
            </w:pPr>
          </w:p>
        </w:tc>
      </w:tr>
      <w:tr w:rsidR="0060384B" w:rsidRPr="0060384B" w14:paraId="0774A5DA" w14:textId="77777777">
        <w:trPr>
          <w:trHeight w:val="364"/>
        </w:trPr>
        <w:tc>
          <w:tcPr>
            <w:tcW w:w="7020" w:type="dxa"/>
            <w:gridSpan w:val="3"/>
            <w:tcBorders>
              <w:left w:val="single" w:sz="8" w:space="0" w:color="auto"/>
              <w:bottom w:val="single" w:sz="8" w:space="0" w:color="2F5496"/>
            </w:tcBorders>
            <w:shd w:val="clear" w:color="auto" w:fill="2F5496"/>
            <w:vAlign w:val="bottom"/>
          </w:tcPr>
          <w:p w14:paraId="3262244E" w14:textId="77777777" w:rsidR="00000000" w:rsidRPr="0060384B" w:rsidRDefault="00CA5F6F">
            <w:pPr>
              <w:spacing w:line="0" w:lineRule="atLeast"/>
              <w:ind w:left="80"/>
              <w:rPr>
                <w:rFonts w:ascii="Lato" w:hAnsi="Lato"/>
                <w:b/>
                <w:color w:val="000000" w:themeColor="text1"/>
                <w:sz w:val="24"/>
                <w:szCs w:val="24"/>
              </w:rPr>
            </w:pPr>
            <w:r w:rsidRPr="0060384B">
              <w:rPr>
                <w:rFonts w:ascii="Lato" w:hAnsi="Lato"/>
                <w:b/>
                <w:color w:val="000000" w:themeColor="text1"/>
                <w:sz w:val="24"/>
                <w:szCs w:val="24"/>
              </w:rPr>
              <w:t>Area of Research</w:t>
            </w:r>
          </w:p>
        </w:tc>
        <w:tc>
          <w:tcPr>
            <w:tcW w:w="420" w:type="dxa"/>
            <w:tcBorders>
              <w:bottom w:val="single" w:sz="8" w:space="0" w:color="2F5496"/>
              <w:right w:val="single" w:sz="8" w:space="0" w:color="auto"/>
            </w:tcBorders>
            <w:shd w:val="clear" w:color="auto" w:fill="2F5496"/>
            <w:vAlign w:val="bottom"/>
          </w:tcPr>
          <w:p w14:paraId="7A1780F3" w14:textId="77777777" w:rsidR="00000000" w:rsidRPr="0060384B" w:rsidRDefault="00CA5F6F">
            <w:pPr>
              <w:spacing w:line="0" w:lineRule="atLeast"/>
              <w:rPr>
                <w:rFonts w:ascii="Lato" w:eastAsia="Times New Roman" w:hAnsi="Lato"/>
                <w:color w:val="000000" w:themeColor="text1"/>
                <w:sz w:val="24"/>
                <w:szCs w:val="24"/>
              </w:rPr>
            </w:pPr>
          </w:p>
        </w:tc>
        <w:tc>
          <w:tcPr>
            <w:tcW w:w="2020" w:type="dxa"/>
            <w:gridSpan w:val="2"/>
            <w:tcBorders>
              <w:bottom w:val="single" w:sz="8" w:space="0" w:color="2F5496"/>
              <w:right w:val="single" w:sz="8" w:space="0" w:color="auto"/>
            </w:tcBorders>
            <w:shd w:val="clear" w:color="auto" w:fill="2F5496"/>
            <w:vAlign w:val="bottom"/>
          </w:tcPr>
          <w:p w14:paraId="72BAE874" w14:textId="77777777" w:rsidR="00000000" w:rsidRPr="0060384B" w:rsidRDefault="00CA5F6F">
            <w:pPr>
              <w:spacing w:line="0" w:lineRule="atLeast"/>
              <w:ind w:left="40"/>
              <w:rPr>
                <w:rFonts w:ascii="Lato" w:hAnsi="Lato"/>
                <w:b/>
                <w:color w:val="000000" w:themeColor="text1"/>
                <w:sz w:val="24"/>
                <w:szCs w:val="24"/>
              </w:rPr>
            </w:pPr>
            <w:r w:rsidRPr="0060384B">
              <w:rPr>
                <w:rFonts w:ascii="Lato" w:hAnsi="Lato"/>
                <w:b/>
                <w:color w:val="000000" w:themeColor="text1"/>
                <w:sz w:val="24"/>
                <w:szCs w:val="24"/>
              </w:rPr>
              <w:t>Amount</w:t>
            </w:r>
          </w:p>
        </w:tc>
      </w:tr>
      <w:tr w:rsidR="0060384B" w:rsidRPr="0060384B" w14:paraId="1FEF7175" w14:textId="77777777">
        <w:trPr>
          <w:trHeight w:val="325"/>
        </w:trPr>
        <w:tc>
          <w:tcPr>
            <w:tcW w:w="7020" w:type="dxa"/>
            <w:gridSpan w:val="3"/>
            <w:tcBorders>
              <w:top w:val="single" w:sz="8" w:space="0" w:color="auto"/>
              <w:left w:val="single" w:sz="8" w:space="0" w:color="auto"/>
            </w:tcBorders>
            <w:shd w:val="clear" w:color="auto" w:fill="auto"/>
            <w:vAlign w:val="bottom"/>
          </w:tcPr>
          <w:p w14:paraId="210B4B7A" w14:textId="77777777" w:rsidR="00000000" w:rsidRPr="0060384B" w:rsidRDefault="00CA5F6F">
            <w:pPr>
              <w:spacing w:line="0" w:lineRule="atLeast"/>
              <w:ind w:left="80"/>
              <w:rPr>
                <w:rFonts w:ascii="Lato" w:hAnsi="Lato"/>
                <w:color w:val="000000" w:themeColor="text1"/>
                <w:sz w:val="24"/>
                <w:szCs w:val="24"/>
              </w:rPr>
            </w:pPr>
            <w:r w:rsidRPr="0060384B">
              <w:rPr>
                <w:rFonts w:ascii="Lato" w:hAnsi="Lato"/>
                <w:color w:val="000000" w:themeColor="text1"/>
                <w:sz w:val="24"/>
                <w:szCs w:val="24"/>
              </w:rPr>
              <w:t>Molecular Pathogenesis and Pathophysiology of Alzheimer</w:t>
            </w:r>
            <w:r w:rsidRPr="0060384B">
              <w:rPr>
                <w:rFonts w:ascii="Lato" w:hAnsi="Lato"/>
                <w:color w:val="000000" w:themeColor="text1"/>
                <w:sz w:val="24"/>
                <w:szCs w:val="24"/>
              </w:rPr>
              <w:t>’s Disease</w:t>
            </w:r>
          </w:p>
        </w:tc>
        <w:tc>
          <w:tcPr>
            <w:tcW w:w="420" w:type="dxa"/>
            <w:tcBorders>
              <w:top w:val="single" w:sz="8" w:space="0" w:color="auto"/>
              <w:right w:val="single" w:sz="8" w:space="0" w:color="auto"/>
            </w:tcBorders>
            <w:shd w:val="clear" w:color="auto" w:fill="auto"/>
            <w:vAlign w:val="bottom"/>
          </w:tcPr>
          <w:p w14:paraId="495B5266" w14:textId="77777777" w:rsidR="00000000" w:rsidRPr="0060384B" w:rsidRDefault="00CA5F6F">
            <w:pPr>
              <w:spacing w:line="0" w:lineRule="atLeast"/>
              <w:rPr>
                <w:rFonts w:ascii="Lato" w:eastAsia="Times New Roman" w:hAnsi="Lato"/>
                <w:color w:val="000000" w:themeColor="text1"/>
                <w:sz w:val="24"/>
                <w:szCs w:val="24"/>
              </w:rPr>
            </w:pPr>
          </w:p>
        </w:tc>
        <w:tc>
          <w:tcPr>
            <w:tcW w:w="1300" w:type="dxa"/>
            <w:tcBorders>
              <w:top w:val="single" w:sz="8" w:space="0" w:color="auto"/>
            </w:tcBorders>
            <w:shd w:val="clear" w:color="auto" w:fill="auto"/>
            <w:vAlign w:val="bottom"/>
          </w:tcPr>
          <w:p w14:paraId="4F74ED0B"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$57,500,000</w:t>
            </w:r>
          </w:p>
        </w:tc>
        <w:tc>
          <w:tcPr>
            <w:tcW w:w="720" w:type="dxa"/>
            <w:tcBorders>
              <w:top w:val="single" w:sz="8" w:space="0" w:color="auto"/>
              <w:right w:val="single" w:sz="8" w:space="0" w:color="auto"/>
            </w:tcBorders>
            <w:shd w:val="clear" w:color="auto" w:fill="auto"/>
            <w:vAlign w:val="bottom"/>
          </w:tcPr>
          <w:p w14:paraId="53B69E9B" w14:textId="77777777" w:rsidR="00000000" w:rsidRPr="0060384B" w:rsidRDefault="00CA5F6F">
            <w:pPr>
              <w:spacing w:line="0" w:lineRule="atLeast"/>
              <w:rPr>
                <w:rFonts w:ascii="Lato" w:eastAsia="Times New Roman" w:hAnsi="Lato"/>
                <w:color w:val="000000" w:themeColor="text1"/>
                <w:sz w:val="24"/>
                <w:szCs w:val="24"/>
              </w:rPr>
            </w:pPr>
          </w:p>
        </w:tc>
      </w:tr>
      <w:tr w:rsidR="0060384B" w:rsidRPr="0060384B" w14:paraId="05325130" w14:textId="77777777">
        <w:trPr>
          <w:trHeight w:val="24"/>
        </w:trPr>
        <w:tc>
          <w:tcPr>
            <w:tcW w:w="100" w:type="dxa"/>
            <w:tcBorders>
              <w:left w:val="single" w:sz="8" w:space="0" w:color="auto"/>
              <w:bottom w:val="single" w:sz="8" w:space="0" w:color="auto"/>
            </w:tcBorders>
            <w:shd w:val="clear" w:color="auto" w:fill="auto"/>
            <w:vAlign w:val="bottom"/>
          </w:tcPr>
          <w:p w14:paraId="3FE0647B" w14:textId="77777777" w:rsidR="00000000" w:rsidRPr="0060384B" w:rsidRDefault="00CA5F6F">
            <w:pPr>
              <w:spacing w:line="0" w:lineRule="atLeast"/>
              <w:rPr>
                <w:rFonts w:ascii="Lato" w:eastAsia="Times New Roman" w:hAnsi="Lato"/>
                <w:color w:val="000000" w:themeColor="text1"/>
                <w:sz w:val="24"/>
                <w:szCs w:val="24"/>
              </w:rPr>
            </w:pPr>
          </w:p>
        </w:tc>
        <w:tc>
          <w:tcPr>
            <w:tcW w:w="6700" w:type="dxa"/>
            <w:tcBorders>
              <w:bottom w:val="single" w:sz="8" w:space="0" w:color="auto"/>
            </w:tcBorders>
            <w:shd w:val="clear" w:color="auto" w:fill="auto"/>
            <w:vAlign w:val="bottom"/>
          </w:tcPr>
          <w:p w14:paraId="1E7B8765" w14:textId="77777777" w:rsidR="00000000" w:rsidRPr="0060384B" w:rsidRDefault="00CA5F6F">
            <w:pPr>
              <w:spacing w:line="0" w:lineRule="atLeast"/>
              <w:rPr>
                <w:rFonts w:ascii="Lato" w:eastAsia="Times New Roman" w:hAnsi="Lato"/>
                <w:color w:val="000000" w:themeColor="text1"/>
                <w:sz w:val="24"/>
                <w:szCs w:val="24"/>
              </w:rPr>
            </w:pPr>
          </w:p>
        </w:tc>
        <w:tc>
          <w:tcPr>
            <w:tcW w:w="220" w:type="dxa"/>
            <w:tcBorders>
              <w:bottom w:val="single" w:sz="8" w:space="0" w:color="auto"/>
            </w:tcBorders>
            <w:shd w:val="clear" w:color="auto" w:fill="auto"/>
            <w:vAlign w:val="bottom"/>
          </w:tcPr>
          <w:p w14:paraId="0405F6D3" w14:textId="77777777" w:rsidR="00000000" w:rsidRPr="0060384B" w:rsidRDefault="00CA5F6F">
            <w:pPr>
              <w:spacing w:line="0" w:lineRule="atLeast"/>
              <w:rPr>
                <w:rFonts w:ascii="Lato" w:eastAsia="Times New Roman" w:hAnsi="Lato"/>
                <w:color w:val="000000" w:themeColor="text1"/>
                <w:sz w:val="24"/>
                <w:szCs w:val="24"/>
              </w:rPr>
            </w:pPr>
          </w:p>
        </w:tc>
        <w:tc>
          <w:tcPr>
            <w:tcW w:w="420" w:type="dxa"/>
            <w:tcBorders>
              <w:bottom w:val="single" w:sz="8" w:space="0" w:color="auto"/>
              <w:right w:val="single" w:sz="8" w:space="0" w:color="auto"/>
            </w:tcBorders>
            <w:shd w:val="clear" w:color="auto" w:fill="auto"/>
            <w:vAlign w:val="bottom"/>
          </w:tcPr>
          <w:p w14:paraId="73DABAEA" w14:textId="77777777" w:rsidR="00000000" w:rsidRPr="0060384B" w:rsidRDefault="00CA5F6F">
            <w:pPr>
              <w:spacing w:line="0" w:lineRule="atLeast"/>
              <w:rPr>
                <w:rFonts w:ascii="Lato" w:eastAsia="Times New Roman" w:hAnsi="Lato"/>
                <w:color w:val="000000" w:themeColor="text1"/>
                <w:sz w:val="24"/>
                <w:szCs w:val="24"/>
              </w:rPr>
            </w:pPr>
          </w:p>
        </w:tc>
        <w:tc>
          <w:tcPr>
            <w:tcW w:w="1300" w:type="dxa"/>
            <w:tcBorders>
              <w:bottom w:val="single" w:sz="8" w:space="0" w:color="auto"/>
            </w:tcBorders>
            <w:shd w:val="clear" w:color="auto" w:fill="auto"/>
            <w:vAlign w:val="bottom"/>
          </w:tcPr>
          <w:p w14:paraId="2941A10A" w14:textId="77777777" w:rsidR="00000000" w:rsidRPr="0060384B" w:rsidRDefault="00CA5F6F">
            <w:pPr>
              <w:spacing w:line="0" w:lineRule="atLeast"/>
              <w:rPr>
                <w:rFonts w:ascii="Lato" w:eastAsia="Times New Roman" w:hAnsi="Lato"/>
                <w:color w:val="000000" w:themeColor="text1"/>
                <w:sz w:val="24"/>
                <w:szCs w:val="24"/>
              </w:rPr>
            </w:pPr>
          </w:p>
        </w:tc>
        <w:tc>
          <w:tcPr>
            <w:tcW w:w="720" w:type="dxa"/>
            <w:tcBorders>
              <w:bottom w:val="single" w:sz="8" w:space="0" w:color="auto"/>
              <w:right w:val="single" w:sz="8" w:space="0" w:color="auto"/>
            </w:tcBorders>
            <w:shd w:val="clear" w:color="auto" w:fill="auto"/>
            <w:vAlign w:val="bottom"/>
          </w:tcPr>
          <w:p w14:paraId="55CBC430" w14:textId="77777777" w:rsidR="00000000" w:rsidRPr="0060384B" w:rsidRDefault="00CA5F6F">
            <w:pPr>
              <w:spacing w:line="0" w:lineRule="atLeast"/>
              <w:rPr>
                <w:rFonts w:ascii="Lato" w:eastAsia="Times New Roman" w:hAnsi="Lato"/>
                <w:color w:val="000000" w:themeColor="text1"/>
                <w:sz w:val="24"/>
                <w:szCs w:val="24"/>
              </w:rPr>
            </w:pPr>
          </w:p>
        </w:tc>
      </w:tr>
      <w:tr w:rsidR="0060384B" w:rsidRPr="0060384B" w14:paraId="34132460" w14:textId="77777777">
        <w:trPr>
          <w:trHeight w:val="340"/>
        </w:trPr>
        <w:tc>
          <w:tcPr>
            <w:tcW w:w="7020" w:type="dxa"/>
            <w:gridSpan w:val="3"/>
            <w:tcBorders>
              <w:left w:val="single" w:sz="8" w:space="0" w:color="auto"/>
              <w:bottom w:val="single" w:sz="8" w:space="0" w:color="auto"/>
            </w:tcBorders>
            <w:shd w:val="clear" w:color="auto" w:fill="auto"/>
            <w:vAlign w:val="bottom"/>
          </w:tcPr>
          <w:p w14:paraId="7661598E" w14:textId="77777777" w:rsidR="00000000" w:rsidRPr="0060384B" w:rsidRDefault="00CA5F6F">
            <w:pPr>
              <w:spacing w:line="0" w:lineRule="atLeast"/>
              <w:ind w:left="80"/>
              <w:rPr>
                <w:rFonts w:ascii="Lato" w:hAnsi="Lato"/>
                <w:color w:val="000000" w:themeColor="text1"/>
                <w:sz w:val="24"/>
                <w:szCs w:val="24"/>
              </w:rPr>
            </w:pPr>
            <w:r w:rsidRPr="0060384B">
              <w:rPr>
                <w:rFonts w:ascii="Lato" w:hAnsi="Lato"/>
                <w:color w:val="000000" w:themeColor="text1"/>
                <w:sz w:val="24"/>
                <w:szCs w:val="24"/>
              </w:rPr>
              <w:t>Diagnosis</w:t>
            </w:r>
            <w:r w:rsidRPr="0060384B">
              <w:rPr>
                <w:rFonts w:ascii="Lato" w:hAnsi="Lato"/>
                <w:color w:val="000000" w:themeColor="text1"/>
                <w:sz w:val="24"/>
                <w:szCs w:val="24"/>
              </w:rPr>
              <w:t>, Assessment, and Disease Monitoring</w:t>
            </w:r>
          </w:p>
        </w:tc>
        <w:tc>
          <w:tcPr>
            <w:tcW w:w="420" w:type="dxa"/>
            <w:tcBorders>
              <w:bottom w:val="single" w:sz="8" w:space="0" w:color="auto"/>
              <w:right w:val="single" w:sz="8" w:space="0" w:color="auto"/>
            </w:tcBorders>
            <w:shd w:val="clear" w:color="auto" w:fill="auto"/>
            <w:vAlign w:val="bottom"/>
          </w:tcPr>
          <w:p w14:paraId="0FB5827E" w14:textId="77777777" w:rsidR="00000000" w:rsidRPr="0060384B" w:rsidRDefault="00CA5F6F">
            <w:pPr>
              <w:spacing w:line="0" w:lineRule="atLeast"/>
              <w:rPr>
                <w:rFonts w:ascii="Lato" w:eastAsia="Times New Roman" w:hAnsi="Lato"/>
                <w:color w:val="000000" w:themeColor="text1"/>
                <w:sz w:val="24"/>
                <w:szCs w:val="24"/>
              </w:rPr>
            </w:pPr>
          </w:p>
        </w:tc>
        <w:tc>
          <w:tcPr>
            <w:tcW w:w="1300" w:type="dxa"/>
            <w:tcBorders>
              <w:bottom w:val="single" w:sz="8" w:space="0" w:color="auto"/>
            </w:tcBorders>
            <w:shd w:val="clear" w:color="auto" w:fill="auto"/>
            <w:vAlign w:val="bottom"/>
          </w:tcPr>
          <w:p w14:paraId="415BD073"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$20,000,000</w:t>
            </w:r>
          </w:p>
        </w:tc>
        <w:tc>
          <w:tcPr>
            <w:tcW w:w="720" w:type="dxa"/>
            <w:tcBorders>
              <w:bottom w:val="single" w:sz="8" w:space="0" w:color="auto"/>
              <w:right w:val="single" w:sz="8" w:space="0" w:color="auto"/>
            </w:tcBorders>
            <w:shd w:val="clear" w:color="auto" w:fill="auto"/>
            <w:vAlign w:val="bottom"/>
          </w:tcPr>
          <w:p w14:paraId="7A5899D9" w14:textId="77777777" w:rsidR="00000000" w:rsidRPr="0060384B" w:rsidRDefault="00CA5F6F">
            <w:pPr>
              <w:spacing w:line="0" w:lineRule="atLeast"/>
              <w:rPr>
                <w:rFonts w:ascii="Lato" w:eastAsia="Times New Roman" w:hAnsi="Lato"/>
                <w:color w:val="000000" w:themeColor="text1"/>
                <w:sz w:val="24"/>
                <w:szCs w:val="24"/>
              </w:rPr>
            </w:pPr>
          </w:p>
        </w:tc>
      </w:tr>
      <w:tr w:rsidR="0060384B" w:rsidRPr="0060384B" w14:paraId="230893CC" w14:textId="77777777">
        <w:trPr>
          <w:trHeight w:val="348"/>
        </w:trPr>
        <w:tc>
          <w:tcPr>
            <w:tcW w:w="7020" w:type="dxa"/>
            <w:gridSpan w:val="3"/>
            <w:tcBorders>
              <w:left w:val="single" w:sz="8" w:space="0" w:color="auto"/>
              <w:bottom w:val="single" w:sz="8" w:space="0" w:color="auto"/>
            </w:tcBorders>
            <w:shd w:val="clear" w:color="auto" w:fill="auto"/>
            <w:vAlign w:val="bottom"/>
          </w:tcPr>
          <w:p w14:paraId="5D674B2B" w14:textId="77777777" w:rsidR="00000000" w:rsidRPr="0060384B" w:rsidRDefault="00CA5F6F">
            <w:pPr>
              <w:spacing w:line="0" w:lineRule="atLeast"/>
              <w:ind w:left="80"/>
              <w:rPr>
                <w:rFonts w:ascii="Lato" w:hAnsi="Lato"/>
                <w:color w:val="000000" w:themeColor="text1"/>
                <w:sz w:val="24"/>
                <w:szCs w:val="24"/>
              </w:rPr>
            </w:pPr>
            <w:r w:rsidRPr="0060384B">
              <w:rPr>
                <w:rFonts w:ascii="Lato" w:hAnsi="Lato"/>
                <w:color w:val="000000" w:themeColor="text1"/>
                <w:sz w:val="24"/>
                <w:szCs w:val="24"/>
              </w:rPr>
              <w:t>Translational Research and Clinical Interventions</w:t>
            </w:r>
          </w:p>
        </w:tc>
        <w:tc>
          <w:tcPr>
            <w:tcW w:w="420" w:type="dxa"/>
            <w:tcBorders>
              <w:bottom w:val="single" w:sz="8" w:space="0" w:color="auto"/>
              <w:right w:val="single" w:sz="8" w:space="0" w:color="auto"/>
            </w:tcBorders>
            <w:shd w:val="clear" w:color="auto" w:fill="auto"/>
            <w:vAlign w:val="bottom"/>
          </w:tcPr>
          <w:p w14:paraId="5EBB97B9" w14:textId="77777777" w:rsidR="00000000" w:rsidRPr="0060384B" w:rsidRDefault="00CA5F6F">
            <w:pPr>
              <w:spacing w:line="0" w:lineRule="atLeast"/>
              <w:rPr>
                <w:rFonts w:ascii="Lato" w:eastAsia="Times New Roman" w:hAnsi="Lato"/>
                <w:color w:val="000000" w:themeColor="text1"/>
                <w:sz w:val="24"/>
                <w:szCs w:val="24"/>
              </w:rPr>
            </w:pPr>
          </w:p>
        </w:tc>
        <w:tc>
          <w:tcPr>
            <w:tcW w:w="1300" w:type="dxa"/>
            <w:tcBorders>
              <w:bottom w:val="single" w:sz="8" w:space="0" w:color="auto"/>
            </w:tcBorders>
            <w:shd w:val="clear" w:color="auto" w:fill="auto"/>
            <w:vAlign w:val="bottom"/>
          </w:tcPr>
          <w:p w14:paraId="5DB86BA6" w14:textId="77777777" w:rsidR="00000000" w:rsidRPr="0060384B" w:rsidRDefault="00CA5F6F">
            <w:pPr>
              <w:spacing w:line="0" w:lineRule="atLeast"/>
              <w:rPr>
                <w:rFonts w:ascii="Lato" w:hAnsi="Lato"/>
                <w:color w:val="000000" w:themeColor="text1"/>
                <w:w w:val="95"/>
                <w:sz w:val="24"/>
                <w:szCs w:val="24"/>
              </w:rPr>
            </w:pPr>
            <w:r w:rsidRPr="0060384B">
              <w:rPr>
                <w:rFonts w:ascii="Lato" w:hAnsi="Lato"/>
                <w:color w:val="000000" w:themeColor="text1"/>
                <w:w w:val="95"/>
                <w:sz w:val="24"/>
                <w:szCs w:val="24"/>
              </w:rPr>
              <w:t>$139,550,000</w:t>
            </w:r>
          </w:p>
        </w:tc>
        <w:tc>
          <w:tcPr>
            <w:tcW w:w="720" w:type="dxa"/>
            <w:tcBorders>
              <w:bottom w:val="single" w:sz="8" w:space="0" w:color="auto"/>
              <w:right w:val="single" w:sz="8" w:space="0" w:color="auto"/>
            </w:tcBorders>
            <w:shd w:val="clear" w:color="auto" w:fill="auto"/>
            <w:vAlign w:val="bottom"/>
          </w:tcPr>
          <w:p w14:paraId="0706982C" w14:textId="77777777" w:rsidR="00000000" w:rsidRPr="0060384B" w:rsidRDefault="00CA5F6F">
            <w:pPr>
              <w:spacing w:line="0" w:lineRule="atLeast"/>
              <w:rPr>
                <w:rFonts w:ascii="Lato" w:eastAsia="Times New Roman" w:hAnsi="Lato"/>
                <w:color w:val="000000" w:themeColor="text1"/>
                <w:sz w:val="24"/>
                <w:szCs w:val="24"/>
              </w:rPr>
            </w:pPr>
          </w:p>
        </w:tc>
      </w:tr>
      <w:tr w:rsidR="0060384B" w:rsidRPr="0060384B" w14:paraId="04170A99" w14:textId="77777777">
        <w:trPr>
          <w:trHeight w:val="350"/>
        </w:trPr>
        <w:tc>
          <w:tcPr>
            <w:tcW w:w="7020" w:type="dxa"/>
            <w:gridSpan w:val="3"/>
            <w:tcBorders>
              <w:left w:val="single" w:sz="8" w:space="0" w:color="auto"/>
              <w:bottom w:val="single" w:sz="8" w:space="0" w:color="auto"/>
            </w:tcBorders>
            <w:shd w:val="clear" w:color="auto" w:fill="auto"/>
            <w:vAlign w:val="bottom"/>
          </w:tcPr>
          <w:p w14:paraId="1B1ABB59" w14:textId="77777777" w:rsidR="00000000" w:rsidRPr="0060384B" w:rsidRDefault="00CA5F6F">
            <w:pPr>
              <w:spacing w:line="0" w:lineRule="atLeast"/>
              <w:ind w:left="80"/>
              <w:rPr>
                <w:rFonts w:ascii="Lato" w:hAnsi="Lato"/>
                <w:color w:val="000000" w:themeColor="text1"/>
                <w:sz w:val="24"/>
                <w:szCs w:val="24"/>
              </w:rPr>
            </w:pPr>
            <w:r w:rsidRPr="0060384B">
              <w:rPr>
                <w:rFonts w:ascii="Lato" w:hAnsi="Lato"/>
                <w:color w:val="000000" w:themeColor="text1"/>
                <w:sz w:val="24"/>
                <w:szCs w:val="24"/>
              </w:rPr>
              <w:t>Epidemiology</w:t>
            </w:r>
          </w:p>
        </w:tc>
        <w:tc>
          <w:tcPr>
            <w:tcW w:w="420" w:type="dxa"/>
            <w:tcBorders>
              <w:bottom w:val="single" w:sz="8" w:space="0" w:color="auto"/>
              <w:right w:val="single" w:sz="8" w:space="0" w:color="auto"/>
            </w:tcBorders>
            <w:shd w:val="clear" w:color="auto" w:fill="auto"/>
            <w:vAlign w:val="bottom"/>
          </w:tcPr>
          <w:p w14:paraId="6B920EAF" w14:textId="77777777" w:rsidR="00000000" w:rsidRPr="0060384B" w:rsidRDefault="00CA5F6F">
            <w:pPr>
              <w:spacing w:line="0" w:lineRule="atLeast"/>
              <w:rPr>
                <w:rFonts w:ascii="Lato" w:eastAsia="Times New Roman" w:hAnsi="Lato"/>
                <w:color w:val="000000" w:themeColor="text1"/>
                <w:sz w:val="24"/>
                <w:szCs w:val="24"/>
              </w:rPr>
            </w:pPr>
          </w:p>
        </w:tc>
        <w:tc>
          <w:tcPr>
            <w:tcW w:w="1300" w:type="dxa"/>
            <w:tcBorders>
              <w:bottom w:val="single" w:sz="8" w:space="0" w:color="auto"/>
            </w:tcBorders>
            <w:shd w:val="clear" w:color="auto" w:fill="auto"/>
            <w:vAlign w:val="bottom"/>
          </w:tcPr>
          <w:p w14:paraId="5D4A491B"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$55,000,000</w:t>
            </w:r>
          </w:p>
        </w:tc>
        <w:tc>
          <w:tcPr>
            <w:tcW w:w="720" w:type="dxa"/>
            <w:tcBorders>
              <w:bottom w:val="single" w:sz="8" w:space="0" w:color="auto"/>
              <w:right w:val="single" w:sz="8" w:space="0" w:color="auto"/>
            </w:tcBorders>
            <w:shd w:val="clear" w:color="auto" w:fill="auto"/>
            <w:vAlign w:val="bottom"/>
          </w:tcPr>
          <w:p w14:paraId="05E382A1" w14:textId="77777777" w:rsidR="00000000" w:rsidRPr="0060384B" w:rsidRDefault="00CA5F6F">
            <w:pPr>
              <w:spacing w:line="0" w:lineRule="atLeast"/>
              <w:rPr>
                <w:rFonts w:ascii="Lato" w:eastAsia="Times New Roman" w:hAnsi="Lato"/>
                <w:color w:val="000000" w:themeColor="text1"/>
                <w:sz w:val="24"/>
                <w:szCs w:val="24"/>
              </w:rPr>
            </w:pPr>
          </w:p>
        </w:tc>
      </w:tr>
      <w:tr w:rsidR="0060384B" w:rsidRPr="0060384B" w14:paraId="134FFC42" w14:textId="77777777">
        <w:trPr>
          <w:trHeight w:val="350"/>
        </w:trPr>
        <w:tc>
          <w:tcPr>
            <w:tcW w:w="7020" w:type="dxa"/>
            <w:gridSpan w:val="3"/>
            <w:tcBorders>
              <w:left w:val="single" w:sz="8" w:space="0" w:color="auto"/>
              <w:bottom w:val="single" w:sz="8" w:space="0" w:color="auto"/>
            </w:tcBorders>
            <w:shd w:val="clear" w:color="auto" w:fill="auto"/>
            <w:vAlign w:val="bottom"/>
          </w:tcPr>
          <w:p w14:paraId="02FE343A" w14:textId="77777777" w:rsidR="00000000" w:rsidRPr="0060384B" w:rsidRDefault="00CA5F6F">
            <w:pPr>
              <w:spacing w:line="0" w:lineRule="atLeast"/>
              <w:ind w:left="80"/>
              <w:rPr>
                <w:rFonts w:ascii="Lato" w:hAnsi="Lato"/>
                <w:color w:val="000000" w:themeColor="text1"/>
                <w:sz w:val="24"/>
                <w:szCs w:val="24"/>
              </w:rPr>
            </w:pPr>
            <w:r w:rsidRPr="0060384B">
              <w:rPr>
                <w:rFonts w:ascii="Lato" w:hAnsi="Lato"/>
                <w:color w:val="000000" w:themeColor="text1"/>
                <w:sz w:val="24"/>
                <w:szCs w:val="24"/>
              </w:rPr>
              <w:t>Care and Caregiver Support</w:t>
            </w:r>
          </w:p>
        </w:tc>
        <w:tc>
          <w:tcPr>
            <w:tcW w:w="420" w:type="dxa"/>
            <w:tcBorders>
              <w:bottom w:val="single" w:sz="8" w:space="0" w:color="auto"/>
              <w:right w:val="single" w:sz="8" w:space="0" w:color="auto"/>
            </w:tcBorders>
            <w:shd w:val="clear" w:color="auto" w:fill="auto"/>
            <w:vAlign w:val="bottom"/>
          </w:tcPr>
          <w:p w14:paraId="6D2641BA" w14:textId="77777777" w:rsidR="00000000" w:rsidRPr="0060384B" w:rsidRDefault="00CA5F6F">
            <w:pPr>
              <w:spacing w:line="0" w:lineRule="atLeast"/>
              <w:rPr>
                <w:rFonts w:ascii="Lato" w:eastAsia="Times New Roman" w:hAnsi="Lato"/>
                <w:color w:val="000000" w:themeColor="text1"/>
                <w:sz w:val="24"/>
                <w:szCs w:val="24"/>
              </w:rPr>
            </w:pPr>
          </w:p>
        </w:tc>
        <w:tc>
          <w:tcPr>
            <w:tcW w:w="1300" w:type="dxa"/>
            <w:tcBorders>
              <w:bottom w:val="single" w:sz="8" w:space="0" w:color="auto"/>
            </w:tcBorders>
            <w:shd w:val="clear" w:color="auto" w:fill="auto"/>
            <w:vAlign w:val="bottom"/>
          </w:tcPr>
          <w:p w14:paraId="6FB4604D"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$34,550,000</w:t>
            </w:r>
          </w:p>
        </w:tc>
        <w:tc>
          <w:tcPr>
            <w:tcW w:w="720" w:type="dxa"/>
            <w:tcBorders>
              <w:bottom w:val="single" w:sz="8" w:space="0" w:color="auto"/>
              <w:right w:val="single" w:sz="8" w:space="0" w:color="auto"/>
            </w:tcBorders>
            <w:shd w:val="clear" w:color="auto" w:fill="auto"/>
            <w:vAlign w:val="bottom"/>
          </w:tcPr>
          <w:p w14:paraId="75DF51BF" w14:textId="77777777" w:rsidR="00000000" w:rsidRPr="0060384B" w:rsidRDefault="00CA5F6F">
            <w:pPr>
              <w:spacing w:line="0" w:lineRule="atLeast"/>
              <w:rPr>
                <w:rFonts w:ascii="Lato" w:eastAsia="Times New Roman" w:hAnsi="Lato"/>
                <w:color w:val="000000" w:themeColor="text1"/>
                <w:sz w:val="24"/>
                <w:szCs w:val="24"/>
              </w:rPr>
            </w:pPr>
          </w:p>
        </w:tc>
      </w:tr>
      <w:tr w:rsidR="0060384B" w:rsidRPr="0060384B" w14:paraId="4CE45E90" w14:textId="77777777">
        <w:trPr>
          <w:trHeight w:val="343"/>
        </w:trPr>
        <w:tc>
          <w:tcPr>
            <w:tcW w:w="7020" w:type="dxa"/>
            <w:gridSpan w:val="3"/>
            <w:tcBorders>
              <w:left w:val="single" w:sz="8" w:space="0" w:color="auto"/>
            </w:tcBorders>
            <w:shd w:val="clear" w:color="auto" w:fill="auto"/>
            <w:vAlign w:val="bottom"/>
          </w:tcPr>
          <w:p w14:paraId="7E8D2ACB" w14:textId="77777777" w:rsidR="00000000" w:rsidRPr="0060384B" w:rsidRDefault="00CA5F6F">
            <w:pPr>
              <w:spacing w:line="0" w:lineRule="atLeast"/>
              <w:ind w:left="80"/>
              <w:rPr>
                <w:rFonts w:ascii="Lato" w:hAnsi="Lato"/>
                <w:color w:val="000000" w:themeColor="text1"/>
                <w:sz w:val="24"/>
                <w:szCs w:val="24"/>
              </w:rPr>
            </w:pPr>
            <w:r w:rsidRPr="0060384B">
              <w:rPr>
                <w:rFonts w:ascii="Lato" w:hAnsi="Lato"/>
                <w:color w:val="000000" w:themeColor="text1"/>
                <w:sz w:val="24"/>
                <w:szCs w:val="24"/>
              </w:rPr>
              <w:t>Research Resources</w:t>
            </w:r>
          </w:p>
        </w:tc>
        <w:tc>
          <w:tcPr>
            <w:tcW w:w="420" w:type="dxa"/>
            <w:tcBorders>
              <w:right w:val="single" w:sz="8" w:space="0" w:color="auto"/>
            </w:tcBorders>
            <w:shd w:val="clear" w:color="auto" w:fill="auto"/>
            <w:vAlign w:val="bottom"/>
          </w:tcPr>
          <w:p w14:paraId="08AF9E24" w14:textId="77777777" w:rsidR="00000000" w:rsidRPr="0060384B" w:rsidRDefault="00CA5F6F">
            <w:pPr>
              <w:spacing w:line="0" w:lineRule="atLeast"/>
              <w:rPr>
                <w:rFonts w:ascii="Lato" w:eastAsia="Times New Roman" w:hAnsi="Lato"/>
                <w:color w:val="000000" w:themeColor="text1"/>
                <w:sz w:val="24"/>
                <w:szCs w:val="24"/>
              </w:rPr>
            </w:pPr>
          </w:p>
        </w:tc>
        <w:tc>
          <w:tcPr>
            <w:tcW w:w="1300" w:type="dxa"/>
            <w:shd w:val="clear" w:color="auto" w:fill="auto"/>
            <w:vAlign w:val="bottom"/>
          </w:tcPr>
          <w:p w14:paraId="5452903C"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$84,500,000</w:t>
            </w:r>
          </w:p>
        </w:tc>
        <w:tc>
          <w:tcPr>
            <w:tcW w:w="720" w:type="dxa"/>
            <w:tcBorders>
              <w:right w:val="single" w:sz="8" w:space="0" w:color="auto"/>
            </w:tcBorders>
            <w:shd w:val="clear" w:color="auto" w:fill="auto"/>
            <w:vAlign w:val="bottom"/>
          </w:tcPr>
          <w:p w14:paraId="7E7440BC" w14:textId="77777777" w:rsidR="00000000" w:rsidRPr="0060384B" w:rsidRDefault="00CA5F6F">
            <w:pPr>
              <w:spacing w:line="0" w:lineRule="atLeast"/>
              <w:rPr>
                <w:rFonts w:ascii="Lato" w:eastAsia="Times New Roman" w:hAnsi="Lato"/>
                <w:color w:val="000000" w:themeColor="text1"/>
                <w:sz w:val="24"/>
                <w:szCs w:val="24"/>
              </w:rPr>
            </w:pPr>
          </w:p>
        </w:tc>
      </w:tr>
      <w:tr w:rsidR="0060384B" w:rsidRPr="0060384B" w14:paraId="57D9B05D" w14:textId="77777777">
        <w:trPr>
          <w:trHeight w:val="22"/>
        </w:trPr>
        <w:tc>
          <w:tcPr>
            <w:tcW w:w="100" w:type="dxa"/>
            <w:tcBorders>
              <w:left w:val="single" w:sz="8" w:space="0" w:color="auto"/>
              <w:bottom w:val="single" w:sz="8" w:space="0" w:color="auto"/>
            </w:tcBorders>
            <w:shd w:val="clear" w:color="auto" w:fill="auto"/>
            <w:vAlign w:val="bottom"/>
          </w:tcPr>
          <w:p w14:paraId="700C944C" w14:textId="77777777" w:rsidR="00000000" w:rsidRPr="0060384B" w:rsidRDefault="00CA5F6F">
            <w:pPr>
              <w:spacing w:line="20" w:lineRule="exact"/>
              <w:rPr>
                <w:rFonts w:ascii="Lato" w:eastAsia="Times New Roman" w:hAnsi="Lato"/>
                <w:color w:val="000000" w:themeColor="text1"/>
                <w:sz w:val="24"/>
                <w:szCs w:val="24"/>
              </w:rPr>
            </w:pPr>
          </w:p>
        </w:tc>
        <w:tc>
          <w:tcPr>
            <w:tcW w:w="6700" w:type="dxa"/>
            <w:tcBorders>
              <w:bottom w:val="single" w:sz="8" w:space="0" w:color="auto"/>
            </w:tcBorders>
            <w:shd w:val="clear" w:color="auto" w:fill="auto"/>
            <w:vAlign w:val="bottom"/>
          </w:tcPr>
          <w:p w14:paraId="2DA22D95" w14:textId="77777777" w:rsidR="00000000" w:rsidRPr="0060384B" w:rsidRDefault="00CA5F6F">
            <w:pPr>
              <w:spacing w:line="20" w:lineRule="exact"/>
              <w:rPr>
                <w:rFonts w:ascii="Lato" w:eastAsia="Times New Roman" w:hAnsi="Lato"/>
                <w:color w:val="000000" w:themeColor="text1"/>
                <w:sz w:val="24"/>
                <w:szCs w:val="24"/>
              </w:rPr>
            </w:pPr>
          </w:p>
        </w:tc>
        <w:tc>
          <w:tcPr>
            <w:tcW w:w="220" w:type="dxa"/>
            <w:tcBorders>
              <w:bottom w:val="single" w:sz="8" w:space="0" w:color="auto"/>
            </w:tcBorders>
            <w:shd w:val="clear" w:color="auto" w:fill="auto"/>
            <w:vAlign w:val="bottom"/>
          </w:tcPr>
          <w:p w14:paraId="41BB7E47" w14:textId="77777777" w:rsidR="00000000" w:rsidRPr="0060384B" w:rsidRDefault="00CA5F6F">
            <w:pPr>
              <w:spacing w:line="20" w:lineRule="exact"/>
              <w:rPr>
                <w:rFonts w:ascii="Lato" w:eastAsia="Times New Roman" w:hAnsi="Lato"/>
                <w:color w:val="000000" w:themeColor="text1"/>
                <w:sz w:val="24"/>
                <w:szCs w:val="24"/>
              </w:rPr>
            </w:pPr>
          </w:p>
        </w:tc>
        <w:tc>
          <w:tcPr>
            <w:tcW w:w="420" w:type="dxa"/>
            <w:tcBorders>
              <w:bottom w:val="single" w:sz="8" w:space="0" w:color="auto"/>
              <w:right w:val="single" w:sz="8" w:space="0" w:color="auto"/>
            </w:tcBorders>
            <w:shd w:val="clear" w:color="auto" w:fill="auto"/>
            <w:vAlign w:val="bottom"/>
          </w:tcPr>
          <w:p w14:paraId="50E838C4" w14:textId="77777777" w:rsidR="00000000" w:rsidRPr="0060384B" w:rsidRDefault="00CA5F6F">
            <w:pPr>
              <w:spacing w:line="20" w:lineRule="exact"/>
              <w:rPr>
                <w:rFonts w:ascii="Lato" w:eastAsia="Times New Roman" w:hAnsi="Lato"/>
                <w:color w:val="000000" w:themeColor="text1"/>
                <w:sz w:val="24"/>
                <w:szCs w:val="24"/>
              </w:rPr>
            </w:pPr>
          </w:p>
        </w:tc>
        <w:tc>
          <w:tcPr>
            <w:tcW w:w="1300" w:type="dxa"/>
            <w:tcBorders>
              <w:bottom w:val="single" w:sz="8" w:space="0" w:color="auto"/>
            </w:tcBorders>
            <w:shd w:val="clear" w:color="auto" w:fill="auto"/>
            <w:vAlign w:val="bottom"/>
          </w:tcPr>
          <w:p w14:paraId="77D6A246" w14:textId="77777777" w:rsidR="00000000" w:rsidRPr="0060384B" w:rsidRDefault="00CA5F6F">
            <w:pPr>
              <w:spacing w:line="20" w:lineRule="exact"/>
              <w:rPr>
                <w:rFonts w:ascii="Lato" w:eastAsia="Times New Roman" w:hAnsi="Lato"/>
                <w:color w:val="000000" w:themeColor="text1"/>
                <w:sz w:val="24"/>
                <w:szCs w:val="24"/>
              </w:rPr>
            </w:pPr>
          </w:p>
        </w:tc>
        <w:tc>
          <w:tcPr>
            <w:tcW w:w="720" w:type="dxa"/>
            <w:tcBorders>
              <w:bottom w:val="single" w:sz="8" w:space="0" w:color="auto"/>
              <w:right w:val="single" w:sz="8" w:space="0" w:color="auto"/>
            </w:tcBorders>
            <w:shd w:val="clear" w:color="auto" w:fill="auto"/>
            <w:vAlign w:val="bottom"/>
          </w:tcPr>
          <w:p w14:paraId="001C46ED" w14:textId="77777777" w:rsidR="00000000" w:rsidRPr="0060384B" w:rsidRDefault="00CA5F6F">
            <w:pPr>
              <w:spacing w:line="20" w:lineRule="exact"/>
              <w:rPr>
                <w:rFonts w:ascii="Lato" w:eastAsia="Times New Roman" w:hAnsi="Lato"/>
                <w:color w:val="000000" w:themeColor="text1"/>
                <w:sz w:val="24"/>
                <w:szCs w:val="24"/>
              </w:rPr>
            </w:pPr>
          </w:p>
        </w:tc>
      </w:tr>
      <w:tr w:rsidR="0060384B" w:rsidRPr="0060384B" w14:paraId="171DFB8E" w14:textId="77777777">
        <w:trPr>
          <w:trHeight w:val="334"/>
        </w:trPr>
        <w:tc>
          <w:tcPr>
            <w:tcW w:w="7020" w:type="dxa"/>
            <w:gridSpan w:val="3"/>
            <w:tcBorders>
              <w:left w:val="single" w:sz="8" w:space="0" w:color="auto"/>
              <w:bottom w:val="single" w:sz="8" w:space="0" w:color="auto"/>
            </w:tcBorders>
            <w:shd w:val="clear" w:color="auto" w:fill="auto"/>
            <w:vAlign w:val="bottom"/>
          </w:tcPr>
          <w:p w14:paraId="554FB774" w14:textId="77777777" w:rsidR="00000000" w:rsidRPr="0060384B" w:rsidRDefault="00CA5F6F">
            <w:pPr>
              <w:spacing w:line="0" w:lineRule="atLeast"/>
              <w:ind w:left="80"/>
              <w:rPr>
                <w:rFonts w:ascii="Lato" w:hAnsi="Lato"/>
                <w:color w:val="000000" w:themeColor="text1"/>
                <w:sz w:val="24"/>
                <w:szCs w:val="24"/>
              </w:rPr>
            </w:pPr>
            <w:r w:rsidRPr="0060384B">
              <w:rPr>
                <w:rFonts w:ascii="Lato" w:hAnsi="Lato"/>
                <w:color w:val="000000" w:themeColor="text1"/>
                <w:sz w:val="24"/>
                <w:szCs w:val="24"/>
              </w:rPr>
              <w:t>Alzheimer</w:t>
            </w:r>
            <w:r w:rsidRPr="0060384B">
              <w:rPr>
                <w:rFonts w:ascii="Lato" w:hAnsi="Lato"/>
                <w:color w:val="000000" w:themeColor="text1"/>
                <w:sz w:val="24"/>
                <w:szCs w:val="24"/>
              </w:rPr>
              <w:t>’s Disease-Related</w:t>
            </w:r>
            <w:r w:rsidRPr="0060384B">
              <w:rPr>
                <w:rFonts w:ascii="Lato" w:hAnsi="Lato"/>
                <w:color w:val="000000" w:themeColor="text1"/>
                <w:sz w:val="24"/>
                <w:szCs w:val="24"/>
              </w:rPr>
              <w:t xml:space="preserve"> Dementias</w:t>
            </w:r>
          </w:p>
        </w:tc>
        <w:tc>
          <w:tcPr>
            <w:tcW w:w="420" w:type="dxa"/>
            <w:tcBorders>
              <w:bottom w:val="single" w:sz="8" w:space="0" w:color="auto"/>
              <w:right w:val="single" w:sz="8" w:space="0" w:color="auto"/>
            </w:tcBorders>
            <w:shd w:val="clear" w:color="auto" w:fill="auto"/>
            <w:vAlign w:val="bottom"/>
          </w:tcPr>
          <w:p w14:paraId="6E3DB2EE" w14:textId="77777777" w:rsidR="00000000" w:rsidRPr="0060384B" w:rsidRDefault="00CA5F6F">
            <w:pPr>
              <w:spacing w:line="0" w:lineRule="atLeast"/>
              <w:rPr>
                <w:rFonts w:ascii="Lato" w:eastAsia="Times New Roman" w:hAnsi="Lato"/>
                <w:color w:val="000000" w:themeColor="text1"/>
                <w:sz w:val="24"/>
                <w:szCs w:val="24"/>
              </w:rPr>
            </w:pPr>
          </w:p>
        </w:tc>
        <w:tc>
          <w:tcPr>
            <w:tcW w:w="1300" w:type="dxa"/>
            <w:tcBorders>
              <w:bottom w:val="single" w:sz="8" w:space="0" w:color="auto"/>
            </w:tcBorders>
            <w:shd w:val="clear" w:color="auto" w:fill="auto"/>
            <w:vAlign w:val="bottom"/>
          </w:tcPr>
          <w:p w14:paraId="500653D7"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$43,000,000</w:t>
            </w:r>
          </w:p>
        </w:tc>
        <w:tc>
          <w:tcPr>
            <w:tcW w:w="720" w:type="dxa"/>
            <w:tcBorders>
              <w:bottom w:val="single" w:sz="8" w:space="0" w:color="auto"/>
              <w:right w:val="single" w:sz="8" w:space="0" w:color="auto"/>
            </w:tcBorders>
            <w:shd w:val="clear" w:color="auto" w:fill="auto"/>
            <w:vAlign w:val="bottom"/>
          </w:tcPr>
          <w:p w14:paraId="1DCB30DB" w14:textId="77777777" w:rsidR="00000000" w:rsidRPr="0060384B" w:rsidRDefault="00CA5F6F">
            <w:pPr>
              <w:spacing w:line="0" w:lineRule="atLeast"/>
              <w:rPr>
                <w:rFonts w:ascii="Lato" w:eastAsia="Times New Roman" w:hAnsi="Lato"/>
                <w:color w:val="000000" w:themeColor="text1"/>
                <w:sz w:val="24"/>
                <w:szCs w:val="24"/>
              </w:rPr>
            </w:pPr>
          </w:p>
        </w:tc>
      </w:tr>
      <w:tr w:rsidR="0060384B" w:rsidRPr="0060384B" w14:paraId="33E92733" w14:textId="77777777">
        <w:trPr>
          <w:trHeight w:val="340"/>
        </w:trPr>
        <w:tc>
          <w:tcPr>
            <w:tcW w:w="7020" w:type="dxa"/>
            <w:gridSpan w:val="3"/>
            <w:tcBorders>
              <w:left w:val="single" w:sz="8" w:space="0" w:color="auto"/>
              <w:bottom w:val="single" w:sz="8" w:space="0" w:color="auto"/>
            </w:tcBorders>
            <w:shd w:val="clear" w:color="auto" w:fill="auto"/>
            <w:vAlign w:val="bottom"/>
          </w:tcPr>
          <w:p w14:paraId="744840B0" w14:textId="77777777" w:rsidR="00000000" w:rsidRPr="0060384B" w:rsidRDefault="00CA5F6F">
            <w:pPr>
              <w:spacing w:line="0" w:lineRule="atLeast"/>
              <w:ind w:left="80"/>
              <w:rPr>
                <w:rFonts w:ascii="Lato" w:hAnsi="Lato"/>
                <w:color w:val="000000" w:themeColor="text1"/>
                <w:sz w:val="24"/>
                <w:szCs w:val="24"/>
              </w:rPr>
            </w:pPr>
            <w:r w:rsidRPr="0060384B">
              <w:rPr>
                <w:rFonts w:ascii="Lato" w:hAnsi="Lato"/>
                <w:color w:val="000000" w:themeColor="text1"/>
                <w:sz w:val="24"/>
                <w:szCs w:val="24"/>
              </w:rPr>
              <w:t>Staffing Needs, Support, and Miscellaneous</w:t>
            </w:r>
          </w:p>
        </w:tc>
        <w:tc>
          <w:tcPr>
            <w:tcW w:w="420" w:type="dxa"/>
            <w:tcBorders>
              <w:bottom w:val="single" w:sz="8" w:space="0" w:color="auto"/>
              <w:right w:val="single" w:sz="8" w:space="0" w:color="auto"/>
            </w:tcBorders>
            <w:shd w:val="clear" w:color="auto" w:fill="auto"/>
            <w:vAlign w:val="bottom"/>
          </w:tcPr>
          <w:p w14:paraId="12E6926E" w14:textId="77777777" w:rsidR="00000000" w:rsidRPr="0060384B" w:rsidRDefault="00CA5F6F">
            <w:pPr>
              <w:spacing w:line="0" w:lineRule="atLeast"/>
              <w:rPr>
                <w:rFonts w:ascii="Lato" w:eastAsia="Times New Roman" w:hAnsi="Lato"/>
                <w:color w:val="000000" w:themeColor="text1"/>
                <w:sz w:val="24"/>
                <w:szCs w:val="24"/>
              </w:rPr>
            </w:pPr>
          </w:p>
        </w:tc>
        <w:tc>
          <w:tcPr>
            <w:tcW w:w="1300" w:type="dxa"/>
            <w:tcBorders>
              <w:bottom w:val="single" w:sz="8" w:space="0" w:color="auto"/>
            </w:tcBorders>
            <w:shd w:val="clear" w:color="auto" w:fill="auto"/>
            <w:vAlign w:val="bottom"/>
          </w:tcPr>
          <w:p w14:paraId="328C4E6B"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$3,811,444</w:t>
            </w:r>
          </w:p>
        </w:tc>
        <w:tc>
          <w:tcPr>
            <w:tcW w:w="720" w:type="dxa"/>
            <w:tcBorders>
              <w:bottom w:val="single" w:sz="8" w:space="0" w:color="auto"/>
              <w:right w:val="single" w:sz="8" w:space="0" w:color="auto"/>
            </w:tcBorders>
            <w:shd w:val="clear" w:color="auto" w:fill="auto"/>
            <w:vAlign w:val="bottom"/>
          </w:tcPr>
          <w:p w14:paraId="4BA92B26" w14:textId="77777777" w:rsidR="00000000" w:rsidRPr="0060384B" w:rsidRDefault="00CA5F6F">
            <w:pPr>
              <w:spacing w:line="0" w:lineRule="atLeast"/>
              <w:rPr>
                <w:rFonts w:ascii="Lato" w:eastAsia="Times New Roman" w:hAnsi="Lato"/>
                <w:color w:val="000000" w:themeColor="text1"/>
                <w:sz w:val="24"/>
                <w:szCs w:val="24"/>
              </w:rPr>
            </w:pPr>
          </w:p>
        </w:tc>
      </w:tr>
      <w:tr w:rsidR="0060384B" w:rsidRPr="0060384B" w14:paraId="4011CF95" w14:textId="77777777">
        <w:trPr>
          <w:trHeight w:val="344"/>
        </w:trPr>
        <w:tc>
          <w:tcPr>
            <w:tcW w:w="7020" w:type="dxa"/>
            <w:gridSpan w:val="3"/>
            <w:tcBorders>
              <w:left w:val="single" w:sz="8" w:space="0" w:color="auto"/>
              <w:bottom w:val="single" w:sz="8" w:space="0" w:color="auto"/>
            </w:tcBorders>
            <w:shd w:val="clear" w:color="auto" w:fill="auto"/>
            <w:vAlign w:val="bottom"/>
          </w:tcPr>
          <w:p w14:paraId="12919391" w14:textId="77777777" w:rsidR="00000000" w:rsidRPr="0060384B" w:rsidRDefault="00CA5F6F">
            <w:pPr>
              <w:spacing w:line="0" w:lineRule="atLeast"/>
              <w:ind w:left="80"/>
              <w:rPr>
                <w:rFonts w:ascii="Lato" w:hAnsi="Lato"/>
                <w:b/>
                <w:color w:val="000000" w:themeColor="text1"/>
                <w:sz w:val="24"/>
                <w:szCs w:val="24"/>
              </w:rPr>
            </w:pPr>
            <w:r w:rsidRPr="0060384B">
              <w:rPr>
                <w:rFonts w:ascii="Lato" w:hAnsi="Lato"/>
                <w:b/>
                <w:color w:val="000000" w:themeColor="text1"/>
                <w:sz w:val="24"/>
                <w:szCs w:val="24"/>
              </w:rPr>
              <w:t>Projected Costs for New AD/ADRD Research</w:t>
            </w:r>
          </w:p>
        </w:tc>
        <w:tc>
          <w:tcPr>
            <w:tcW w:w="420" w:type="dxa"/>
            <w:tcBorders>
              <w:bottom w:val="single" w:sz="8" w:space="0" w:color="auto"/>
              <w:right w:val="single" w:sz="8" w:space="0" w:color="auto"/>
            </w:tcBorders>
            <w:shd w:val="clear" w:color="auto" w:fill="auto"/>
            <w:vAlign w:val="bottom"/>
          </w:tcPr>
          <w:p w14:paraId="75D6D273" w14:textId="77777777" w:rsidR="00000000" w:rsidRPr="0060384B" w:rsidRDefault="00CA5F6F">
            <w:pPr>
              <w:spacing w:line="0" w:lineRule="atLeast"/>
              <w:rPr>
                <w:rFonts w:ascii="Lato" w:eastAsia="Times New Roman" w:hAnsi="Lato"/>
                <w:color w:val="000000" w:themeColor="text1"/>
                <w:sz w:val="24"/>
                <w:szCs w:val="24"/>
              </w:rPr>
            </w:pPr>
          </w:p>
        </w:tc>
        <w:tc>
          <w:tcPr>
            <w:tcW w:w="2020" w:type="dxa"/>
            <w:gridSpan w:val="2"/>
            <w:tcBorders>
              <w:bottom w:val="single" w:sz="8" w:space="0" w:color="auto"/>
              <w:right w:val="single" w:sz="8" w:space="0" w:color="auto"/>
            </w:tcBorders>
            <w:shd w:val="clear" w:color="auto" w:fill="auto"/>
            <w:vAlign w:val="bottom"/>
          </w:tcPr>
          <w:p w14:paraId="4D548F7F"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$437,911,444</w:t>
            </w:r>
          </w:p>
        </w:tc>
      </w:tr>
      <w:tr w:rsidR="0060384B" w:rsidRPr="0060384B" w14:paraId="4A97323B" w14:textId="77777777">
        <w:trPr>
          <w:trHeight w:val="293"/>
        </w:trPr>
        <w:tc>
          <w:tcPr>
            <w:tcW w:w="7020" w:type="dxa"/>
            <w:gridSpan w:val="3"/>
            <w:tcBorders>
              <w:left w:val="single" w:sz="8" w:space="0" w:color="auto"/>
            </w:tcBorders>
            <w:shd w:val="clear" w:color="auto" w:fill="auto"/>
            <w:vAlign w:val="bottom"/>
          </w:tcPr>
          <w:p w14:paraId="065555CF" w14:textId="77777777" w:rsidR="00000000" w:rsidRPr="0060384B" w:rsidRDefault="00CA5F6F">
            <w:pPr>
              <w:spacing w:line="0" w:lineRule="atLeast"/>
              <w:ind w:left="80"/>
              <w:rPr>
                <w:rFonts w:ascii="Lato" w:hAnsi="Lato"/>
                <w:color w:val="000000" w:themeColor="text1"/>
                <w:sz w:val="24"/>
                <w:szCs w:val="24"/>
              </w:rPr>
            </w:pPr>
            <w:r w:rsidRPr="0060384B">
              <w:rPr>
                <w:rFonts w:ascii="Lato" w:hAnsi="Lato"/>
                <w:color w:val="000000" w:themeColor="text1"/>
                <w:sz w:val="24"/>
                <w:szCs w:val="24"/>
              </w:rPr>
              <w:t>Less Funding from Prior Appropriations that is Available for</w:t>
            </w:r>
          </w:p>
        </w:tc>
        <w:tc>
          <w:tcPr>
            <w:tcW w:w="420" w:type="dxa"/>
            <w:tcBorders>
              <w:right w:val="single" w:sz="8" w:space="0" w:color="auto"/>
            </w:tcBorders>
            <w:shd w:val="clear" w:color="auto" w:fill="auto"/>
            <w:vAlign w:val="bottom"/>
          </w:tcPr>
          <w:p w14:paraId="12C98F0A" w14:textId="77777777" w:rsidR="00000000" w:rsidRPr="0060384B" w:rsidRDefault="00CA5F6F">
            <w:pPr>
              <w:spacing w:line="0" w:lineRule="atLeast"/>
              <w:rPr>
                <w:rFonts w:ascii="Lato" w:eastAsia="Times New Roman" w:hAnsi="Lato"/>
                <w:color w:val="000000" w:themeColor="text1"/>
                <w:sz w:val="24"/>
                <w:szCs w:val="24"/>
              </w:rPr>
            </w:pPr>
          </w:p>
        </w:tc>
        <w:tc>
          <w:tcPr>
            <w:tcW w:w="2020" w:type="dxa"/>
            <w:gridSpan w:val="2"/>
            <w:vMerge w:val="restart"/>
            <w:tcBorders>
              <w:right w:val="single" w:sz="8" w:space="0" w:color="auto"/>
            </w:tcBorders>
            <w:shd w:val="clear" w:color="auto" w:fill="auto"/>
            <w:vAlign w:val="bottom"/>
          </w:tcPr>
          <w:p w14:paraId="598125E2"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($84,000,000)</w:t>
            </w:r>
          </w:p>
        </w:tc>
      </w:tr>
      <w:tr w:rsidR="0060384B" w:rsidRPr="0060384B" w14:paraId="3BBE0435" w14:textId="77777777">
        <w:trPr>
          <w:trHeight w:val="174"/>
        </w:trPr>
        <w:tc>
          <w:tcPr>
            <w:tcW w:w="7020" w:type="dxa"/>
            <w:gridSpan w:val="3"/>
            <w:vMerge w:val="restart"/>
            <w:tcBorders>
              <w:left w:val="single" w:sz="8" w:space="0" w:color="auto"/>
            </w:tcBorders>
            <w:shd w:val="clear" w:color="auto" w:fill="auto"/>
            <w:vAlign w:val="bottom"/>
          </w:tcPr>
          <w:p w14:paraId="256EE730" w14:textId="77777777" w:rsidR="00000000" w:rsidRPr="0060384B" w:rsidRDefault="00CA5F6F">
            <w:pPr>
              <w:spacing w:line="0" w:lineRule="atLeast"/>
              <w:ind w:left="80"/>
              <w:rPr>
                <w:rFonts w:ascii="Lato" w:hAnsi="Lato"/>
                <w:color w:val="000000" w:themeColor="text1"/>
                <w:sz w:val="24"/>
                <w:szCs w:val="24"/>
              </w:rPr>
            </w:pPr>
            <w:r w:rsidRPr="0060384B">
              <w:rPr>
                <w:rFonts w:ascii="Lato" w:hAnsi="Lato"/>
                <w:color w:val="000000" w:themeColor="text1"/>
                <w:sz w:val="24"/>
                <w:szCs w:val="24"/>
              </w:rPr>
              <w:t>New AD/ADRD Research</w:t>
            </w:r>
          </w:p>
        </w:tc>
        <w:tc>
          <w:tcPr>
            <w:tcW w:w="420" w:type="dxa"/>
            <w:tcBorders>
              <w:right w:val="single" w:sz="8" w:space="0" w:color="auto"/>
            </w:tcBorders>
            <w:shd w:val="clear" w:color="auto" w:fill="auto"/>
            <w:vAlign w:val="bottom"/>
          </w:tcPr>
          <w:p w14:paraId="2AA7E98A" w14:textId="77777777" w:rsidR="00000000" w:rsidRPr="0060384B" w:rsidRDefault="00CA5F6F">
            <w:pPr>
              <w:spacing w:line="0" w:lineRule="atLeast"/>
              <w:rPr>
                <w:rFonts w:ascii="Lato" w:eastAsia="Times New Roman" w:hAnsi="Lato"/>
                <w:color w:val="000000" w:themeColor="text1"/>
                <w:sz w:val="24"/>
                <w:szCs w:val="24"/>
              </w:rPr>
            </w:pPr>
          </w:p>
        </w:tc>
        <w:tc>
          <w:tcPr>
            <w:tcW w:w="2020" w:type="dxa"/>
            <w:gridSpan w:val="2"/>
            <w:vMerge/>
            <w:tcBorders>
              <w:right w:val="single" w:sz="8" w:space="0" w:color="auto"/>
            </w:tcBorders>
            <w:shd w:val="clear" w:color="auto" w:fill="auto"/>
            <w:vAlign w:val="bottom"/>
          </w:tcPr>
          <w:p w14:paraId="06B72974" w14:textId="77777777" w:rsidR="00000000" w:rsidRPr="0060384B" w:rsidRDefault="00CA5F6F">
            <w:pPr>
              <w:spacing w:line="0" w:lineRule="atLeast"/>
              <w:rPr>
                <w:rFonts w:ascii="Lato" w:eastAsia="Times New Roman" w:hAnsi="Lato"/>
                <w:color w:val="000000" w:themeColor="text1"/>
                <w:sz w:val="24"/>
                <w:szCs w:val="24"/>
              </w:rPr>
            </w:pPr>
          </w:p>
        </w:tc>
      </w:tr>
      <w:tr w:rsidR="0060384B" w:rsidRPr="0060384B" w14:paraId="58CE754D" w14:textId="77777777">
        <w:trPr>
          <w:trHeight w:val="155"/>
        </w:trPr>
        <w:tc>
          <w:tcPr>
            <w:tcW w:w="7020" w:type="dxa"/>
            <w:gridSpan w:val="3"/>
            <w:vMerge/>
            <w:tcBorders>
              <w:left w:val="single" w:sz="8" w:space="0" w:color="auto"/>
              <w:bottom w:val="single" w:sz="8" w:space="0" w:color="auto"/>
            </w:tcBorders>
            <w:shd w:val="clear" w:color="auto" w:fill="auto"/>
            <w:vAlign w:val="bottom"/>
          </w:tcPr>
          <w:p w14:paraId="03B44085" w14:textId="77777777" w:rsidR="00000000" w:rsidRPr="0060384B" w:rsidRDefault="00CA5F6F">
            <w:pPr>
              <w:spacing w:line="0" w:lineRule="atLeast"/>
              <w:rPr>
                <w:rFonts w:ascii="Lato" w:eastAsia="Times New Roman" w:hAnsi="Lato"/>
                <w:color w:val="000000" w:themeColor="text1"/>
                <w:sz w:val="24"/>
                <w:szCs w:val="24"/>
              </w:rPr>
            </w:pPr>
          </w:p>
        </w:tc>
        <w:tc>
          <w:tcPr>
            <w:tcW w:w="420" w:type="dxa"/>
            <w:tcBorders>
              <w:bottom w:val="single" w:sz="8" w:space="0" w:color="auto"/>
              <w:right w:val="single" w:sz="8" w:space="0" w:color="auto"/>
            </w:tcBorders>
            <w:shd w:val="clear" w:color="auto" w:fill="auto"/>
            <w:vAlign w:val="bottom"/>
          </w:tcPr>
          <w:p w14:paraId="351BEAEF" w14:textId="77777777" w:rsidR="00000000" w:rsidRPr="0060384B" w:rsidRDefault="00CA5F6F">
            <w:pPr>
              <w:spacing w:line="0" w:lineRule="atLeast"/>
              <w:rPr>
                <w:rFonts w:ascii="Lato" w:eastAsia="Times New Roman" w:hAnsi="Lato"/>
                <w:color w:val="000000" w:themeColor="text1"/>
                <w:sz w:val="24"/>
                <w:szCs w:val="24"/>
              </w:rPr>
            </w:pPr>
          </w:p>
        </w:tc>
        <w:tc>
          <w:tcPr>
            <w:tcW w:w="1300" w:type="dxa"/>
            <w:tcBorders>
              <w:bottom w:val="single" w:sz="8" w:space="0" w:color="auto"/>
            </w:tcBorders>
            <w:shd w:val="clear" w:color="auto" w:fill="auto"/>
            <w:vAlign w:val="bottom"/>
          </w:tcPr>
          <w:p w14:paraId="0B10AAA5" w14:textId="77777777" w:rsidR="00000000" w:rsidRPr="0060384B" w:rsidRDefault="00CA5F6F">
            <w:pPr>
              <w:spacing w:line="0" w:lineRule="atLeast"/>
              <w:rPr>
                <w:rFonts w:ascii="Lato" w:eastAsia="Times New Roman" w:hAnsi="Lato"/>
                <w:color w:val="000000" w:themeColor="text1"/>
                <w:sz w:val="24"/>
                <w:szCs w:val="24"/>
              </w:rPr>
            </w:pPr>
          </w:p>
        </w:tc>
        <w:tc>
          <w:tcPr>
            <w:tcW w:w="720" w:type="dxa"/>
            <w:tcBorders>
              <w:bottom w:val="single" w:sz="8" w:space="0" w:color="auto"/>
              <w:right w:val="single" w:sz="8" w:space="0" w:color="auto"/>
            </w:tcBorders>
            <w:shd w:val="clear" w:color="auto" w:fill="auto"/>
            <w:vAlign w:val="bottom"/>
          </w:tcPr>
          <w:p w14:paraId="196F2AED" w14:textId="77777777" w:rsidR="00000000" w:rsidRPr="0060384B" w:rsidRDefault="00CA5F6F">
            <w:pPr>
              <w:spacing w:line="0" w:lineRule="atLeast"/>
              <w:rPr>
                <w:rFonts w:ascii="Lato" w:eastAsia="Times New Roman" w:hAnsi="Lato"/>
                <w:color w:val="000000" w:themeColor="text1"/>
                <w:sz w:val="24"/>
                <w:szCs w:val="24"/>
              </w:rPr>
            </w:pPr>
          </w:p>
        </w:tc>
      </w:tr>
      <w:tr w:rsidR="0060384B" w:rsidRPr="0060384B" w14:paraId="7869E2B7" w14:textId="77777777">
        <w:trPr>
          <w:trHeight w:val="44"/>
        </w:trPr>
        <w:tc>
          <w:tcPr>
            <w:tcW w:w="100" w:type="dxa"/>
            <w:tcBorders>
              <w:left w:val="single" w:sz="8" w:space="0" w:color="auto"/>
            </w:tcBorders>
            <w:shd w:val="clear" w:color="auto" w:fill="auto"/>
            <w:vAlign w:val="bottom"/>
          </w:tcPr>
          <w:p w14:paraId="0376F573" w14:textId="77777777" w:rsidR="00000000" w:rsidRPr="0060384B" w:rsidRDefault="00CA5F6F">
            <w:pPr>
              <w:spacing w:line="0" w:lineRule="atLeast"/>
              <w:rPr>
                <w:rFonts w:ascii="Lato" w:eastAsia="Times New Roman" w:hAnsi="Lato"/>
                <w:color w:val="000000" w:themeColor="text1"/>
                <w:sz w:val="24"/>
                <w:szCs w:val="24"/>
              </w:rPr>
            </w:pPr>
          </w:p>
        </w:tc>
        <w:tc>
          <w:tcPr>
            <w:tcW w:w="6700" w:type="dxa"/>
            <w:shd w:val="clear" w:color="auto" w:fill="auto"/>
            <w:vAlign w:val="bottom"/>
          </w:tcPr>
          <w:p w14:paraId="05B2F487" w14:textId="77777777" w:rsidR="00000000" w:rsidRPr="0060384B" w:rsidRDefault="00CA5F6F">
            <w:pPr>
              <w:spacing w:line="0" w:lineRule="atLeast"/>
              <w:rPr>
                <w:rFonts w:ascii="Lato" w:eastAsia="Times New Roman" w:hAnsi="Lato"/>
                <w:color w:val="000000" w:themeColor="text1"/>
                <w:sz w:val="24"/>
                <w:szCs w:val="24"/>
              </w:rPr>
            </w:pPr>
          </w:p>
        </w:tc>
        <w:tc>
          <w:tcPr>
            <w:tcW w:w="220" w:type="dxa"/>
            <w:vMerge w:val="restart"/>
            <w:shd w:val="clear" w:color="auto" w:fill="auto"/>
            <w:vAlign w:val="bottom"/>
          </w:tcPr>
          <w:p w14:paraId="3D5B97EA" w14:textId="77777777" w:rsidR="00000000" w:rsidRPr="0060384B" w:rsidRDefault="00CA5F6F">
            <w:pPr>
              <w:spacing w:line="0" w:lineRule="atLeast"/>
              <w:rPr>
                <w:rFonts w:ascii="Lato" w:eastAsia="Times New Roman" w:hAnsi="Lato"/>
                <w:color w:val="000000" w:themeColor="text1"/>
                <w:sz w:val="24"/>
                <w:szCs w:val="24"/>
              </w:rPr>
            </w:pPr>
          </w:p>
        </w:tc>
        <w:tc>
          <w:tcPr>
            <w:tcW w:w="420" w:type="dxa"/>
            <w:vMerge w:val="restart"/>
            <w:tcBorders>
              <w:right w:val="single" w:sz="8" w:space="0" w:color="auto"/>
            </w:tcBorders>
            <w:shd w:val="clear" w:color="auto" w:fill="auto"/>
            <w:vAlign w:val="bottom"/>
          </w:tcPr>
          <w:p w14:paraId="7DDFC0AC" w14:textId="77777777" w:rsidR="00000000" w:rsidRPr="0060384B" w:rsidRDefault="00CA5F6F">
            <w:pPr>
              <w:spacing w:line="0" w:lineRule="atLeast"/>
              <w:rPr>
                <w:rFonts w:ascii="Lato" w:eastAsia="Times New Roman" w:hAnsi="Lato"/>
                <w:color w:val="000000" w:themeColor="text1"/>
                <w:sz w:val="24"/>
                <w:szCs w:val="24"/>
              </w:rPr>
            </w:pPr>
          </w:p>
        </w:tc>
        <w:tc>
          <w:tcPr>
            <w:tcW w:w="1300" w:type="dxa"/>
            <w:shd w:val="clear" w:color="auto" w:fill="auto"/>
            <w:vAlign w:val="bottom"/>
          </w:tcPr>
          <w:p w14:paraId="0BEF906E" w14:textId="77777777" w:rsidR="00000000" w:rsidRPr="0060384B" w:rsidRDefault="00CA5F6F">
            <w:pPr>
              <w:spacing w:line="0" w:lineRule="atLeast"/>
              <w:rPr>
                <w:rFonts w:ascii="Lato" w:eastAsia="Times New Roman" w:hAnsi="Lato"/>
                <w:color w:val="000000" w:themeColor="text1"/>
                <w:sz w:val="24"/>
                <w:szCs w:val="24"/>
              </w:rPr>
            </w:pPr>
          </w:p>
        </w:tc>
        <w:tc>
          <w:tcPr>
            <w:tcW w:w="720" w:type="dxa"/>
            <w:vMerge w:val="restart"/>
            <w:tcBorders>
              <w:right w:val="single" w:sz="8" w:space="0" w:color="auto"/>
            </w:tcBorders>
            <w:shd w:val="clear" w:color="auto" w:fill="auto"/>
            <w:vAlign w:val="bottom"/>
          </w:tcPr>
          <w:p w14:paraId="00848EE0" w14:textId="77777777" w:rsidR="00000000" w:rsidRPr="0060384B" w:rsidRDefault="00CA5F6F">
            <w:pPr>
              <w:spacing w:line="0" w:lineRule="atLeast"/>
              <w:rPr>
                <w:rFonts w:ascii="Lato" w:eastAsia="Times New Roman" w:hAnsi="Lato"/>
                <w:color w:val="000000" w:themeColor="text1"/>
                <w:sz w:val="24"/>
                <w:szCs w:val="24"/>
              </w:rPr>
            </w:pPr>
          </w:p>
        </w:tc>
      </w:tr>
      <w:tr w:rsidR="0060384B" w:rsidRPr="0060384B" w14:paraId="5B80D6B6" w14:textId="77777777">
        <w:trPr>
          <w:trHeight w:val="271"/>
        </w:trPr>
        <w:tc>
          <w:tcPr>
            <w:tcW w:w="100" w:type="dxa"/>
            <w:tcBorders>
              <w:left w:val="single" w:sz="8" w:space="0" w:color="auto"/>
            </w:tcBorders>
            <w:shd w:val="clear" w:color="auto" w:fill="auto"/>
            <w:vAlign w:val="bottom"/>
          </w:tcPr>
          <w:p w14:paraId="112B814B" w14:textId="77777777" w:rsidR="00000000" w:rsidRPr="0060384B" w:rsidRDefault="00CA5F6F">
            <w:pPr>
              <w:spacing w:line="0" w:lineRule="atLeast"/>
              <w:rPr>
                <w:rFonts w:ascii="Lato" w:eastAsia="Times New Roman" w:hAnsi="Lato"/>
                <w:color w:val="000000" w:themeColor="text1"/>
                <w:sz w:val="24"/>
                <w:szCs w:val="24"/>
              </w:rPr>
            </w:pPr>
          </w:p>
        </w:tc>
        <w:tc>
          <w:tcPr>
            <w:tcW w:w="6700" w:type="dxa"/>
            <w:shd w:val="clear" w:color="auto" w:fill="FFFF00"/>
            <w:vAlign w:val="bottom"/>
          </w:tcPr>
          <w:p w14:paraId="4D0BCE2C" w14:textId="77777777" w:rsidR="00000000" w:rsidRPr="0060384B" w:rsidRDefault="00CA5F6F">
            <w:pPr>
              <w:spacing w:line="270" w:lineRule="exact"/>
              <w:rPr>
                <w:rFonts w:ascii="Lato" w:hAnsi="Lato"/>
                <w:b/>
                <w:color w:val="000000" w:themeColor="text1"/>
                <w:sz w:val="24"/>
                <w:szCs w:val="24"/>
                <w:vertAlign w:val="superscript"/>
              </w:rPr>
            </w:pPr>
            <w:r w:rsidRPr="0060384B">
              <w:rPr>
                <w:rFonts w:ascii="Lato" w:hAnsi="Lato"/>
                <w:b/>
                <w:color w:val="000000" w:themeColor="text1"/>
                <w:sz w:val="24"/>
                <w:szCs w:val="24"/>
              </w:rPr>
              <w:t>Add</w:t>
            </w:r>
            <w:r w:rsidRPr="0060384B">
              <w:rPr>
                <w:rFonts w:ascii="Lato" w:hAnsi="Lato"/>
                <w:b/>
                <w:color w:val="000000" w:themeColor="text1"/>
                <w:sz w:val="24"/>
                <w:szCs w:val="24"/>
              </w:rPr>
              <w:t>itional FY 2021 Resources Needed for New AD/ADRD Research</w:t>
            </w:r>
            <w:r w:rsidRPr="0060384B">
              <w:rPr>
                <w:rFonts w:ascii="Lato" w:hAnsi="Lato"/>
                <w:b/>
                <w:color w:val="000000" w:themeColor="text1"/>
                <w:sz w:val="24"/>
                <w:szCs w:val="24"/>
                <w:vertAlign w:val="superscript"/>
              </w:rPr>
              <w:t>2</w:t>
            </w:r>
          </w:p>
        </w:tc>
        <w:tc>
          <w:tcPr>
            <w:tcW w:w="220" w:type="dxa"/>
            <w:vMerge/>
            <w:shd w:val="clear" w:color="auto" w:fill="auto"/>
            <w:vAlign w:val="bottom"/>
          </w:tcPr>
          <w:p w14:paraId="58F1431A" w14:textId="77777777" w:rsidR="00000000" w:rsidRPr="0060384B" w:rsidRDefault="00CA5F6F">
            <w:pPr>
              <w:spacing w:line="0" w:lineRule="atLeast"/>
              <w:rPr>
                <w:rFonts w:ascii="Lato" w:eastAsia="Times New Roman" w:hAnsi="Lato"/>
                <w:color w:val="000000" w:themeColor="text1"/>
                <w:sz w:val="24"/>
                <w:szCs w:val="24"/>
              </w:rPr>
            </w:pPr>
          </w:p>
        </w:tc>
        <w:tc>
          <w:tcPr>
            <w:tcW w:w="420" w:type="dxa"/>
            <w:vMerge/>
            <w:tcBorders>
              <w:right w:val="single" w:sz="8" w:space="0" w:color="auto"/>
            </w:tcBorders>
            <w:shd w:val="clear" w:color="auto" w:fill="auto"/>
            <w:vAlign w:val="bottom"/>
          </w:tcPr>
          <w:p w14:paraId="3AA82379" w14:textId="77777777" w:rsidR="00000000" w:rsidRPr="0060384B" w:rsidRDefault="00CA5F6F">
            <w:pPr>
              <w:spacing w:line="0" w:lineRule="atLeast"/>
              <w:rPr>
                <w:rFonts w:ascii="Lato" w:eastAsia="Times New Roman" w:hAnsi="Lato"/>
                <w:color w:val="000000" w:themeColor="text1"/>
                <w:sz w:val="24"/>
                <w:szCs w:val="24"/>
              </w:rPr>
            </w:pPr>
          </w:p>
        </w:tc>
        <w:tc>
          <w:tcPr>
            <w:tcW w:w="1300" w:type="dxa"/>
            <w:shd w:val="clear" w:color="auto" w:fill="FFFF00"/>
            <w:vAlign w:val="bottom"/>
          </w:tcPr>
          <w:p w14:paraId="5F65A96E" w14:textId="77777777" w:rsidR="00000000" w:rsidRPr="0060384B" w:rsidRDefault="00CA5F6F">
            <w:pPr>
              <w:spacing w:line="271" w:lineRule="exact"/>
              <w:rPr>
                <w:rFonts w:ascii="Lato" w:hAnsi="Lato"/>
                <w:b/>
                <w:color w:val="000000" w:themeColor="text1"/>
                <w:w w:val="95"/>
                <w:sz w:val="24"/>
                <w:szCs w:val="24"/>
              </w:rPr>
            </w:pPr>
            <w:r w:rsidRPr="0060384B">
              <w:rPr>
                <w:rFonts w:ascii="Lato" w:hAnsi="Lato"/>
                <w:b/>
                <w:color w:val="000000" w:themeColor="text1"/>
                <w:w w:val="95"/>
                <w:sz w:val="24"/>
                <w:szCs w:val="24"/>
              </w:rPr>
              <w:t>$353,911,444</w:t>
            </w:r>
          </w:p>
        </w:tc>
        <w:tc>
          <w:tcPr>
            <w:tcW w:w="720" w:type="dxa"/>
            <w:vMerge/>
            <w:tcBorders>
              <w:right w:val="single" w:sz="8" w:space="0" w:color="auto"/>
            </w:tcBorders>
            <w:shd w:val="clear" w:color="auto" w:fill="auto"/>
            <w:vAlign w:val="bottom"/>
          </w:tcPr>
          <w:p w14:paraId="5A21BDF2" w14:textId="77777777" w:rsidR="00000000" w:rsidRPr="0060384B" w:rsidRDefault="00CA5F6F">
            <w:pPr>
              <w:spacing w:line="0" w:lineRule="atLeast"/>
              <w:rPr>
                <w:rFonts w:ascii="Lato" w:eastAsia="Times New Roman" w:hAnsi="Lato"/>
                <w:color w:val="000000" w:themeColor="text1"/>
                <w:sz w:val="24"/>
                <w:szCs w:val="24"/>
              </w:rPr>
            </w:pPr>
          </w:p>
        </w:tc>
      </w:tr>
      <w:tr w:rsidR="0060384B" w:rsidRPr="0060384B" w14:paraId="575A3088" w14:textId="77777777">
        <w:trPr>
          <w:trHeight w:val="43"/>
        </w:trPr>
        <w:tc>
          <w:tcPr>
            <w:tcW w:w="7020" w:type="dxa"/>
            <w:gridSpan w:val="3"/>
            <w:tcBorders>
              <w:left w:val="single" w:sz="8" w:space="0" w:color="auto"/>
              <w:bottom w:val="single" w:sz="8" w:space="0" w:color="auto"/>
            </w:tcBorders>
            <w:shd w:val="clear" w:color="auto" w:fill="auto"/>
            <w:vAlign w:val="bottom"/>
          </w:tcPr>
          <w:p w14:paraId="78B9F03C" w14:textId="77777777" w:rsidR="00000000" w:rsidRPr="0060384B" w:rsidRDefault="00CA5F6F">
            <w:pPr>
              <w:spacing w:line="0" w:lineRule="atLeast"/>
              <w:rPr>
                <w:rFonts w:ascii="Lato" w:eastAsia="Times New Roman" w:hAnsi="Lato"/>
                <w:color w:val="000000" w:themeColor="text1"/>
                <w:sz w:val="24"/>
                <w:szCs w:val="24"/>
              </w:rPr>
            </w:pPr>
          </w:p>
        </w:tc>
        <w:tc>
          <w:tcPr>
            <w:tcW w:w="420" w:type="dxa"/>
            <w:tcBorders>
              <w:bottom w:val="single" w:sz="8" w:space="0" w:color="auto"/>
              <w:right w:val="single" w:sz="8" w:space="0" w:color="auto"/>
            </w:tcBorders>
            <w:shd w:val="clear" w:color="auto" w:fill="auto"/>
            <w:vAlign w:val="bottom"/>
          </w:tcPr>
          <w:p w14:paraId="10423220" w14:textId="77777777" w:rsidR="00000000" w:rsidRPr="0060384B" w:rsidRDefault="00CA5F6F">
            <w:pPr>
              <w:spacing w:line="0" w:lineRule="atLeast"/>
              <w:rPr>
                <w:rFonts w:ascii="Lato" w:eastAsia="Times New Roman" w:hAnsi="Lato"/>
                <w:color w:val="000000" w:themeColor="text1"/>
                <w:sz w:val="24"/>
                <w:szCs w:val="24"/>
              </w:rPr>
            </w:pPr>
          </w:p>
        </w:tc>
        <w:tc>
          <w:tcPr>
            <w:tcW w:w="1300" w:type="dxa"/>
            <w:tcBorders>
              <w:bottom w:val="single" w:sz="8" w:space="0" w:color="auto"/>
            </w:tcBorders>
            <w:shd w:val="clear" w:color="auto" w:fill="auto"/>
            <w:vAlign w:val="bottom"/>
          </w:tcPr>
          <w:p w14:paraId="5689A0B5" w14:textId="77777777" w:rsidR="00000000" w:rsidRPr="0060384B" w:rsidRDefault="00CA5F6F">
            <w:pPr>
              <w:spacing w:line="0" w:lineRule="atLeast"/>
              <w:rPr>
                <w:rFonts w:ascii="Lato" w:eastAsia="Times New Roman" w:hAnsi="Lato"/>
                <w:color w:val="000000" w:themeColor="text1"/>
                <w:sz w:val="24"/>
                <w:szCs w:val="24"/>
              </w:rPr>
            </w:pPr>
          </w:p>
        </w:tc>
        <w:tc>
          <w:tcPr>
            <w:tcW w:w="720" w:type="dxa"/>
            <w:tcBorders>
              <w:bottom w:val="single" w:sz="8" w:space="0" w:color="auto"/>
              <w:right w:val="single" w:sz="8" w:space="0" w:color="auto"/>
            </w:tcBorders>
            <w:shd w:val="clear" w:color="auto" w:fill="auto"/>
            <w:vAlign w:val="bottom"/>
          </w:tcPr>
          <w:p w14:paraId="78E72A99" w14:textId="77777777" w:rsidR="00000000" w:rsidRPr="0060384B" w:rsidRDefault="00CA5F6F">
            <w:pPr>
              <w:spacing w:line="0" w:lineRule="atLeast"/>
              <w:rPr>
                <w:rFonts w:ascii="Lato" w:eastAsia="Times New Roman" w:hAnsi="Lato"/>
                <w:color w:val="000000" w:themeColor="text1"/>
                <w:sz w:val="24"/>
                <w:szCs w:val="24"/>
              </w:rPr>
            </w:pPr>
          </w:p>
        </w:tc>
      </w:tr>
      <w:tr w:rsidR="00000000" w:rsidRPr="0060384B" w14:paraId="552F4285" w14:textId="77777777">
        <w:trPr>
          <w:trHeight w:val="540"/>
        </w:trPr>
        <w:tc>
          <w:tcPr>
            <w:tcW w:w="7020" w:type="dxa"/>
            <w:gridSpan w:val="3"/>
            <w:shd w:val="clear" w:color="auto" w:fill="auto"/>
            <w:vAlign w:val="bottom"/>
          </w:tcPr>
          <w:p w14:paraId="3A04C279"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Professional Judgment Budget FY 2021 Total Resources Needed</w:t>
            </w:r>
          </w:p>
        </w:tc>
        <w:tc>
          <w:tcPr>
            <w:tcW w:w="420" w:type="dxa"/>
            <w:shd w:val="clear" w:color="auto" w:fill="auto"/>
            <w:vAlign w:val="bottom"/>
          </w:tcPr>
          <w:p w14:paraId="63A57977" w14:textId="77777777" w:rsidR="00000000" w:rsidRPr="0060384B" w:rsidRDefault="00CA5F6F">
            <w:pPr>
              <w:spacing w:line="0" w:lineRule="atLeast"/>
              <w:rPr>
                <w:rFonts w:ascii="Lato" w:eastAsia="Times New Roman" w:hAnsi="Lato"/>
                <w:color w:val="000000" w:themeColor="text1"/>
                <w:sz w:val="24"/>
                <w:szCs w:val="24"/>
              </w:rPr>
            </w:pPr>
          </w:p>
        </w:tc>
        <w:tc>
          <w:tcPr>
            <w:tcW w:w="1300" w:type="dxa"/>
            <w:shd w:val="clear" w:color="auto" w:fill="auto"/>
            <w:vAlign w:val="bottom"/>
          </w:tcPr>
          <w:p w14:paraId="5E31BE71" w14:textId="77777777" w:rsidR="00000000" w:rsidRPr="0060384B" w:rsidRDefault="00CA5F6F">
            <w:pPr>
              <w:spacing w:line="0" w:lineRule="atLeast"/>
              <w:rPr>
                <w:rFonts w:ascii="Lato" w:eastAsia="Times New Roman" w:hAnsi="Lato"/>
                <w:color w:val="000000" w:themeColor="text1"/>
                <w:sz w:val="24"/>
                <w:szCs w:val="24"/>
              </w:rPr>
            </w:pPr>
          </w:p>
        </w:tc>
        <w:tc>
          <w:tcPr>
            <w:tcW w:w="720" w:type="dxa"/>
            <w:shd w:val="clear" w:color="auto" w:fill="auto"/>
            <w:vAlign w:val="bottom"/>
          </w:tcPr>
          <w:p w14:paraId="3563EAB0" w14:textId="77777777" w:rsidR="00000000" w:rsidRPr="0060384B" w:rsidRDefault="00CA5F6F">
            <w:pPr>
              <w:spacing w:line="0" w:lineRule="atLeast"/>
              <w:rPr>
                <w:rFonts w:ascii="Lato" w:eastAsia="Times New Roman" w:hAnsi="Lato"/>
                <w:color w:val="000000" w:themeColor="text1"/>
                <w:sz w:val="24"/>
                <w:szCs w:val="24"/>
              </w:rPr>
            </w:pPr>
          </w:p>
        </w:tc>
      </w:tr>
      <w:tr w:rsidR="00000000" w:rsidRPr="0060384B" w14:paraId="0631F5D2" w14:textId="77777777">
        <w:trPr>
          <w:trHeight w:val="157"/>
        </w:trPr>
        <w:tc>
          <w:tcPr>
            <w:tcW w:w="100" w:type="dxa"/>
            <w:tcBorders>
              <w:bottom w:val="single" w:sz="8" w:space="0" w:color="auto"/>
            </w:tcBorders>
            <w:shd w:val="clear" w:color="auto" w:fill="auto"/>
            <w:vAlign w:val="bottom"/>
          </w:tcPr>
          <w:p w14:paraId="1117C754" w14:textId="77777777" w:rsidR="00000000" w:rsidRPr="0060384B" w:rsidRDefault="00CA5F6F">
            <w:pPr>
              <w:spacing w:line="0" w:lineRule="atLeast"/>
              <w:rPr>
                <w:rFonts w:ascii="Lato" w:eastAsia="Times New Roman" w:hAnsi="Lato"/>
                <w:color w:val="000000" w:themeColor="text1"/>
                <w:sz w:val="24"/>
                <w:szCs w:val="24"/>
              </w:rPr>
            </w:pPr>
          </w:p>
        </w:tc>
        <w:tc>
          <w:tcPr>
            <w:tcW w:w="6920" w:type="dxa"/>
            <w:gridSpan w:val="2"/>
            <w:tcBorders>
              <w:bottom w:val="single" w:sz="8" w:space="0" w:color="auto"/>
            </w:tcBorders>
            <w:shd w:val="clear" w:color="auto" w:fill="auto"/>
            <w:vAlign w:val="bottom"/>
          </w:tcPr>
          <w:p w14:paraId="5846A147" w14:textId="77777777" w:rsidR="00000000" w:rsidRPr="0060384B" w:rsidRDefault="00CA5F6F">
            <w:pPr>
              <w:spacing w:line="0" w:lineRule="atLeast"/>
              <w:rPr>
                <w:rFonts w:ascii="Lato" w:eastAsia="Times New Roman" w:hAnsi="Lato"/>
                <w:color w:val="000000" w:themeColor="text1"/>
                <w:sz w:val="24"/>
                <w:szCs w:val="24"/>
              </w:rPr>
            </w:pPr>
          </w:p>
        </w:tc>
        <w:tc>
          <w:tcPr>
            <w:tcW w:w="420" w:type="dxa"/>
            <w:tcBorders>
              <w:bottom w:val="single" w:sz="8" w:space="0" w:color="auto"/>
            </w:tcBorders>
            <w:shd w:val="clear" w:color="auto" w:fill="auto"/>
            <w:vAlign w:val="bottom"/>
          </w:tcPr>
          <w:p w14:paraId="28A610BD" w14:textId="77777777" w:rsidR="00000000" w:rsidRPr="0060384B" w:rsidRDefault="00CA5F6F">
            <w:pPr>
              <w:spacing w:line="0" w:lineRule="atLeast"/>
              <w:rPr>
                <w:rFonts w:ascii="Lato" w:eastAsia="Times New Roman" w:hAnsi="Lato"/>
                <w:color w:val="000000" w:themeColor="text1"/>
                <w:sz w:val="24"/>
                <w:szCs w:val="24"/>
              </w:rPr>
            </w:pPr>
          </w:p>
        </w:tc>
        <w:tc>
          <w:tcPr>
            <w:tcW w:w="2020" w:type="dxa"/>
            <w:gridSpan w:val="2"/>
            <w:tcBorders>
              <w:bottom w:val="single" w:sz="8" w:space="0" w:color="auto"/>
            </w:tcBorders>
            <w:shd w:val="clear" w:color="auto" w:fill="auto"/>
            <w:vAlign w:val="bottom"/>
          </w:tcPr>
          <w:p w14:paraId="05DCE460" w14:textId="77777777" w:rsidR="00000000" w:rsidRPr="0060384B" w:rsidRDefault="00CA5F6F">
            <w:pPr>
              <w:spacing w:line="0" w:lineRule="atLeast"/>
              <w:rPr>
                <w:rFonts w:ascii="Lato" w:eastAsia="Times New Roman" w:hAnsi="Lato"/>
                <w:color w:val="000000" w:themeColor="text1"/>
                <w:sz w:val="24"/>
                <w:szCs w:val="24"/>
              </w:rPr>
            </w:pPr>
          </w:p>
        </w:tc>
      </w:tr>
      <w:tr w:rsidR="0060384B" w:rsidRPr="0060384B" w14:paraId="29F5FF03" w14:textId="77777777">
        <w:trPr>
          <w:trHeight w:val="358"/>
        </w:trPr>
        <w:tc>
          <w:tcPr>
            <w:tcW w:w="100" w:type="dxa"/>
            <w:tcBorders>
              <w:top w:val="single" w:sz="8" w:space="0" w:color="2F5496"/>
              <w:left w:val="single" w:sz="8" w:space="0" w:color="auto"/>
              <w:bottom w:val="single" w:sz="8" w:space="0" w:color="2F5496"/>
            </w:tcBorders>
            <w:shd w:val="clear" w:color="auto" w:fill="2F5496"/>
            <w:vAlign w:val="bottom"/>
          </w:tcPr>
          <w:p w14:paraId="45B01C95" w14:textId="77777777" w:rsidR="00000000" w:rsidRPr="0060384B" w:rsidRDefault="00CA5F6F">
            <w:pPr>
              <w:spacing w:line="0" w:lineRule="atLeast"/>
              <w:rPr>
                <w:rFonts w:ascii="Lato" w:eastAsia="Times New Roman" w:hAnsi="Lato"/>
                <w:color w:val="000000" w:themeColor="text1"/>
                <w:sz w:val="24"/>
                <w:szCs w:val="24"/>
              </w:rPr>
            </w:pPr>
          </w:p>
        </w:tc>
        <w:tc>
          <w:tcPr>
            <w:tcW w:w="6920" w:type="dxa"/>
            <w:gridSpan w:val="2"/>
            <w:tcBorders>
              <w:top w:val="single" w:sz="8" w:space="0" w:color="2F5496"/>
              <w:bottom w:val="single" w:sz="8" w:space="0" w:color="2F5496"/>
            </w:tcBorders>
            <w:shd w:val="clear" w:color="auto" w:fill="2F5496"/>
            <w:vAlign w:val="bottom"/>
          </w:tcPr>
          <w:p w14:paraId="104548D0" w14:textId="77777777" w:rsidR="00000000" w:rsidRPr="0060384B" w:rsidRDefault="00CA5F6F">
            <w:pPr>
              <w:spacing w:line="0" w:lineRule="atLeast"/>
              <w:ind w:left="20"/>
              <w:rPr>
                <w:rFonts w:ascii="Lato" w:hAnsi="Lato"/>
                <w:b/>
                <w:color w:val="000000" w:themeColor="text1"/>
                <w:sz w:val="24"/>
                <w:szCs w:val="24"/>
              </w:rPr>
            </w:pPr>
            <w:r w:rsidRPr="0060384B">
              <w:rPr>
                <w:rFonts w:ascii="Lato" w:hAnsi="Lato"/>
                <w:b/>
                <w:color w:val="000000" w:themeColor="text1"/>
                <w:sz w:val="24"/>
                <w:szCs w:val="24"/>
              </w:rPr>
              <w:t>Factor</w:t>
            </w:r>
          </w:p>
        </w:tc>
        <w:tc>
          <w:tcPr>
            <w:tcW w:w="420" w:type="dxa"/>
            <w:tcBorders>
              <w:top w:val="single" w:sz="8" w:space="0" w:color="2F5496"/>
              <w:bottom w:val="single" w:sz="8" w:space="0" w:color="2F5496"/>
              <w:right w:val="single" w:sz="8" w:space="0" w:color="auto"/>
            </w:tcBorders>
            <w:shd w:val="clear" w:color="auto" w:fill="2F5496"/>
            <w:vAlign w:val="bottom"/>
          </w:tcPr>
          <w:p w14:paraId="4D070E61" w14:textId="77777777" w:rsidR="00000000" w:rsidRPr="0060384B" w:rsidRDefault="00CA5F6F">
            <w:pPr>
              <w:spacing w:line="0" w:lineRule="atLeast"/>
              <w:rPr>
                <w:rFonts w:ascii="Lato" w:eastAsia="Times New Roman" w:hAnsi="Lato"/>
                <w:color w:val="000000" w:themeColor="text1"/>
                <w:sz w:val="24"/>
                <w:szCs w:val="24"/>
              </w:rPr>
            </w:pPr>
          </w:p>
        </w:tc>
        <w:tc>
          <w:tcPr>
            <w:tcW w:w="2020" w:type="dxa"/>
            <w:gridSpan w:val="2"/>
            <w:tcBorders>
              <w:top w:val="single" w:sz="8" w:space="0" w:color="2F5496"/>
              <w:bottom w:val="single" w:sz="8" w:space="0" w:color="2F5496"/>
              <w:right w:val="single" w:sz="8" w:space="0" w:color="auto"/>
            </w:tcBorders>
            <w:shd w:val="clear" w:color="auto" w:fill="2F5496"/>
            <w:vAlign w:val="bottom"/>
          </w:tcPr>
          <w:p w14:paraId="22BF8FA2" w14:textId="77777777" w:rsidR="00000000" w:rsidRPr="0060384B" w:rsidRDefault="00CA5F6F">
            <w:pPr>
              <w:spacing w:line="0" w:lineRule="atLeast"/>
              <w:ind w:left="40"/>
              <w:rPr>
                <w:rFonts w:ascii="Lato" w:hAnsi="Lato"/>
                <w:b/>
                <w:color w:val="000000" w:themeColor="text1"/>
                <w:sz w:val="24"/>
                <w:szCs w:val="24"/>
              </w:rPr>
            </w:pPr>
            <w:r w:rsidRPr="0060384B">
              <w:rPr>
                <w:rFonts w:ascii="Lato" w:hAnsi="Lato"/>
                <w:b/>
                <w:color w:val="000000" w:themeColor="text1"/>
                <w:sz w:val="24"/>
                <w:szCs w:val="24"/>
              </w:rPr>
              <w:t>Amount</w:t>
            </w:r>
          </w:p>
        </w:tc>
      </w:tr>
      <w:tr w:rsidR="0060384B" w:rsidRPr="0060384B" w14:paraId="31B009B1" w14:textId="77777777">
        <w:trPr>
          <w:trHeight w:val="307"/>
        </w:trPr>
        <w:tc>
          <w:tcPr>
            <w:tcW w:w="100" w:type="dxa"/>
            <w:tcBorders>
              <w:top w:val="single" w:sz="8" w:space="0" w:color="auto"/>
              <w:left w:val="single" w:sz="8" w:space="0" w:color="auto"/>
            </w:tcBorders>
            <w:shd w:val="clear" w:color="auto" w:fill="auto"/>
            <w:vAlign w:val="bottom"/>
          </w:tcPr>
          <w:p w14:paraId="5D44E2AA" w14:textId="77777777" w:rsidR="00000000" w:rsidRPr="0060384B" w:rsidRDefault="00CA5F6F">
            <w:pPr>
              <w:spacing w:line="0" w:lineRule="atLeast"/>
              <w:rPr>
                <w:rFonts w:ascii="Lato" w:eastAsia="Times New Roman" w:hAnsi="Lato"/>
                <w:color w:val="000000" w:themeColor="text1"/>
                <w:sz w:val="24"/>
                <w:szCs w:val="24"/>
              </w:rPr>
            </w:pPr>
          </w:p>
        </w:tc>
        <w:tc>
          <w:tcPr>
            <w:tcW w:w="6920" w:type="dxa"/>
            <w:gridSpan w:val="2"/>
            <w:tcBorders>
              <w:top w:val="single" w:sz="8" w:space="0" w:color="auto"/>
            </w:tcBorders>
            <w:shd w:val="clear" w:color="auto" w:fill="auto"/>
            <w:vAlign w:val="bottom"/>
          </w:tcPr>
          <w:p w14:paraId="36B88606" w14:textId="77777777" w:rsidR="00000000" w:rsidRPr="0060384B" w:rsidRDefault="00CA5F6F">
            <w:pPr>
              <w:spacing w:line="0" w:lineRule="atLeast"/>
              <w:ind w:left="20"/>
              <w:rPr>
                <w:rFonts w:ascii="Lato" w:hAnsi="Lato"/>
                <w:color w:val="000000" w:themeColor="text1"/>
                <w:sz w:val="24"/>
                <w:szCs w:val="24"/>
              </w:rPr>
            </w:pPr>
            <w:r w:rsidRPr="0060384B">
              <w:rPr>
                <w:rFonts w:ascii="Lato" w:hAnsi="Lato"/>
                <w:color w:val="000000" w:themeColor="text1"/>
                <w:sz w:val="24"/>
                <w:szCs w:val="24"/>
              </w:rPr>
              <w:t>FY 2020 President</w:t>
            </w:r>
            <w:r w:rsidRPr="0060384B">
              <w:rPr>
                <w:rFonts w:ascii="Lato" w:hAnsi="Lato"/>
                <w:color w:val="000000" w:themeColor="text1"/>
                <w:sz w:val="24"/>
                <w:szCs w:val="24"/>
              </w:rPr>
              <w:t>’s Budget Request for AD/ADRD Research (baseline</w:t>
            </w:r>
          </w:p>
        </w:tc>
        <w:tc>
          <w:tcPr>
            <w:tcW w:w="420" w:type="dxa"/>
            <w:tcBorders>
              <w:top w:val="single" w:sz="8" w:space="0" w:color="auto"/>
              <w:right w:val="single" w:sz="8" w:space="0" w:color="auto"/>
            </w:tcBorders>
            <w:shd w:val="clear" w:color="auto" w:fill="auto"/>
            <w:vAlign w:val="bottom"/>
          </w:tcPr>
          <w:p w14:paraId="5FFA6E18" w14:textId="77777777" w:rsidR="00000000" w:rsidRPr="0060384B" w:rsidRDefault="00CA5F6F">
            <w:pPr>
              <w:spacing w:line="0" w:lineRule="atLeast"/>
              <w:rPr>
                <w:rFonts w:ascii="Lato" w:eastAsia="Times New Roman" w:hAnsi="Lato"/>
                <w:color w:val="000000" w:themeColor="text1"/>
                <w:sz w:val="24"/>
                <w:szCs w:val="24"/>
              </w:rPr>
            </w:pPr>
          </w:p>
        </w:tc>
        <w:tc>
          <w:tcPr>
            <w:tcW w:w="2020" w:type="dxa"/>
            <w:gridSpan w:val="2"/>
            <w:vMerge w:val="restart"/>
            <w:tcBorders>
              <w:top w:val="single" w:sz="8" w:space="0" w:color="auto"/>
              <w:right w:val="single" w:sz="8" w:space="0" w:color="auto"/>
            </w:tcBorders>
            <w:shd w:val="clear" w:color="auto" w:fill="auto"/>
            <w:vAlign w:val="bottom"/>
          </w:tcPr>
          <w:p w14:paraId="255E675C"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$2,142,000,000</w:t>
            </w:r>
          </w:p>
        </w:tc>
      </w:tr>
      <w:tr w:rsidR="0060384B" w:rsidRPr="0060384B" w14:paraId="1C014BB0" w14:textId="77777777">
        <w:trPr>
          <w:trHeight w:val="176"/>
        </w:trPr>
        <w:tc>
          <w:tcPr>
            <w:tcW w:w="100" w:type="dxa"/>
            <w:tcBorders>
              <w:left w:val="single" w:sz="8" w:space="0" w:color="auto"/>
            </w:tcBorders>
            <w:shd w:val="clear" w:color="auto" w:fill="auto"/>
            <w:vAlign w:val="bottom"/>
          </w:tcPr>
          <w:p w14:paraId="497099E6" w14:textId="77777777" w:rsidR="00000000" w:rsidRPr="0060384B" w:rsidRDefault="00CA5F6F">
            <w:pPr>
              <w:spacing w:line="0" w:lineRule="atLeast"/>
              <w:rPr>
                <w:rFonts w:ascii="Lato" w:eastAsia="Times New Roman" w:hAnsi="Lato"/>
                <w:color w:val="000000" w:themeColor="text1"/>
                <w:sz w:val="24"/>
                <w:szCs w:val="24"/>
              </w:rPr>
            </w:pPr>
          </w:p>
        </w:tc>
        <w:tc>
          <w:tcPr>
            <w:tcW w:w="6920" w:type="dxa"/>
            <w:gridSpan w:val="2"/>
            <w:vMerge w:val="restart"/>
            <w:shd w:val="clear" w:color="auto" w:fill="auto"/>
            <w:vAlign w:val="bottom"/>
          </w:tcPr>
          <w:p w14:paraId="7FCCFB25" w14:textId="77777777" w:rsidR="00000000" w:rsidRPr="0060384B" w:rsidRDefault="00CA5F6F">
            <w:pPr>
              <w:spacing w:line="0" w:lineRule="atLeast"/>
              <w:ind w:left="20"/>
              <w:rPr>
                <w:rFonts w:ascii="Lato" w:hAnsi="Lato"/>
                <w:color w:val="000000" w:themeColor="text1"/>
                <w:sz w:val="24"/>
                <w:szCs w:val="24"/>
              </w:rPr>
            </w:pPr>
            <w:r w:rsidRPr="0060384B">
              <w:rPr>
                <w:rFonts w:ascii="Lato" w:hAnsi="Lato"/>
                <w:color w:val="000000" w:themeColor="text1"/>
                <w:sz w:val="24"/>
                <w:szCs w:val="24"/>
              </w:rPr>
              <w:t>esti</w:t>
            </w:r>
            <w:r w:rsidRPr="0060384B">
              <w:rPr>
                <w:rFonts w:ascii="Lato" w:hAnsi="Lato"/>
                <w:color w:val="000000" w:themeColor="text1"/>
                <w:sz w:val="24"/>
                <w:szCs w:val="24"/>
              </w:rPr>
              <w:t>mate)</w:t>
            </w:r>
          </w:p>
        </w:tc>
        <w:tc>
          <w:tcPr>
            <w:tcW w:w="420" w:type="dxa"/>
            <w:tcBorders>
              <w:right w:val="single" w:sz="8" w:space="0" w:color="auto"/>
            </w:tcBorders>
            <w:shd w:val="clear" w:color="auto" w:fill="auto"/>
            <w:vAlign w:val="bottom"/>
          </w:tcPr>
          <w:p w14:paraId="75CBBE89" w14:textId="77777777" w:rsidR="00000000" w:rsidRPr="0060384B" w:rsidRDefault="00CA5F6F">
            <w:pPr>
              <w:spacing w:line="0" w:lineRule="atLeast"/>
              <w:rPr>
                <w:rFonts w:ascii="Lato" w:eastAsia="Times New Roman" w:hAnsi="Lato"/>
                <w:color w:val="000000" w:themeColor="text1"/>
                <w:sz w:val="24"/>
                <w:szCs w:val="24"/>
              </w:rPr>
            </w:pPr>
          </w:p>
        </w:tc>
        <w:tc>
          <w:tcPr>
            <w:tcW w:w="2020" w:type="dxa"/>
            <w:gridSpan w:val="2"/>
            <w:vMerge/>
            <w:tcBorders>
              <w:right w:val="single" w:sz="8" w:space="0" w:color="auto"/>
            </w:tcBorders>
            <w:shd w:val="clear" w:color="auto" w:fill="auto"/>
            <w:vAlign w:val="bottom"/>
          </w:tcPr>
          <w:p w14:paraId="245996F7" w14:textId="77777777" w:rsidR="00000000" w:rsidRPr="0060384B" w:rsidRDefault="00CA5F6F">
            <w:pPr>
              <w:spacing w:line="0" w:lineRule="atLeast"/>
              <w:rPr>
                <w:rFonts w:ascii="Lato" w:eastAsia="Times New Roman" w:hAnsi="Lato"/>
                <w:color w:val="000000" w:themeColor="text1"/>
                <w:sz w:val="24"/>
                <w:szCs w:val="24"/>
              </w:rPr>
            </w:pPr>
          </w:p>
        </w:tc>
      </w:tr>
      <w:tr w:rsidR="0060384B" w:rsidRPr="0060384B" w14:paraId="0352C90A" w14:textId="77777777">
        <w:trPr>
          <w:trHeight w:val="144"/>
        </w:trPr>
        <w:tc>
          <w:tcPr>
            <w:tcW w:w="100" w:type="dxa"/>
            <w:tcBorders>
              <w:left w:val="single" w:sz="8" w:space="0" w:color="auto"/>
            </w:tcBorders>
            <w:shd w:val="clear" w:color="auto" w:fill="auto"/>
            <w:vAlign w:val="bottom"/>
          </w:tcPr>
          <w:p w14:paraId="78C15D20" w14:textId="77777777" w:rsidR="00000000" w:rsidRPr="0060384B" w:rsidRDefault="00CA5F6F">
            <w:pPr>
              <w:spacing w:line="0" w:lineRule="atLeast"/>
              <w:rPr>
                <w:rFonts w:ascii="Lato" w:eastAsia="Times New Roman" w:hAnsi="Lato"/>
                <w:color w:val="000000" w:themeColor="text1"/>
                <w:sz w:val="24"/>
                <w:szCs w:val="24"/>
              </w:rPr>
            </w:pPr>
          </w:p>
        </w:tc>
        <w:tc>
          <w:tcPr>
            <w:tcW w:w="6920" w:type="dxa"/>
            <w:gridSpan w:val="2"/>
            <w:vMerge/>
            <w:shd w:val="clear" w:color="auto" w:fill="auto"/>
            <w:vAlign w:val="bottom"/>
          </w:tcPr>
          <w:p w14:paraId="2D1E8BB0" w14:textId="77777777" w:rsidR="00000000" w:rsidRPr="0060384B" w:rsidRDefault="00CA5F6F">
            <w:pPr>
              <w:spacing w:line="0" w:lineRule="atLeast"/>
              <w:rPr>
                <w:rFonts w:ascii="Lato" w:eastAsia="Times New Roman" w:hAnsi="Lato"/>
                <w:color w:val="000000" w:themeColor="text1"/>
                <w:sz w:val="24"/>
                <w:szCs w:val="24"/>
              </w:rPr>
            </w:pPr>
          </w:p>
        </w:tc>
        <w:tc>
          <w:tcPr>
            <w:tcW w:w="420" w:type="dxa"/>
            <w:tcBorders>
              <w:right w:val="single" w:sz="8" w:space="0" w:color="auto"/>
            </w:tcBorders>
            <w:shd w:val="clear" w:color="auto" w:fill="auto"/>
            <w:vAlign w:val="bottom"/>
          </w:tcPr>
          <w:p w14:paraId="07E1AA8B" w14:textId="77777777" w:rsidR="00000000" w:rsidRPr="0060384B" w:rsidRDefault="00CA5F6F">
            <w:pPr>
              <w:spacing w:line="0" w:lineRule="atLeast"/>
              <w:rPr>
                <w:rFonts w:ascii="Lato" w:eastAsia="Times New Roman" w:hAnsi="Lato"/>
                <w:color w:val="000000" w:themeColor="text1"/>
                <w:sz w:val="24"/>
                <w:szCs w:val="24"/>
              </w:rPr>
            </w:pPr>
          </w:p>
        </w:tc>
        <w:tc>
          <w:tcPr>
            <w:tcW w:w="1300" w:type="dxa"/>
            <w:shd w:val="clear" w:color="auto" w:fill="auto"/>
            <w:vAlign w:val="bottom"/>
          </w:tcPr>
          <w:p w14:paraId="77585489" w14:textId="77777777" w:rsidR="00000000" w:rsidRPr="0060384B" w:rsidRDefault="00CA5F6F">
            <w:pPr>
              <w:spacing w:line="0" w:lineRule="atLeast"/>
              <w:rPr>
                <w:rFonts w:ascii="Lato" w:eastAsia="Times New Roman" w:hAnsi="Lato"/>
                <w:color w:val="000000" w:themeColor="text1"/>
                <w:sz w:val="24"/>
                <w:szCs w:val="24"/>
              </w:rPr>
            </w:pPr>
          </w:p>
        </w:tc>
        <w:tc>
          <w:tcPr>
            <w:tcW w:w="720" w:type="dxa"/>
            <w:tcBorders>
              <w:right w:val="single" w:sz="8" w:space="0" w:color="auto"/>
            </w:tcBorders>
            <w:shd w:val="clear" w:color="auto" w:fill="auto"/>
            <w:vAlign w:val="bottom"/>
          </w:tcPr>
          <w:p w14:paraId="12AFF4E6" w14:textId="77777777" w:rsidR="00000000" w:rsidRPr="0060384B" w:rsidRDefault="00CA5F6F">
            <w:pPr>
              <w:spacing w:line="0" w:lineRule="atLeast"/>
              <w:rPr>
                <w:rFonts w:ascii="Lato" w:eastAsia="Times New Roman" w:hAnsi="Lato"/>
                <w:color w:val="000000" w:themeColor="text1"/>
                <w:sz w:val="24"/>
                <w:szCs w:val="24"/>
              </w:rPr>
            </w:pPr>
          </w:p>
        </w:tc>
      </w:tr>
      <w:tr w:rsidR="0060384B" w:rsidRPr="0060384B" w14:paraId="344FE1EC" w14:textId="77777777">
        <w:trPr>
          <w:trHeight w:val="22"/>
        </w:trPr>
        <w:tc>
          <w:tcPr>
            <w:tcW w:w="100" w:type="dxa"/>
            <w:tcBorders>
              <w:left w:val="single" w:sz="8" w:space="0" w:color="auto"/>
              <w:bottom w:val="single" w:sz="8" w:space="0" w:color="auto"/>
            </w:tcBorders>
            <w:shd w:val="clear" w:color="auto" w:fill="auto"/>
            <w:vAlign w:val="bottom"/>
          </w:tcPr>
          <w:p w14:paraId="19F741ED" w14:textId="77777777" w:rsidR="00000000" w:rsidRPr="0060384B" w:rsidRDefault="00CA5F6F">
            <w:pPr>
              <w:spacing w:line="20" w:lineRule="exact"/>
              <w:rPr>
                <w:rFonts w:ascii="Lato" w:eastAsia="Times New Roman" w:hAnsi="Lato"/>
                <w:color w:val="000000" w:themeColor="text1"/>
                <w:sz w:val="24"/>
                <w:szCs w:val="24"/>
              </w:rPr>
            </w:pPr>
          </w:p>
        </w:tc>
        <w:tc>
          <w:tcPr>
            <w:tcW w:w="6920" w:type="dxa"/>
            <w:gridSpan w:val="2"/>
            <w:tcBorders>
              <w:bottom w:val="single" w:sz="8" w:space="0" w:color="auto"/>
            </w:tcBorders>
            <w:shd w:val="clear" w:color="auto" w:fill="auto"/>
            <w:vAlign w:val="bottom"/>
          </w:tcPr>
          <w:p w14:paraId="3DA8EAE8" w14:textId="77777777" w:rsidR="00000000" w:rsidRPr="0060384B" w:rsidRDefault="00CA5F6F">
            <w:pPr>
              <w:spacing w:line="20" w:lineRule="exact"/>
              <w:rPr>
                <w:rFonts w:ascii="Lato" w:eastAsia="Times New Roman" w:hAnsi="Lato"/>
                <w:color w:val="000000" w:themeColor="text1"/>
                <w:sz w:val="24"/>
                <w:szCs w:val="24"/>
              </w:rPr>
            </w:pPr>
          </w:p>
        </w:tc>
        <w:tc>
          <w:tcPr>
            <w:tcW w:w="420" w:type="dxa"/>
            <w:tcBorders>
              <w:bottom w:val="single" w:sz="8" w:space="0" w:color="auto"/>
              <w:right w:val="single" w:sz="8" w:space="0" w:color="auto"/>
            </w:tcBorders>
            <w:shd w:val="clear" w:color="auto" w:fill="auto"/>
            <w:vAlign w:val="bottom"/>
          </w:tcPr>
          <w:p w14:paraId="14488D8B" w14:textId="77777777" w:rsidR="00000000" w:rsidRPr="0060384B" w:rsidRDefault="00CA5F6F">
            <w:pPr>
              <w:spacing w:line="20" w:lineRule="exact"/>
              <w:rPr>
                <w:rFonts w:ascii="Lato" w:eastAsia="Times New Roman" w:hAnsi="Lato"/>
                <w:color w:val="000000" w:themeColor="text1"/>
                <w:sz w:val="24"/>
                <w:szCs w:val="24"/>
              </w:rPr>
            </w:pPr>
          </w:p>
        </w:tc>
        <w:tc>
          <w:tcPr>
            <w:tcW w:w="1300" w:type="dxa"/>
            <w:tcBorders>
              <w:bottom w:val="single" w:sz="8" w:space="0" w:color="auto"/>
            </w:tcBorders>
            <w:shd w:val="clear" w:color="auto" w:fill="auto"/>
            <w:vAlign w:val="bottom"/>
          </w:tcPr>
          <w:p w14:paraId="3E6AB702" w14:textId="77777777" w:rsidR="00000000" w:rsidRPr="0060384B" w:rsidRDefault="00CA5F6F">
            <w:pPr>
              <w:spacing w:line="20" w:lineRule="exact"/>
              <w:rPr>
                <w:rFonts w:ascii="Lato" w:eastAsia="Times New Roman" w:hAnsi="Lato"/>
                <w:color w:val="000000" w:themeColor="text1"/>
                <w:sz w:val="24"/>
                <w:szCs w:val="24"/>
              </w:rPr>
            </w:pPr>
          </w:p>
        </w:tc>
        <w:tc>
          <w:tcPr>
            <w:tcW w:w="720" w:type="dxa"/>
            <w:tcBorders>
              <w:bottom w:val="single" w:sz="8" w:space="0" w:color="auto"/>
              <w:right w:val="single" w:sz="8" w:space="0" w:color="auto"/>
            </w:tcBorders>
            <w:shd w:val="clear" w:color="auto" w:fill="auto"/>
            <w:vAlign w:val="bottom"/>
          </w:tcPr>
          <w:p w14:paraId="1EFB9355" w14:textId="77777777" w:rsidR="00000000" w:rsidRPr="0060384B" w:rsidRDefault="00CA5F6F">
            <w:pPr>
              <w:spacing w:line="20" w:lineRule="exact"/>
              <w:rPr>
                <w:rFonts w:ascii="Lato" w:eastAsia="Times New Roman" w:hAnsi="Lato"/>
                <w:color w:val="000000" w:themeColor="text1"/>
                <w:sz w:val="24"/>
                <w:szCs w:val="24"/>
              </w:rPr>
            </w:pPr>
          </w:p>
        </w:tc>
      </w:tr>
      <w:tr w:rsidR="0060384B" w:rsidRPr="0060384B" w14:paraId="2526D5D8" w14:textId="77777777">
        <w:trPr>
          <w:trHeight w:val="324"/>
        </w:trPr>
        <w:tc>
          <w:tcPr>
            <w:tcW w:w="100" w:type="dxa"/>
            <w:tcBorders>
              <w:left w:val="single" w:sz="8" w:space="0" w:color="auto"/>
            </w:tcBorders>
            <w:shd w:val="clear" w:color="auto" w:fill="auto"/>
            <w:vAlign w:val="bottom"/>
          </w:tcPr>
          <w:p w14:paraId="779ADD7E" w14:textId="77777777" w:rsidR="00000000" w:rsidRPr="0060384B" w:rsidRDefault="00CA5F6F">
            <w:pPr>
              <w:spacing w:line="0" w:lineRule="atLeast"/>
              <w:rPr>
                <w:rFonts w:ascii="Lato" w:eastAsia="Times New Roman" w:hAnsi="Lato"/>
                <w:color w:val="000000" w:themeColor="text1"/>
                <w:sz w:val="24"/>
                <w:szCs w:val="24"/>
              </w:rPr>
            </w:pPr>
          </w:p>
        </w:tc>
        <w:tc>
          <w:tcPr>
            <w:tcW w:w="6920" w:type="dxa"/>
            <w:gridSpan w:val="2"/>
            <w:shd w:val="clear" w:color="auto" w:fill="auto"/>
            <w:vAlign w:val="bottom"/>
          </w:tcPr>
          <w:p w14:paraId="0B3024E9" w14:textId="77777777" w:rsidR="00000000" w:rsidRPr="0060384B" w:rsidRDefault="00CA5F6F">
            <w:pPr>
              <w:spacing w:line="0" w:lineRule="atLeast"/>
              <w:ind w:left="20"/>
              <w:rPr>
                <w:rFonts w:ascii="Lato" w:hAnsi="Lato"/>
                <w:color w:val="000000" w:themeColor="text1"/>
                <w:sz w:val="24"/>
                <w:szCs w:val="24"/>
              </w:rPr>
            </w:pPr>
            <w:r w:rsidRPr="0060384B">
              <w:rPr>
                <w:rFonts w:ascii="Lato" w:hAnsi="Lato"/>
                <w:color w:val="000000" w:themeColor="text1"/>
                <w:sz w:val="24"/>
                <w:szCs w:val="24"/>
              </w:rPr>
              <w:t>Difference Between FY 2020 President</w:t>
            </w:r>
            <w:r w:rsidRPr="0060384B">
              <w:rPr>
                <w:rFonts w:ascii="Lato" w:hAnsi="Lato"/>
                <w:color w:val="000000" w:themeColor="text1"/>
                <w:sz w:val="24"/>
                <w:szCs w:val="24"/>
              </w:rPr>
              <w:t>’s Budget Request and FY 2019</w:t>
            </w:r>
          </w:p>
        </w:tc>
        <w:tc>
          <w:tcPr>
            <w:tcW w:w="420" w:type="dxa"/>
            <w:tcBorders>
              <w:right w:val="single" w:sz="8" w:space="0" w:color="auto"/>
            </w:tcBorders>
            <w:shd w:val="clear" w:color="auto" w:fill="auto"/>
            <w:vAlign w:val="bottom"/>
          </w:tcPr>
          <w:p w14:paraId="5104B51E" w14:textId="77777777" w:rsidR="00000000" w:rsidRPr="0060384B" w:rsidRDefault="00CA5F6F">
            <w:pPr>
              <w:spacing w:line="0" w:lineRule="atLeast"/>
              <w:rPr>
                <w:rFonts w:ascii="Lato" w:eastAsia="Times New Roman" w:hAnsi="Lato"/>
                <w:color w:val="000000" w:themeColor="text1"/>
                <w:sz w:val="24"/>
                <w:szCs w:val="24"/>
              </w:rPr>
            </w:pPr>
          </w:p>
        </w:tc>
        <w:tc>
          <w:tcPr>
            <w:tcW w:w="2020" w:type="dxa"/>
            <w:gridSpan w:val="2"/>
            <w:vMerge w:val="restart"/>
            <w:tcBorders>
              <w:right w:val="single" w:sz="8" w:space="0" w:color="auto"/>
            </w:tcBorders>
            <w:shd w:val="clear" w:color="auto" w:fill="auto"/>
            <w:vAlign w:val="bottom"/>
          </w:tcPr>
          <w:p w14:paraId="3CA51BC3"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$326,000,000</w:t>
            </w:r>
          </w:p>
        </w:tc>
      </w:tr>
      <w:tr w:rsidR="0060384B" w:rsidRPr="0060384B" w14:paraId="33431F9E" w14:textId="77777777">
        <w:trPr>
          <w:trHeight w:val="171"/>
        </w:trPr>
        <w:tc>
          <w:tcPr>
            <w:tcW w:w="100" w:type="dxa"/>
            <w:tcBorders>
              <w:left w:val="single" w:sz="8" w:space="0" w:color="auto"/>
            </w:tcBorders>
            <w:shd w:val="clear" w:color="auto" w:fill="auto"/>
            <w:vAlign w:val="bottom"/>
          </w:tcPr>
          <w:p w14:paraId="5DE67651" w14:textId="77777777" w:rsidR="00000000" w:rsidRPr="0060384B" w:rsidRDefault="00CA5F6F">
            <w:pPr>
              <w:spacing w:line="0" w:lineRule="atLeast"/>
              <w:rPr>
                <w:rFonts w:ascii="Lato" w:eastAsia="Times New Roman" w:hAnsi="Lato"/>
                <w:color w:val="000000" w:themeColor="text1"/>
                <w:sz w:val="24"/>
                <w:szCs w:val="24"/>
              </w:rPr>
            </w:pPr>
          </w:p>
        </w:tc>
        <w:tc>
          <w:tcPr>
            <w:tcW w:w="6920" w:type="dxa"/>
            <w:gridSpan w:val="2"/>
            <w:vMerge w:val="restart"/>
            <w:shd w:val="clear" w:color="auto" w:fill="auto"/>
            <w:vAlign w:val="bottom"/>
          </w:tcPr>
          <w:p w14:paraId="6D55D9C4" w14:textId="77777777" w:rsidR="00000000" w:rsidRPr="0060384B" w:rsidRDefault="00CA5F6F">
            <w:pPr>
              <w:spacing w:line="368" w:lineRule="exact"/>
              <w:ind w:left="20"/>
              <w:rPr>
                <w:rFonts w:ascii="Lato" w:hAnsi="Lato"/>
                <w:color w:val="000000" w:themeColor="text1"/>
                <w:sz w:val="24"/>
                <w:szCs w:val="24"/>
                <w:vertAlign w:val="superscript"/>
              </w:rPr>
            </w:pPr>
            <w:r w:rsidRPr="0060384B">
              <w:rPr>
                <w:rFonts w:ascii="Lato" w:hAnsi="Lato"/>
                <w:color w:val="000000" w:themeColor="text1"/>
                <w:sz w:val="24"/>
                <w:szCs w:val="24"/>
              </w:rPr>
              <w:t>Appropriation for AD/ADRD Research</w:t>
            </w:r>
            <w:r w:rsidRPr="0060384B">
              <w:rPr>
                <w:rFonts w:ascii="Lato" w:hAnsi="Lato"/>
                <w:color w:val="000000" w:themeColor="text1"/>
                <w:sz w:val="24"/>
                <w:szCs w:val="24"/>
                <w:vertAlign w:val="superscript"/>
              </w:rPr>
              <w:t>3</w:t>
            </w:r>
          </w:p>
        </w:tc>
        <w:tc>
          <w:tcPr>
            <w:tcW w:w="420" w:type="dxa"/>
            <w:tcBorders>
              <w:right w:val="single" w:sz="8" w:space="0" w:color="auto"/>
            </w:tcBorders>
            <w:shd w:val="clear" w:color="auto" w:fill="auto"/>
            <w:vAlign w:val="bottom"/>
          </w:tcPr>
          <w:p w14:paraId="119013F7" w14:textId="77777777" w:rsidR="00000000" w:rsidRPr="0060384B" w:rsidRDefault="00CA5F6F">
            <w:pPr>
              <w:spacing w:line="0" w:lineRule="atLeast"/>
              <w:rPr>
                <w:rFonts w:ascii="Lato" w:eastAsia="Times New Roman" w:hAnsi="Lato"/>
                <w:color w:val="000000" w:themeColor="text1"/>
                <w:sz w:val="24"/>
                <w:szCs w:val="24"/>
              </w:rPr>
            </w:pPr>
          </w:p>
        </w:tc>
        <w:tc>
          <w:tcPr>
            <w:tcW w:w="2020" w:type="dxa"/>
            <w:gridSpan w:val="2"/>
            <w:vMerge/>
            <w:tcBorders>
              <w:right w:val="single" w:sz="8" w:space="0" w:color="auto"/>
            </w:tcBorders>
            <w:shd w:val="clear" w:color="auto" w:fill="auto"/>
            <w:vAlign w:val="bottom"/>
          </w:tcPr>
          <w:p w14:paraId="5F5AA399" w14:textId="77777777" w:rsidR="00000000" w:rsidRPr="0060384B" w:rsidRDefault="00CA5F6F">
            <w:pPr>
              <w:spacing w:line="0" w:lineRule="atLeast"/>
              <w:rPr>
                <w:rFonts w:ascii="Lato" w:eastAsia="Times New Roman" w:hAnsi="Lato"/>
                <w:color w:val="000000" w:themeColor="text1"/>
                <w:sz w:val="24"/>
                <w:szCs w:val="24"/>
              </w:rPr>
            </w:pPr>
          </w:p>
        </w:tc>
      </w:tr>
      <w:tr w:rsidR="0060384B" w:rsidRPr="0060384B" w14:paraId="571A2537" w14:textId="77777777">
        <w:trPr>
          <w:trHeight w:val="197"/>
        </w:trPr>
        <w:tc>
          <w:tcPr>
            <w:tcW w:w="100" w:type="dxa"/>
            <w:tcBorders>
              <w:left w:val="single" w:sz="8" w:space="0" w:color="auto"/>
              <w:bottom w:val="single" w:sz="8" w:space="0" w:color="auto"/>
            </w:tcBorders>
            <w:shd w:val="clear" w:color="auto" w:fill="auto"/>
            <w:vAlign w:val="bottom"/>
          </w:tcPr>
          <w:p w14:paraId="3120AD9E" w14:textId="77777777" w:rsidR="00000000" w:rsidRPr="0060384B" w:rsidRDefault="00CA5F6F">
            <w:pPr>
              <w:spacing w:line="0" w:lineRule="atLeast"/>
              <w:rPr>
                <w:rFonts w:ascii="Lato" w:eastAsia="Times New Roman" w:hAnsi="Lato"/>
                <w:color w:val="000000" w:themeColor="text1"/>
                <w:sz w:val="24"/>
                <w:szCs w:val="24"/>
              </w:rPr>
            </w:pPr>
          </w:p>
        </w:tc>
        <w:tc>
          <w:tcPr>
            <w:tcW w:w="6920" w:type="dxa"/>
            <w:gridSpan w:val="2"/>
            <w:vMerge/>
            <w:tcBorders>
              <w:bottom w:val="single" w:sz="8" w:space="0" w:color="auto"/>
            </w:tcBorders>
            <w:shd w:val="clear" w:color="auto" w:fill="auto"/>
            <w:vAlign w:val="bottom"/>
          </w:tcPr>
          <w:p w14:paraId="4DB1493C" w14:textId="77777777" w:rsidR="00000000" w:rsidRPr="0060384B" w:rsidRDefault="00CA5F6F">
            <w:pPr>
              <w:spacing w:line="0" w:lineRule="atLeast"/>
              <w:rPr>
                <w:rFonts w:ascii="Lato" w:eastAsia="Times New Roman" w:hAnsi="Lato"/>
                <w:color w:val="000000" w:themeColor="text1"/>
                <w:sz w:val="24"/>
                <w:szCs w:val="24"/>
              </w:rPr>
            </w:pPr>
          </w:p>
        </w:tc>
        <w:tc>
          <w:tcPr>
            <w:tcW w:w="420" w:type="dxa"/>
            <w:tcBorders>
              <w:bottom w:val="single" w:sz="8" w:space="0" w:color="auto"/>
              <w:right w:val="single" w:sz="8" w:space="0" w:color="auto"/>
            </w:tcBorders>
            <w:shd w:val="clear" w:color="auto" w:fill="auto"/>
            <w:vAlign w:val="bottom"/>
          </w:tcPr>
          <w:p w14:paraId="25535D89" w14:textId="77777777" w:rsidR="00000000" w:rsidRPr="0060384B" w:rsidRDefault="00CA5F6F">
            <w:pPr>
              <w:spacing w:line="0" w:lineRule="atLeast"/>
              <w:rPr>
                <w:rFonts w:ascii="Lato" w:eastAsia="Times New Roman" w:hAnsi="Lato"/>
                <w:color w:val="000000" w:themeColor="text1"/>
                <w:sz w:val="24"/>
                <w:szCs w:val="24"/>
              </w:rPr>
            </w:pPr>
          </w:p>
        </w:tc>
        <w:tc>
          <w:tcPr>
            <w:tcW w:w="1300" w:type="dxa"/>
            <w:tcBorders>
              <w:bottom w:val="single" w:sz="8" w:space="0" w:color="auto"/>
            </w:tcBorders>
            <w:shd w:val="clear" w:color="auto" w:fill="auto"/>
            <w:vAlign w:val="bottom"/>
          </w:tcPr>
          <w:p w14:paraId="0A382957" w14:textId="77777777" w:rsidR="00000000" w:rsidRPr="0060384B" w:rsidRDefault="00CA5F6F">
            <w:pPr>
              <w:spacing w:line="0" w:lineRule="atLeast"/>
              <w:rPr>
                <w:rFonts w:ascii="Lato" w:eastAsia="Times New Roman" w:hAnsi="Lato"/>
                <w:color w:val="000000" w:themeColor="text1"/>
                <w:sz w:val="24"/>
                <w:szCs w:val="24"/>
              </w:rPr>
            </w:pPr>
          </w:p>
        </w:tc>
        <w:tc>
          <w:tcPr>
            <w:tcW w:w="720" w:type="dxa"/>
            <w:tcBorders>
              <w:bottom w:val="single" w:sz="8" w:space="0" w:color="auto"/>
              <w:right w:val="single" w:sz="8" w:space="0" w:color="auto"/>
            </w:tcBorders>
            <w:shd w:val="clear" w:color="auto" w:fill="auto"/>
            <w:vAlign w:val="bottom"/>
          </w:tcPr>
          <w:p w14:paraId="2796968B" w14:textId="77777777" w:rsidR="00000000" w:rsidRPr="0060384B" w:rsidRDefault="00CA5F6F">
            <w:pPr>
              <w:spacing w:line="0" w:lineRule="atLeast"/>
              <w:rPr>
                <w:rFonts w:ascii="Lato" w:eastAsia="Times New Roman" w:hAnsi="Lato"/>
                <w:color w:val="000000" w:themeColor="text1"/>
                <w:sz w:val="24"/>
                <w:szCs w:val="24"/>
              </w:rPr>
            </w:pPr>
          </w:p>
        </w:tc>
      </w:tr>
      <w:tr w:rsidR="0060384B" w:rsidRPr="0060384B" w14:paraId="53A75482" w14:textId="77777777">
        <w:trPr>
          <w:trHeight w:val="344"/>
        </w:trPr>
        <w:tc>
          <w:tcPr>
            <w:tcW w:w="100" w:type="dxa"/>
            <w:tcBorders>
              <w:left w:val="single" w:sz="8" w:space="0" w:color="auto"/>
            </w:tcBorders>
            <w:shd w:val="clear" w:color="auto" w:fill="auto"/>
            <w:vAlign w:val="bottom"/>
          </w:tcPr>
          <w:p w14:paraId="21129D34" w14:textId="77777777" w:rsidR="00000000" w:rsidRPr="0060384B" w:rsidRDefault="00CA5F6F">
            <w:pPr>
              <w:spacing w:line="0" w:lineRule="atLeast"/>
              <w:rPr>
                <w:rFonts w:ascii="Lato" w:eastAsia="Times New Roman" w:hAnsi="Lato"/>
                <w:color w:val="000000" w:themeColor="text1"/>
                <w:sz w:val="24"/>
                <w:szCs w:val="24"/>
              </w:rPr>
            </w:pPr>
          </w:p>
        </w:tc>
        <w:tc>
          <w:tcPr>
            <w:tcW w:w="6920" w:type="dxa"/>
            <w:gridSpan w:val="2"/>
            <w:shd w:val="clear" w:color="auto" w:fill="auto"/>
            <w:vAlign w:val="bottom"/>
          </w:tcPr>
          <w:p w14:paraId="62258EC8" w14:textId="77777777" w:rsidR="00000000" w:rsidRPr="0060384B" w:rsidRDefault="00CA5F6F">
            <w:pPr>
              <w:spacing w:line="0" w:lineRule="atLeast"/>
              <w:ind w:left="20"/>
              <w:rPr>
                <w:rFonts w:ascii="Lato" w:hAnsi="Lato"/>
                <w:color w:val="000000" w:themeColor="text1"/>
                <w:sz w:val="24"/>
                <w:szCs w:val="24"/>
              </w:rPr>
            </w:pPr>
            <w:r w:rsidRPr="0060384B">
              <w:rPr>
                <w:rFonts w:ascii="Lato" w:hAnsi="Lato"/>
                <w:color w:val="000000" w:themeColor="text1"/>
                <w:sz w:val="24"/>
                <w:szCs w:val="24"/>
              </w:rPr>
              <w:t>Additional FY 2021 Resources Needed for New AD/ADRD Research</w:t>
            </w:r>
          </w:p>
        </w:tc>
        <w:tc>
          <w:tcPr>
            <w:tcW w:w="420" w:type="dxa"/>
            <w:tcBorders>
              <w:right w:val="single" w:sz="8" w:space="0" w:color="auto"/>
            </w:tcBorders>
            <w:shd w:val="clear" w:color="auto" w:fill="auto"/>
            <w:vAlign w:val="bottom"/>
          </w:tcPr>
          <w:p w14:paraId="55E38604" w14:textId="77777777" w:rsidR="00000000" w:rsidRPr="0060384B" w:rsidRDefault="00CA5F6F">
            <w:pPr>
              <w:spacing w:line="0" w:lineRule="atLeast"/>
              <w:rPr>
                <w:rFonts w:ascii="Lato" w:eastAsia="Times New Roman" w:hAnsi="Lato"/>
                <w:color w:val="000000" w:themeColor="text1"/>
                <w:sz w:val="24"/>
                <w:szCs w:val="24"/>
              </w:rPr>
            </w:pPr>
          </w:p>
        </w:tc>
        <w:tc>
          <w:tcPr>
            <w:tcW w:w="2020" w:type="dxa"/>
            <w:gridSpan w:val="2"/>
            <w:tcBorders>
              <w:right w:val="single" w:sz="8" w:space="0" w:color="auto"/>
            </w:tcBorders>
            <w:shd w:val="clear" w:color="auto" w:fill="auto"/>
            <w:vAlign w:val="bottom"/>
          </w:tcPr>
          <w:p w14:paraId="14992EDB"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$353,911,444</w:t>
            </w:r>
          </w:p>
        </w:tc>
      </w:tr>
      <w:tr w:rsidR="0060384B" w:rsidRPr="0060384B" w14:paraId="2F771487" w14:textId="77777777">
        <w:trPr>
          <w:trHeight w:val="72"/>
        </w:trPr>
        <w:tc>
          <w:tcPr>
            <w:tcW w:w="100" w:type="dxa"/>
            <w:tcBorders>
              <w:left w:val="single" w:sz="8" w:space="0" w:color="auto"/>
              <w:bottom w:val="single" w:sz="8" w:space="0" w:color="auto"/>
            </w:tcBorders>
            <w:shd w:val="clear" w:color="auto" w:fill="auto"/>
            <w:vAlign w:val="bottom"/>
          </w:tcPr>
          <w:p w14:paraId="5561EDF8" w14:textId="77777777" w:rsidR="00000000" w:rsidRPr="0060384B" w:rsidRDefault="00CA5F6F">
            <w:pPr>
              <w:spacing w:line="0" w:lineRule="atLeast"/>
              <w:rPr>
                <w:rFonts w:ascii="Lato" w:eastAsia="Times New Roman" w:hAnsi="Lato"/>
                <w:color w:val="000000" w:themeColor="text1"/>
                <w:sz w:val="24"/>
                <w:szCs w:val="24"/>
              </w:rPr>
            </w:pPr>
          </w:p>
        </w:tc>
        <w:tc>
          <w:tcPr>
            <w:tcW w:w="6920" w:type="dxa"/>
            <w:gridSpan w:val="2"/>
            <w:tcBorders>
              <w:bottom w:val="single" w:sz="8" w:space="0" w:color="auto"/>
            </w:tcBorders>
            <w:shd w:val="clear" w:color="auto" w:fill="auto"/>
            <w:vAlign w:val="bottom"/>
          </w:tcPr>
          <w:p w14:paraId="28F32EC4" w14:textId="77777777" w:rsidR="00000000" w:rsidRPr="0060384B" w:rsidRDefault="00CA5F6F">
            <w:pPr>
              <w:spacing w:line="0" w:lineRule="atLeast"/>
              <w:rPr>
                <w:rFonts w:ascii="Lato" w:eastAsia="Times New Roman" w:hAnsi="Lato"/>
                <w:color w:val="000000" w:themeColor="text1"/>
                <w:sz w:val="24"/>
                <w:szCs w:val="24"/>
              </w:rPr>
            </w:pPr>
          </w:p>
        </w:tc>
        <w:tc>
          <w:tcPr>
            <w:tcW w:w="420" w:type="dxa"/>
            <w:tcBorders>
              <w:bottom w:val="single" w:sz="8" w:space="0" w:color="auto"/>
              <w:right w:val="single" w:sz="8" w:space="0" w:color="auto"/>
            </w:tcBorders>
            <w:shd w:val="clear" w:color="auto" w:fill="auto"/>
            <w:vAlign w:val="bottom"/>
          </w:tcPr>
          <w:p w14:paraId="1455EFB8" w14:textId="77777777" w:rsidR="00000000" w:rsidRPr="0060384B" w:rsidRDefault="00CA5F6F">
            <w:pPr>
              <w:spacing w:line="0" w:lineRule="atLeast"/>
              <w:rPr>
                <w:rFonts w:ascii="Lato" w:eastAsia="Times New Roman" w:hAnsi="Lato"/>
                <w:color w:val="000000" w:themeColor="text1"/>
                <w:sz w:val="24"/>
                <w:szCs w:val="24"/>
              </w:rPr>
            </w:pPr>
          </w:p>
        </w:tc>
        <w:tc>
          <w:tcPr>
            <w:tcW w:w="2020" w:type="dxa"/>
            <w:gridSpan w:val="2"/>
            <w:tcBorders>
              <w:bottom w:val="single" w:sz="8" w:space="0" w:color="auto"/>
              <w:right w:val="single" w:sz="8" w:space="0" w:color="auto"/>
            </w:tcBorders>
            <w:shd w:val="clear" w:color="auto" w:fill="auto"/>
            <w:vAlign w:val="bottom"/>
          </w:tcPr>
          <w:p w14:paraId="3FDA2981" w14:textId="77777777" w:rsidR="00000000" w:rsidRPr="0060384B" w:rsidRDefault="00CA5F6F">
            <w:pPr>
              <w:spacing w:line="0" w:lineRule="atLeast"/>
              <w:rPr>
                <w:rFonts w:ascii="Lato" w:eastAsia="Times New Roman" w:hAnsi="Lato"/>
                <w:color w:val="000000" w:themeColor="text1"/>
                <w:sz w:val="24"/>
                <w:szCs w:val="24"/>
              </w:rPr>
            </w:pPr>
          </w:p>
        </w:tc>
      </w:tr>
      <w:tr w:rsidR="0060384B" w:rsidRPr="0060384B" w14:paraId="75D1227C" w14:textId="77777777">
        <w:trPr>
          <w:trHeight w:val="294"/>
        </w:trPr>
        <w:tc>
          <w:tcPr>
            <w:tcW w:w="100" w:type="dxa"/>
            <w:tcBorders>
              <w:top w:val="single" w:sz="8" w:space="0" w:color="D9E2F3"/>
              <w:left w:val="single" w:sz="8" w:space="0" w:color="auto"/>
              <w:bottom w:val="single" w:sz="8" w:space="0" w:color="D9E2F3"/>
            </w:tcBorders>
            <w:shd w:val="clear" w:color="auto" w:fill="D9E2F3"/>
            <w:vAlign w:val="bottom"/>
          </w:tcPr>
          <w:p w14:paraId="065B50A5" w14:textId="77777777" w:rsidR="00000000" w:rsidRPr="0060384B" w:rsidRDefault="00CA5F6F">
            <w:pPr>
              <w:spacing w:line="0" w:lineRule="atLeast"/>
              <w:rPr>
                <w:rFonts w:ascii="Lato" w:eastAsia="Times New Roman" w:hAnsi="Lato"/>
                <w:color w:val="000000" w:themeColor="text1"/>
                <w:sz w:val="24"/>
                <w:szCs w:val="24"/>
              </w:rPr>
            </w:pPr>
          </w:p>
        </w:tc>
        <w:tc>
          <w:tcPr>
            <w:tcW w:w="6920" w:type="dxa"/>
            <w:gridSpan w:val="2"/>
            <w:tcBorders>
              <w:top w:val="single" w:sz="8" w:space="0" w:color="D9E2F3"/>
              <w:bottom w:val="single" w:sz="8" w:space="0" w:color="D9E2F3"/>
            </w:tcBorders>
            <w:shd w:val="clear" w:color="auto" w:fill="D9E2F3"/>
            <w:vAlign w:val="bottom"/>
          </w:tcPr>
          <w:p w14:paraId="783175FF" w14:textId="77777777" w:rsidR="00000000" w:rsidRPr="0060384B" w:rsidRDefault="00CA5F6F">
            <w:pPr>
              <w:spacing w:line="276" w:lineRule="exact"/>
              <w:ind w:left="20"/>
              <w:rPr>
                <w:rFonts w:ascii="Lato" w:hAnsi="Lato"/>
                <w:b/>
                <w:color w:val="000000" w:themeColor="text1"/>
                <w:sz w:val="24"/>
                <w:szCs w:val="24"/>
              </w:rPr>
            </w:pPr>
            <w:r w:rsidRPr="0060384B">
              <w:rPr>
                <w:rFonts w:ascii="Lato" w:hAnsi="Lato"/>
                <w:b/>
                <w:color w:val="000000" w:themeColor="text1"/>
                <w:sz w:val="24"/>
                <w:szCs w:val="24"/>
              </w:rPr>
              <w:t xml:space="preserve">TOTAL FY 2021 Resources </w:t>
            </w:r>
            <w:r w:rsidRPr="0060384B">
              <w:rPr>
                <w:rFonts w:ascii="Lato" w:hAnsi="Lato"/>
                <w:b/>
                <w:color w:val="000000" w:themeColor="text1"/>
                <w:sz w:val="24"/>
                <w:szCs w:val="24"/>
              </w:rPr>
              <w:t>Needed for AD/ADRD Research</w:t>
            </w:r>
          </w:p>
        </w:tc>
        <w:tc>
          <w:tcPr>
            <w:tcW w:w="420" w:type="dxa"/>
            <w:tcBorders>
              <w:top w:val="single" w:sz="8" w:space="0" w:color="D9E2F3"/>
              <w:bottom w:val="single" w:sz="8" w:space="0" w:color="D9E2F3"/>
              <w:right w:val="single" w:sz="8" w:space="0" w:color="auto"/>
            </w:tcBorders>
            <w:shd w:val="clear" w:color="auto" w:fill="D9E2F3"/>
            <w:vAlign w:val="bottom"/>
          </w:tcPr>
          <w:p w14:paraId="1C88B059" w14:textId="77777777" w:rsidR="00000000" w:rsidRPr="0060384B" w:rsidRDefault="00CA5F6F">
            <w:pPr>
              <w:spacing w:line="0" w:lineRule="atLeast"/>
              <w:rPr>
                <w:rFonts w:ascii="Lato" w:eastAsia="Times New Roman" w:hAnsi="Lato"/>
                <w:color w:val="000000" w:themeColor="text1"/>
                <w:sz w:val="24"/>
                <w:szCs w:val="24"/>
              </w:rPr>
            </w:pPr>
          </w:p>
        </w:tc>
        <w:tc>
          <w:tcPr>
            <w:tcW w:w="2020" w:type="dxa"/>
            <w:gridSpan w:val="2"/>
            <w:tcBorders>
              <w:top w:val="single" w:sz="8" w:space="0" w:color="D9E2F3"/>
              <w:bottom w:val="single" w:sz="8" w:space="0" w:color="D9E2F3"/>
              <w:right w:val="single" w:sz="8" w:space="0" w:color="auto"/>
            </w:tcBorders>
            <w:shd w:val="clear" w:color="auto" w:fill="D9E2F3"/>
            <w:vAlign w:val="bottom"/>
          </w:tcPr>
          <w:p w14:paraId="42E211C9" w14:textId="77777777" w:rsidR="00000000" w:rsidRPr="0060384B" w:rsidRDefault="00CA5F6F">
            <w:pPr>
              <w:spacing w:line="276" w:lineRule="exact"/>
              <w:rPr>
                <w:rFonts w:ascii="Lato" w:hAnsi="Lato"/>
                <w:b/>
                <w:color w:val="000000" w:themeColor="text1"/>
                <w:sz w:val="24"/>
                <w:szCs w:val="24"/>
              </w:rPr>
            </w:pPr>
            <w:r w:rsidRPr="0060384B">
              <w:rPr>
                <w:rFonts w:ascii="Lato" w:hAnsi="Lato"/>
                <w:b/>
                <w:color w:val="000000" w:themeColor="text1"/>
                <w:sz w:val="24"/>
                <w:szCs w:val="24"/>
              </w:rPr>
              <w:t>$2,821,911,444</w:t>
            </w:r>
          </w:p>
        </w:tc>
      </w:tr>
      <w:tr w:rsidR="0060384B" w:rsidRPr="0060384B" w14:paraId="560CE130" w14:textId="77777777">
        <w:trPr>
          <w:trHeight w:val="20"/>
        </w:trPr>
        <w:tc>
          <w:tcPr>
            <w:tcW w:w="100" w:type="dxa"/>
            <w:tcBorders>
              <w:left w:val="single" w:sz="8" w:space="0" w:color="auto"/>
            </w:tcBorders>
            <w:shd w:val="clear" w:color="auto" w:fill="000000"/>
            <w:vAlign w:val="bottom"/>
          </w:tcPr>
          <w:p w14:paraId="7324E069" w14:textId="77777777" w:rsidR="00000000" w:rsidRPr="0060384B" w:rsidRDefault="00CA5F6F">
            <w:pPr>
              <w:spacing w:line="20" w:lineRule="exact"/>
              <w:rPr>
                <w:rFonts w:ascii="Lato" w:eastAsia="Times New Roman" w:hAnsi="Lato"/>
                <w:color w:val="000000" w:themeColor="text1"/>
                <w:sz w:val="24"/>
                <w:szCs w:val="24"/>
              </w:rPr>
            </w:pPr>
          </w:p>
        </w:tc>
        <w:tc>
          <w:tcPr>
            <w:tcW w:w="6700" w:type="dxa"/>
            <w:shd w:val="clear" w:color="auto" w:fill="000000"/>
            <w:vAlign w:val="bottom"/>
          </w:tcPr>
          <w:p w14:paraId="68C2159A" w14:textId="77777777" w:rsidR="00000000" w:rsidRPr="0060384B" w:rsidRDefault="00CA5F6F">
            <w:pPr>
              <w:spacing w:line="20" w:lineRule="exact"/>
              <w:rPr>
                <w:rFonts w:ascii="Lato" w:eastAsia="Times New Roman" w:hAnsi="Lato"/>
                <w:color w:val="000000" w:themeColor="text1"/>
                <w:sz w:val="24"/>
                <w:szCs w:val="24"/>
              </w:rPr>
            </w:pPr>
          </w:p>
        </w:tc>
        <w:tc>
          <w:tcPr>
            <w:tcW w:w="220" w:type="dxa"/>
            <w:shd w:val="clear" w:color="auto" w:fill="000000"/>
            <w:vAlign w:val="bottom"/>
          </w:tcPr>
          <w:p w14:paraId="78C39FB7" w14:textId="77777777" w:rsidR="00000000" w:rsidRPr="0060384B" w:rsidRDefault="00CA5F6F">
            <w:pPr>
              <w:spacing w:line="20" w:lineRule="exact"/>
              <w:rPr>
                <w:rFonts w:ascii="Lato" w:eastAsia="Times New Roman" w:hAnsi="Lato"/>
                <w:color w:val="000000" w:themeColor="text1"/>
                <w:sz w:val="24"/>
                <w:szCs w:val="24"/>
              </w:rPr>
            </w:pPr>
          </w:p>
        </w:tc>
        <w:tc>
          <w:tcPr>
            <w:tcW w:w="420" w:type="dxa"/>
            <w:tcBorders>
              <w:right w:val="single" w:sz="8" w:space="0" w:color="auto"/>
            </w:tcBorders>
            <w:shd w:val="clear" w:color="auto" w:fill="000000"/>
            <w:vAlign w:val="bottom"/>
          </w:tcPr>
          <w:p w14:paraId="03D32978" w14:textId="77777777" w:rsidR="00000000" w:rsidRPr="0060384B" w:rsidRDefault="00CA5F6F">
            <w:pPr>
              <w:spacing w:line="20" w:lineRule="exact"/>
              <w:rPr>
                <w:rFonts w:ascii="Lato" w:eastAsia="Times New Roman" w:hAnsi="Lato"/>
                <w:color w:val="000000" w:themeColor="text1"/>
                <w:sz w:val="24"/>
                <w:szCs w:val="24"/>
              </w:rPr>
            </w:pPr>
          </w:p>
        </w:tc>
        <w:tc>
          <w:tcPr>
            <w:tcW w:w="1300" w:type="dxa"/>
            <w:shd w:val="clear" w:color="auto" w:fill="000000"/>
            <w:vAlign w:val="bottom"/>
          </w:tcPr>
          <w:p w14:paraId="56EA88FB" w14:textId="77777777" w:rsidR="00000000" w:rsidRPr="0060384B" w:rsidRDefault="00CA5F6F">
            <w:pPr>
              <w:spacing w:line="20" w:lineRule="exact"/>
              <w:rPr>
                <w:rFonts w:ascii="Lato" w:eastAsia="Times New Roman" w:hAnsi="Lato"/>
                <w:color w:val="000000" w:themeColor="text1"/>
                <w:sz w:val="24"/>
                <w:szCs w:val="24"/>
              </w:rPr>
            </w:pPr>
          </w:p>
        </w:tc>
        <w:tc>
          <w:tcPr>
            <w:tcW w:w="720" w:type="dxa"/>
            <w:tcBorders>
              <w:right w:val="single" w:sz="8" w:space="0" w:color="auto"/>
            </w:tcBorders>
            <w:shd w:val="clear" w:color="auto" w:fill="000000"/>
            <w:vAlign w:val="bottom"/>
          </w:tcPr>
          <w:p w14:paraId="7E95DB59" w14:textId="77777777" w:rsidR="00000000" w:rsidRPr="0060384B" w:rsidRDefault="00CA5F6F">
            <w:pPr>
              <w:spacing w:line="20" w:lineRule="exact"/>
              <w:rPr>
                <w:rFonts w:ascii="Lato" w:eastAsia="Times New Roman" w:hAnsi="Lato"/>
                <w:color w:val="000000" w:themeColor="text1"/>
                <w:sz w:val="24"/>
                <w:szCs w:val="24"/>
              </w:rPr>
            </w:pPr>
          </w:p>
        </w:tc>
      </w:tr>
    </w:tbl>
    <w:p w14:paraId="4727D204" w14:textId="77777777" w:rsidR="00000000" w:rsidRPr="0060384B" w:rsidRDefault="00CA5F6F">
      <w:pPr>
        <w:spacing w:line="182" w:lineRule="exact"/>
        <w:rPr>
          <w:rFonts w:ascii="Lato" w:eastAsia="Times New Roman" w:hAnsi="Lato"/>
          <w:color w:val="000000" w:themeColor="text1"/>
          <w:sz w:val="24"/>
          <w:szCs w:val="24"/>
        </w:rPr>
      </w:pPr>
    </w:p>
    <w:p w14:paraId="5DB0CCA7" w14:textId="77777777" w:rsidR="00000000" w:rsidRPr="0060384B" w:rsidRDefault="00CA5F6F">
      <w:pPr>
        <w:numPr>
          <w:ilvl w:val="0"/>
          <w:numId w:val="9"/>
        </w:numPr>
        <w:tabs>
          <w:tab w:val="left" w:pos="94"/>
        </w:tabs>
        <w:spacing w:line="224" w:lineRule="auto"/>
        <w:ind w:right="500"/>
        <w:rPr>
          <w:rFonts w:ascii="Lato" w:hAnsi="Lato"/>
          <w:color w:val="000000" w:themeColor="text1"/>
          <w:sz w:val="24"/>
          <w:szCs w:val="24"/>
        </w:rPr>
      </w:pPr>
      <w:r w:rsidRPr="0060384B">
        <w:rPr>
          <w:rFonts w:ascii="Lato" w:hAnsi="Lato"/>
          <w:color w:val="000000" w:themeColor="text1"/>
          <w:sz w:val="24"/>
          <w:szCs w:val="24"/>
        </w:rPr>
        <w:t>Baseline estimate includes Alzheimer</w:t>
      </w:r>
      <w:r w:rsidRPr="0060384B">
        <w:rPr>
          <w:rFonts w:ascii="Lato" w:hAnsi="Lato"/>
          <w:color w:val="000000" w:themeColor="text1"/>
          <w:sz w:val="24"/>
          <w:szCs w:val="24"/>
        </w:rPr>
        <w:t>’s disease, frontotemporal dementia, Lewy body dementia, and vascular cognitive impairment/dementia. Individual disease baseline estimates are available on the NIH Cat</w:t>
      </w:r>
      <w:r w:rsidRPr="0060384B">
        <w:rPr>
          <w:rFonts w:ascii="Lato" w:hAnsi="Lato"/>
          <w:color w:val="000000" w:themeColor="text1"/>
          <w:sz w:val="24"/>
          <w:szCs w:val="24"/>
        </w:rPr>
        <w:t xml:space="preserve">egorical Spending website at </w:t>
      </w:r>
      <w:hyperlink r:id="rId29" w:history="1">
        <w:r w:rsidRPr="0060384B">
          <w:rPr>
            <w:rFonts w:ascii="Lato" w:hAnsi="Lato"/>
            <w:color w:val="000000" w:themeColor="text1"/>
            <w:sz w:val="24"/>
            <w:szCs w:val="24"/>
          </w:rPr>
          <w:t>https://report.nih.gov/categorical_spending.aspx</w:t>
        </w:r>
        <w:r w:rsidRPr="0060384B">
          <w:rPr>
            <w:rFonts w:ascii="Lato" w:hAnsi="Lato"/>
            <w:color w:val="000000" w:themeColor="text1"/>
            <w:sz w:val="24"/>
            <w:szCs w:val="24"/>
          </w:rPr>
          <w:t>.</w:t>
        </w:r>
      </w:hyperlink>
    </w:p>
    <w:p w14:paraId="62A7FD68" w14:textId="77777777" w:rsidR="00000000" w:rsidRPr="0060384B" w:rsidRDefault="00CA5F6F">
      <w:pPr>
        <w:spacing w:line="140" w:lineRule="exact"/>
        <w:rPr>
          <w:rFonts w:ascii="Lato" w:hAnsi="Lato"/>
          <w:color w:val="000000" w:themeColor="text1"/>
          <w:sz w:val="24"/>
          <w:szCs w:val="24"/>
        </w:rPr>
      </w:pPr>
    </w:p>
    <w:p w14:paraId="61B15758" w14:textId="77777777" w:rsidR="00000000" w:rsidRPr="0060384B" w:rsidRDefault="00CA5F6F">
      <w:pPr>
        <w:numPr>
          <w:ilvl w:val="0"/>
          <w:numId w:val="9"/>
        </w:numPr>
        <w:tabs>
          <w:tab w:val="left" w:pos="94"/>
        </w:tabs>
        <w:spacing w:line="230" w:lineRule="auto"/>
        <w:ind w:right="160"/>
        <w:rPr>
          <w:rFonts w:ascii="Lato" w:hAnsi="Lato"/>
          <w:color w:val="000000" w:themeColor="text1"/>
          <w:sz w:val="24"/>
          <w:szCs w:val="24"/>
          <w:vertAlign w:val="superscript"/>
        </w:rPr>
      </w:pPr>
      <w:r w:rsidRPr="0060384B">
        <w:rPr>
          <w:rFonts w:ascii="Lato" w:hAnsi="Lato"/>
          <w:color w:val="000000" w:themeColor="text1"/>
          <w:sz w:val="24"/>
          <w:szCs w:val="24"/>
        </w:rPr>
        <w:t>In FY 2021, the projected costs of resources needed for new research to enhance investigator-initiated research</w:t>
      </w:r>
      <w:r w:rsidRPr="0060384B">
        <w:rPr>
          <w:rFonts w:ascii="Lato" w:hAnsi="Lato"/>
          <w:color w:val="000000" w:themeColor="text1"/>
          <w:sz w:val="24"/>
          <w:szCs w:val="24"/>
        </w:rPr>
        <w:t xml:space="preserve"> grants and initiatives to meet the 2025 treatment/prevention goal is $438 million. This estimate will be reduced by $84 million in funding that is projected to become available after completion of previously funded AD/ADRD research initiatives. As a resul</w:t>
      </w:r>
      <w:r w:rsidRPr="0060384B">
        <w:rPr>
          <w:rFonts w:ascii="Lato" w:hAnsi="Lato"/>
          <w:color w:val="000000" w:themeColor="text1"/>
          <w:sz w:val="24"/>
          <w:szCs w:val="24"/>
        </w:rPr>
        <w:t>t, the additional resources needed for new research in the FY 2021 budget is $354 million.</w:t>
      </w:r>
    </w:p>
    <w:p w14:paraId="6B70BFA1" w14:textId="77777777" w:rsidR="00000000" w:rsidRPr="0060384B" w:rsidRDefault="00CA5F6F">
      <w:pPr>
        <w:spacing w:line="139" w:lineRule="exact"/>
        <w:rPr>
          <w:rFonts w:ascii="Lato" w:hAnsi="Lato"/>
          <w:color w:val="000000" w:themeColor="text1"/>
          <w:sz w:val="24"/>
          <w:szCs w:val="24"/>
          <w:vertAlign w:val="superscript"/>
        </w:rPr>
      </w:pPr>
    </w:p>
    <w:p w14:paraId="5F747C92" w14:textId="77777777" w:rsidR="00000000" w:rsidRPr="0060384B" w:rsidRDefault="00CA5F6F">
      <w:pPr>
        <w:numPr>
          <w:ilvl w:val="0"/>
          <w:numId w:val="9"/>
        </w:numPr>
        <w:tabs>
          <w:tab w:val="left" w:pos="94"/>
        </w:tabs>
        <w:spacing w:line="218" w:lineRule="auto"/>
        <w:ind w:right="120"/>
        <w:rPr>
          <w:rFonts w:ascii="Lato" w:hAnsi="Lato"/>
          <w:color w:val="000000" w:themeColor="text1"/>
          <w:sz w:val="24"/>
          <w:szCs w:val="24"/>
          <w:vertAlign w:val="superscript"/>
        </w:rPr>
      </w:pPr>
      <w:r w:rsidRPr="0060384B">
        <w:rPr>
          <w:rFonts w:ascii="Lato" w:hAnsi="Lato"/>
          <w:color w:val="000000" w:themeColor="text1"/>
          <w:sz w:val="24"/>
          <w:szCs w:val="24"/>
        </w:rPr>
        <w:t xml:space="preserve">Estimated (enacted) $2.468 billion (AD/ADRD research funding from the Consolidated Appropriations Act, 2019) </w:t>
      </w:r>
      <w:r w:rsidRPr="0060384B">
        <w:rPr>
          <w:rFonts w:ascii="Lato" w:hAnsi="Lato"/>
          <w:color w:val="000000" w:themeColor="text1"/>
          <w:sz w:val="24"/>
          <w:szCs w:val="24"/>
        </w:rPr>
        <w:t>– estimated $2.142 billion (AD/ADRD research funding fr</w:t>
      </w:r>
      <w:r w:rsidRPr="0060384B">
        <w:rPr>
          <w:rFonts w:ascii="Lato" w:hAnsi="Lato"/>
          <w:color w:val="000000" w:themeColor="text1"/>
          <w:sz w:val="24"/>
          <w:szCs w:val="24"/>
        </w:rPr>
        <w:t>om the FY 2020 President</w:t>
      </w:r>
      <w:r w:rsidRPr="0060384B">
        <w:rPr>
          <w:rFonts w:ascii="Lato" w:hAnsi="Lato"/>
          <w:color w:val="000000" w:themeColor="text1"/>
          <w:sz w:val="24"/>
          <w:szCs w:val="24"/>
        </w:rPr>
        <w:t>’s budget) = $326 million.</w:t>
      </w:r>
    </w:p>
    <w:p w14:paraId="12DBDB43" w14:textId="77777777" w:rsidR="00000000" w:rsidRPr="0060384B" w:rsidRDefault="00CA5F6F">
      <w:pPr>
        <w:spacing w:line="256"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60601D25" w14:textId="77777777">
        <w:trPr>
          <w:trHeight w:val="245"/>
        </w:trPr>
        <w:tc>
          <w:tcPr>
            <w:tcW w:w="6540" w:type="dxa"/>
            <w:shd w:val="clear" w:color="auto" w:fill="auto"/>
            <w:vAlign w:val="bottom"/>
          </w:tcPr>
          <w:p w14:paraId="1777543C"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57E752CB"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11</w:t>
            </w:r>
          </w:p>
        </w:tc>
      </w:tr>
      <w:tr w:rsidR="00000000" w:rsidRPr="0060384B" w14:paraId="79D16E3A" w14:textId="77777777">
        <w:trPr>
          <w:trHeight w:val="258"/>
        </w:trPr>
        <w:tc>
          <w:tcPr>
            <w:tcW w:w="6540" w:type="dxa"/>
            <w:shd w:val="clear" w:color="auto" w:fill="auto"/>
            <w:vAlign w:val="bottom"/>
          </w:tcPr>
          <w:p w14:paraId="624B07C1"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737565DB" w14:textId="77777777" w:rsidR="00000000" w:rsidRPr="0060384B" w:rsidRDefault="00CA5F6F">
            <w:pPr>
              <w:spacing w:line="0" w:lineRule="atLeast"/>
              <w:rPr>
                <w:rFonts w:ascii="Lato" w:eastAsia="Times New Roman" w:hAnsi="Lato"/>
                <w:color w:val="000000" w:themeColor="text1"/>
                <w:sz w:val="24"/>
                <w:szCs w:val="24"/>
              </w:rPr>
            </w:pPr>
          </w:p>
        </w:tc>
      </w:tr>
    </w:tbl>
    <w:p w14:paraId="727EA805" w14:textId="77777777" w:rsidR="00000000" w:rsidRPr="0060384B" w:rsidRDefault="00CA5F6F">
      <w:pPr>
        <w:rPr>
          <w:rFonts w:ascii="Lato" w:eastAsia="Times New Roman" w:hAnsi="Lato"/>
          <w:color w:val="000000" w:themeColor="text1"/>
          <w:sz w:val="24"/>
          <w:szCs w:val="24"/>
        </w:rPr>
        <w:sectPr w:rsidR="00000000" w:rsidRPr="0060384B">
          <w:pgSz w:w="12240" w:h="15840"/>
          <w:pgMar w:top="1125" w:right="1340" w:bottom="0" w:left="1440" w:header="0" w:footer="0" w:gutter="0"/>
          <w:cols w:space="0" w:equalWidth="0">
            <w:col w:w="9460"/>
          </w:cols>
          <w:docGrid w:linePitch="360"/>
        </w:sectPr>
      </w:pPr>
    </w:p>
    <w:p w14:paraId="0000B8E3" w14:textId="77777777" w:rsidR="00000000" w:rsidRPr="0060384B" w:rsidRDefault="00CA5F6F">
      <w:pPr>
        <w:spacing w:line="255" w:lineRule="auto"/>
        <w:ind w:left="1540" w:right="1480"/>
        <w:jc w:val="center"/>
        <w:rPr>
          <w:rFonts w:ascii="Lato" w:hAnsi="Lato"/>
          <w:b/>
          <w:color w:val="000000" w:themeColor="text1"/>
          <w:sz w:val="24"/>
          <w:szCs w:val="24"/>
        </w:rPr>
      </w:pPr>
      <w:bookmarkStart w:id="14" w:name="page15"/>
      <w:bookmarkEnd w:id="14"/>
      <w:r w:rsidRPr="0060384B">
        <w:rPr>
          <w:rFonts w:ascii="Lato" w:hAnsi="Lato"/>
          <w:b/>
          <w:color w:val="000000" w:themeColor="text1"/>
          <w:sz w:val="24"/>
          <w:szCs w:val="24"/>
        </w:rPr>
        <w:lastRenderedPageBreak/>
        <w:t xml:space="preserve">Distribution of FY 2021 Projected Costs Across Research Areas Total Projected Costs: $437,911,444* </w:t>
      </w:r>
      <w:r w:rsidRPr="0060384B">
        <w:rPr>
          <w:rFonts w:ascii="Lato" w:hAnsi="Lato"/>
          <w:b/>
          <w:color w:val="000000" w:themeColor="text1"/>
          <w:sz w:val="24"/>
          <w:szCs w:val="24"/>
        </w:rPr>
        <w:t>Additional Resources Needed fo</w:t>
      </w:r>
      <w:r w:rsidRPr="0060384B">
        <w:rPr>
          <w:rFonts w:ascii="Lato" w:hAnsi="Lato"/>
          <w:b/>
          <w:color w:val="000000" w:themeColor="text1"/>
          <w:sz w:val="24"/>
          <w:szCs w:val="24"/>
        </w:rPr>
        <w:t>r New Research: $353,911,444</w:t>
      </w:r>
    </w:p>
    <w:p w14:paraId="36C193B0" w14:textId="67D25568" w:rsidR="00000000" w:rsidRPr="0060384B" w:rsidRDefault="00FB45BD">
      <w:pPr>
        <w:spacing w:line="20" w:lineRule="exact"/>
        <w:rPr>
          <w:rFonts w:ascii="Lato" w:eastAsia="Times New Roman" w:hAnsi="Lato"/>
          <w:color w:val="000000" w:themeColor="text1"/>
          <w:sz w:val="24"/>
          <w:szCs w:val="24"/>
        </w:rPr>
      </w:pPr>
      <w:r w:rsidRPr="0060384B">
        <w:rPr>
          <w:rFonts w:ascii="Lato" w:hAnsi="Lato"/>
          <w:b/>
          <w:noProof/>
          <w:color w:val="000000" w:themeColor="text1"/>
          <w:sz w:val="24"/>
          <w:szCs w:val="24"/>
        </w:rPr>
        <w:drawing>
          <wp:anchor distT="0" distB="0" distL="114300" distR="114300" simplePos="0" relativeHeight="251652608" behindDoc="1" locked="0" layoutInCell="1" allowOverlap="1" wp14:anchorId="60355DDA" wp14:editId="372B26BB">
            <wp:simplePos x="0" y="0"/>
            <wp:positionH relativeFrom="column">
              <wp:posOffset>0</wp:posOffset>
            </wp:positionH>
            <wp:positionV relativeFrom="paragraph">
              <wp:posOffset>130810</wp:posOffset>
            </wp:positionV>
            <wp:extent cx="5942330" cy="3319145"/>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2330" cy="3319145"/>
                    </a:xfrm>
                    <a:prstGeom prst="rect">
                      <a:avLst/>
                    </a:prstGeom>
                    <a:noFill/>
                  </pic:spPr>
                </pic:pic>
              </a:graphicData>
            </a:graphic>
            <wp14:sizeRelH relativeFrom="page">
              <wp14:pctWidth>0</wp14:pctWidth>
            </wp14:sizeRelH>
            <wp14:sizeRelV relativeFrom="page">
              <wp14:pctHeight>0</wp14:pctHeight>
            </wp14:sizeRelV>
          </wp:anchor>
        </w:drawing>
      </w:r>
    </w:p>
    <w:p w14:paraId="3B4B9BC2" w14:textId="77777777" w:rsidR="00000000" w:rsidRPr="0060384B" w:rsidRDefault="00CA5F6F">
      <w:pPr>
        <w:spacing w:line="200" w:lineRule="exact"/>
        <w:rPr>
          <w:rFonts w:ascii="Lato" w:eastAsia="Times New Roman" w:hAnsi="Lato"/>
          <w:color w:val="000000" w:themeColor="text1"/>
          <w:sz w:val="24"/>
          <w:szCs w:val="24"/>
        </w:rPr>
      </w:pPr>
    </w:p>
    <w:p w14:paraId="5EA33A6A" w14:textId="77777777" w:rsidR="00000000" w:rsidRPr="0060384B" w:rsidRDefault="00CA5F6F">
      <w:pPr>
        <w:spacing w:line="200" w:lineRule="exact"/>
        <w:rPr>
          <w:rFonts w:ascii="Lato" w:eastAsia="Times New Roman" w:hAnsi="Lato"/>
          <w:color w:val="000000" w:themeColor="text1"/>
          <w:sz w:val="24"/>
          <w:szCs w:val="24"/>
        </w:rPr>
      </w:pPr>
    </w:p>
    <w:p w14:paraId="3704E5A7" w14:textId="77777777" w:rsidR="00000000" w:rsidRPr="0060384B" w:rsidRDefault="00CA5F6F">
      <w:pPr>
        <w:spacing w:line="200" w:lineRule="exact"/>
        <w:rPr>
          <w:rFonts w:ascii="Lato" w:eastAsia="Times New Roman" w:hAnsi="Lato"/>
          <w:color w:val="000000" w:themeColor="text1"/>
          <w:sz w:val="24"/>
          <w:szCs w:val="24"/>
        </w:rPr>
      </w:pPr>
    </w:p>
    <w:p w14:paraId="51EAF5C8" w14:textId="77777777" w:rsidR="00000000" w:rsidRPr="0060384B" w:rsidRDefault="00CA5F6F">
      <w:pPr>
        <w:spacing w:line="200" w:lineRule="exact"/>
        <w:rPr>
          <w:rFonts w:ascii="Lato" w:eastAsia="Times New Roman" w:hAnsi="Lato"/>
          <w:color w:val="000000" w:themeColor="text1"/>
          <w:sz w:val="24"/>
          <w:szCs w:val="24"/>
        </w:rPr>
      </w:pPr>
    </w:p>
    <w:p w14:paraId="3DE3E9C0" w14:textId="77777777" w:rsidR="00000000" w:rsidRPr="0060384B" w:rsidRDefault="00CA5F6F">
      <w:pPr>
        <w:spacing w:line="200" w:lineRule="exact"/>
        <w:rPr>
          <w:rFonts w:ascii="Lato" w:eastAsia="Times New Roman" w:hAnsi="Lato"/>
          <w:color w:val="000000" w:themeColor="text1"/>
          <w:sz w:val="24"/>
          <w:szCs w:val="24"/>
        </w:rPr>
      </w:pPr>
    </w:p>
    <w:p w14:paraId="6B8B3A65" w14:textId="77777777" w:rsidR="00000000" w:rsidRPr="0060384B" w:rsidRDefault="00CA5F6F">
      <w:pPr>
        <w:spacing w:line="200" w:lineRule="exact"/>
        <w:rPr>
          <w:rFonts w:ascii="Lato" w:eastAsia="Times New Roman" w:hAnsi="Lato"/>
          <w:color w:val="000000" w:themeColor="text1"/>
          <w:sz w:val="24"/>
          <w:szCs w:val="24"/>
        </w:rPr>
      </w:pPr>
    </w:p>
    <w:p w14:paraId="574C381D" w14:textId="77777777" w:rsidR="00000000" w:rsidRPr="0060384B" w:rsidRDefault="00CA5F6F">
      <w:pPr>
        <w:spacing w:line="200" w:lineRule="exact"/>
        <w:rPr>
          <w:rFonts w:ascii="Lato" w:eastAsia="Times New Roman" w:hAnsi="Lato"/>
          <w:color w:val="000000" w:themeColor="text1"/>
          <w:sz w:val="24"/>
          <w:szCs w:val="24"/>
        </w:rPr>
      </w:pPr>
    </w:p>
    <w:p w14:paraId="2211A174" w14:textId="77777777" w:rsidR="00000000" w:rsidRPr="0060384B" w:rsidRDefault="00CA5F6F">
      <w:pPr>
        <w:spacing w:line="200" w:lineRule="exact"/>
        <w:rPr>
          <w:rFonts w:ascii="Lato" w:eastAsia="Times New Roman" w:hAnsi="Lato"/>
          <w:color w:val="000000" w:themeColor="text1"/>
          <w:sz w:val="24"/>
          <w:szCs w:val="24"/>
        </w:rPr>
      </w:pPr>
    </w:p>
    <w:p w14:paraId="196BAEB8" w14:textId="77777777" w:rsidR="00000000" w:rsidRPr="0060384B" w:rsidRDefault="00CA5F6F">
      <w:pPr>
        <w:spacing w:line="200" w:lineRule="exact"/>
        <w:rPr>
          <w:rFonts w:ascii="Lato" w:eastAsia="Times New Roman" w:hAnsi="Lato"/>
          <w:color w:val="000000" w:themeColor="text1"/>
          <w:sz w:val="24"/>
          <w:szCs w:val="24"/>
        </w:rPr>
      </w:pPr>
    </w:p>
    <w:p w14:paraId="531A7892" w14:textId="77777777" w:rsidR="00000000" w:rsidRPr="0060384B" w:rsidRDefault="00CA5F6F">
      <w:pPr>
        <w:spacing w:line="200" w:lineRule="exact"/>
        <w:rPr>
          <w:rFonts w:ascii="Lato" w:eastAsia="Times New Roman" w:hAnsi="Lato"/>
          <w:color w:val="000000" w:themeColor="text1"/>
          <w:sz w:val="24"/>
          <w:szCs w:val="24"/>
        </w:rPr>
      </w:pPr>
    </w:p>
    <w:p w14:paraId="39906DEE" w14:textId="77777777" w:rsidR="00000000" w:rsidRPr="0060384B" w:rsidRDefault="00CA5F6F">
      <w:pPr>
        <w:spacing w:line="200" w:lineRule="exact"/>
        <w:rPr>
          <w:rFonts w:ascii="Lato" w:eastAsia="Times New Roman" w:hAnsi="Lato"/>
          <w:color w:val="000000" w:themeColor="text1"/>
          <w:sz w:val="24"/>
          <w:szCs w:val="24"/>
        </w:rPr>
      </w:pPr>
    </w:p>
    <w:p w14:paraId="74D604B8" w14:textId="77777777" w:rsidR="00000000" w:rsidRPr="0060384B" w:rsidRDefault="00CA5F6F">
      <w:pPr>
        <w:spacing w:line="200" w:lineRule="exact"/>
        <w:rPr>
          <w:rFonts w:ascii="Lato" w:eastAsia="Times New Roman" w:hAnsi="Lato"/>
          <w:color w:val="000000" w:themeColor="text1"/>
          <w:sz w:val="24"/>
          <w:szCs w:val="24"/>
        </w:rPr>
      </w:pPr>
    </w:p>
    <w:p w14:paraId="51800F10" w14:textId="77777777" w:rsidR="00000000" w:rsidRPr="0060384B" w:rsidRDefault="00CA5F6F">
      <w:pPr>
        <w:spacing w:line="200" w:lineRule="exact"/>
        <w:rPr>
          <w:rFonts w:ascii="Lato" w:eastAsia="Times New Roman" w:hAnsi="Lato"/>
          <w:color w:val="000000" w:themeColor="text1"/>
          <w:sz w:val="24"/>
          <w:szCs w:val="24"/>
        </w:rPr>
      </w:pPr>
    </w:p>
    <w:p w14:paraId="38CEBB58" w14:textId="77777777" w:rsidR="00000000" w:rsidRPr="0060384B" w:rsidRDefault="00CA5F6F">
      <w:pPr>
        <w:spacing w:line="200" w:lineRule="exact"/>
        <w:rPr>
          <w:rFonts w:ascii="Lato" w:eastAsia="Times New Roman" w:hAnsi="Lato"/>
          <w:color w:val="000000" w:themeColor="text1"/>
          <w:sz w:val="24"/>
          <w:szCs w:val="24"/>
        </w:rPr>
      </w:pPr>
    </w:p>
    <w:p w14:paraId="6DF5F356" w14:textId="77777777" w:rsidR="00000000" w:rsidRPr="0060384B" w:rsidRDefault="00CA5F6F">
      <w:pPr>
        <w:spacing w:line="200" w:lineRule="exact"/>
        <w:rPr>
          <w:rFonts w:ascii="Lato" w:eastAsia="Times New Roman" w:hAnsi="Lato"/>
          <w:color w:val="000000" w:themeColor="text1"/>
          <w:sz w:val="24"/>
          <w:szCs w:val="24"/>
        </w:rPr>
      </w:pPr>
    </w:p>
    <w:p w14:paraId="0F851851" w14:textId="77777777" w:rsidR="00000000" w:rsidRPr="0060384B" w:rsidRDefault="00CA5F6F">
      <w:pPr>
        <w:spacing w:line="200" w:lineRule="exact"/>
        <w:rPr>
          <w:rFonts w:ascii="Lato" w:eastAsia="Times New Roman" w:hAnsi="Lato"/>
          <w:color w:val="000000" w:themeColor="text1"/>
          <w:sz w:val="24"/>
          <w:szCs w:val="24"/>
        </w:rPr>
      </w:pPr>
    </w:p>
    <w:p w14:paraId="00028876" w14:textId="77777777" w:rsidR="00000000" w:rsidRPr="0060384B" w:rsidRDefault="00CA5F6F">
      <w:pPr>
        <w:spacing w:line="200" w:lineRule="exact"/>
        <w:rPr>
          <w:rFonts w:ascii="Lato" w:eastAsia="Times New Roman" w:hAnsi="Lato"/>
          <w:color w:val="000000" w:themeColor="text1"/>
          <w:sz w:val="24"/>
          <w:szCs w:val="24"/>
        </w:rPr>
      </w:pPr>
    </w:p>
    <w:p w14:paraId="7C39D0B5" w14:textId="77777777" w:rsidR="00000000" w:rsidRPr="0060384B" w:rsidRDefault="00CA5F6F">
      <w:pPr>
        <w:spacing w:line="200" w:lineRule="exact"/>
        <w:rPr>
          <w:rFonts w:ascii="Lato" w:eastAsia="Times New Roman" w:hAnsi="Lato"/>
          <w:color w:val="000000" w:themeColor="text1"/>
          <w:sz w:val="24"/>
          <w:szCs w:val="24"/>
        </w:rPr>
      </w:pPr>
    </w:p>
    <w:p w14:paraId="5108B8A6" w14:textId="77777777" w:rsidR="00000000" w:rsidRPr="0060384B" w:rsidRDefault="00CA5F6F">
      <w:pPr>
        <w:spacing w:line="200" w:lineRule="exact"/>
        <w:rPr>
          <w:rFonts w:ascii="Lato" w:eastAsia="Times New Roman" w:hAnsi="Lato"/>
          <w:color w:val="000000" w:themeColor="text1"/>
          <w:sz w:val="24"/>
          <w:szCs w:val="24"/>
        </w:rPr>
      </w:pPr>
    </w:p>
    <w:p w14:paraId="56A09A89" w14:textId="77777777" w:rsidR="00000000" w:rsidRPr="0060384B" w:rsidRDefault="00CA5F6F">
      <w:pPr>
        <w:spacing w:line="200" w:lineRule="exact"/>
        <w:rPr>
          <w:rFonts w:ascii="Lato" w:eastAsia="Times New Roman" w:hAnsi="Lato"/>
          <w:color w:val="000000" w:themeColor="text1"/>
          <w:sz w:val="24"/>
          <w:szCs w:val="24"/>
        </w:rPr>
      </w:pPr>
    </w:p>
    <w:p w14:paraId="6A5558A0" w14:textId="77777777" w:rsidR="00000000" w:rsidRPr="0060384B" w:rsidRDefault="00CA5F6F">
      <w:pPr>
        <w:spacing w:line="200" w:lineRule="exact"/>
        <w:rPr>
          <w:rFonts w:ascii="Lato" w:eastAsia="Times New Roman" w:hAnsi="Lato"/>
          <w:color w:val="000000" w:themeColor="text1"/>
          <w:sz w:val="24"/>
          <w:szCs w:val="24"/>
        </w:rPr>
      </w:pPr>
    </w:p>
    <w:p w14:paraId="6735F0AD" w14:textId="77777777" w:rsidR="00000000" w:rsidRPr="0060384B" w:rsidRDefault="00CA5F6F">
      <w:pPr>
        <w:spacing w:line="200" w:lineRule="exact"/>
        <w:rPr>
          <w:rFonts w:ascii="Lato" w:eastAsia="Times New Roman" w:hAnsi="Lato"/>
          <w:color w:val="000000" w:themeColor="text1"/>
          <w:sz w:val="24"/>
          <w:szCs w:val="24"/>
        </w:rPr>
      </w:pPr>
    </w:p>
    <w:p w14:paraId="1B5F1509" w14:textId="77777777" w:rsidR="00000000" w:rsidRPr="0060384B" w:rsidRDefault="00CA5F6F">
      <w:pPr>
        <w:spacing w:line="200" w:lineRule="exact"/>
        <w:rPr>
          <w:rFonts w:ascii="Lato" w:eastAsia="Times New Roman" w:hAnsi="Lato"/>
          <w:color w:val="000000" w:themeColor="text1"/>
          <w:sz w:val="24"/>
          <w:szCs w:val="24"/>
        </w:rPr>
      </w:pPr>
    </w:p>
    <w:p w14:paraId="29B6BB3C" w14:textId="77777777" w:rsidR="00000000" w:rsidRPr="0060384B" w:rsidRDefault="00CA5F6F">
      <w:pPr>
        <w:spacing w:line="200" w:lineRule="exact"/>
        <w:rPr>
          <w:rFonts w:ascii="Lato" w:eastAsia="Times New Roman" w:hAnsi="Lato"/>
          <w:color w:val="000000" w:themeColor="text1"/>
          <w:sz w:val="24"/>
          <w:szCs w:val="24"/>
        </w:rPr>
      </w:pPr>
    </w:p>
    <w:p w14:paraId="6239B2C7" w14:textId="77777777" w:rsidR="00000000" w:rsidRPr="0060384B" w:rsidRDefault="00CA5F6F">
      <w:pPr>
        <w:spacing w:line="200" w:lineRule="exact"/>
        <w:rPr>
          <w:rFonts w:ascii="Lato" w:eastAsia="Times New Roman" w:hAnsi="Lato"/>
          <w:color w:val="000000" w:themeColor="text1"/>
          <w:sz w:val="24"/>
          <w:szCs w:val="24"/>
        </w:rPr>
      </w:pPr>
    </w:p>
    <w:p w14:paraId="5A8C6F28" w14:textId="77777777" w:rsidR="00000000" w:rsidRPr="0060384B" w:rsidRDefault="00CA5F6F">
      <w:pPr>
        <w:spacing w:line="200" w:lineRule="exact"/>
        <w:rPr>
          <w:rFonts w:ascii="Lato" w:eastAsia="Times New Roman" w:hAnsi="Lato"/>
          <w:color w:val="000000" w:themeColor="text1"/>
          <w:sz w:val="24"/>
          <w:szCs w:val="24"/>
        </w:rPr>
      </w:pPr>
    </w:p>
    <w:p w14:paraId="58913CD4" w14:textId="77777777" w:rsidR="00000000" w:rsidRPr="0060384B" w:rsidRDefault="00CA5F6F">
      <w:pPr>
        <w:spacing w:line="200" w:lineRule="exact"/>
        <w:rPr>
          <w:rFonts w:ascii="Lato" w:eastAsia="Times New Roman" w:hAnsi="Lato"/>
          <w:color w:val="000000" w:themeColor="text1"/>
          <w:sz w:val="24"/>
          <w:szCs w:val="24"/>
        </w:rPr>
      </w:pPr>
    </w:p>
    <w:p w14:paraId="56D76F0D" w14:textId="77777777" w:rsidR="00000000" w:rsidRPr="0060384B" w:rsidRDefault="00CA5F6F">
      <w:pPr>
        <w:spacing w:line="238" w:lineRule="exact"/>
        <w:rPr>
          <w:rFonts w:ascii="Lato" w:eastAsia="Times New Roman" w:hAnsi="Lato"/>
          <w:color w:val="000000" w:themeColor="text1"/>
          <w:sz w:val="24"/>
          <w:szCs w:val="24"/>
        </w:rPr>
      </w:pPr>
    </w:p>
    <w:p w14:paraId="21CC1DFE" w14:textId="77777777" w:rsidR="00000000" w:rsidRPr="0060384B" w:rsidRDefault="00CA5F6F">
      <w:pPr>
        <w:spacing w:line="243" w:lineRule="auto"/>
        <w:ind w:right="100"/>
        <w:rPr>
          <w:rFonts w:ascii="Lato" w:hAnsi="Lato"/>
          <w:color w:val="000000" w:themeColor="text1"/>
          <w:sz w:val="24"/>
          <w:szCs w:val="24"/>
        </w:rPr>
      </w:pPr>
      <w:r w:rsidRPr="0060384B">
        <w:rPr>
          <w:rFonts w:ascii="Lato" w:hAnsi="Lato"/>
          <w:color w:val="000000" w:themeColor="text1"/>
          <w:sz w:val="24"/>
          <w:szCs w:val="24"/>
        </w:rPr>
        <w:t>*In FY 2021, the projected costs of resources needed for new research to enhance investigator-initiated research grants and initiatives to meet the 2025 treatment/prevention goal is $438 million. T</w:t>
      </w:r>
      <w:r w:rsidRPr="0060384B">
        <w:rPr>
          <w:rFonts w:ascii="Lato" w:hAnsi="Lato"/>
          <w:color w:val="000000" w:themeColor="text1"/>
          <w:sz w:val="24"/>
          <w:szCs w:val="24"/>
        </w:rPr>
        <w:t>his estimate will be reduced by $84 million in funding that is projected to become available after completion of previously funded AD/ADRD research initiatives. As a result, the additional resources needed for new research in the FY 2021 budget is $354 mil</w:t>
      </w:r>
      <w:r w:rsidRPr="0060384B">
        <w:rPr>
          <w:rFonts w:ascii="Lato" w:hAnsi="Lato"/>
          <w:color w:val="000000" w:themeColor="text1"/>
          <w:sz w:val="24"/>
          <w:szCs w:val="24"/>
        </w:rPr>
        <w:t>lion.</w:t>
      </w:r>
    </w:p>
    <w:p w14:paraId="2EA74BB4" w14:textId="77777777" w:rsidR="00000000" w:rsidRPr="0060384B" w:rsidRDefault="00CA5F6F">
      <w:pPr>
        <w:spacing w:line="243" w:lineRule="auto"/>
        <w:ind w:right="100"/>
        <w:rPr>
          <w:rFonts w:ascii="Lato" w:hAnsi="Lato"/>
          <w:color w:val="000000" w:themeColor="text1"/>
          <w:sz w:val="24"/>
          <w:szCs w:val="24"/>
        </w:rPr>
        <w:sectPr w:rsidR="00000000" w:rsidRPr="0060384B">
          <w:pgSz w:w="12240" w:h="15840"/>
          <w:pgMar w:top="1130" w:right="1440" w:bottom="0" w:left="1440" w:header="0" w:footer="0" w:gutter="0"/>
          <w:cols w:space="0" w:equalWidth="0">
            <w:col w:w="9360"/>
          </w:cols>
          <w:docGrid w:linePitch="360"/>
        </w:sectPr>
      </w:pPr>
    </w:p>
    <w:p w14:paraId="630FF53B" w14:textId="77777777" w:rsidR="00000000" w:rsidRPr="0060384B" w:rsidRDefault="00CA5F6F">
      <w:pPr>
        <w:spacing w:line="200" w:lineRule="exact"/>
        <w:rPr>
          <w:rFonts w:ascii="Lato" w:eastAsia="Times New Roman" w:hAnsi="Lato"/>
          <w:color w:val="000000" w:themeColor="text1"/>
          <w:sz w:val="24"/>
          <w:szCs w:val="24"/>
        </w:rPr>
      </w:pPr>
    </w:p>
    <w:p w14:paraId="763FC527" w14:textId="77777777" w:rsidR="00000000" w:rsidRPr="0060384B" w:rsidRDefault="00CA5F6F">
      <w:pPr>
        <w:spacing w:line="200" w:lineRule="exact"/>
        <w:rPr>
          <w:rFonts w:ascii="Lato" w:eastAsia="Times New Roman" w:hAnsi="Lato"/>
          <w:color w:val="000000" w:themeColor="text1"/>
          <w:sz w:val="24"/>
          <w:szCs w:val="24"/>
        </w:rPr>
      </w:pPr>
    </w:p>
    <w:p w14:paraId="077B5884" w14:textId="77777777" w:rsidR="00000000" w:rsidRPr="0060384B" w:rsidRDefault="00CA5F6F">
      <w:pPr>
        <w:spacing w:line="200" w:lineRule="exact"/>
        <w:rPr>
          <w:rFonts w:ascii="Lato" w:eastAsia="Times New Roman" w:hAnsi="Lato"/>
          <w:color w:val="000000" w:themeColor="text1"/>
          <w:sz w:val="24"/>
          <w:szCs w:val="24"/>
        </w:rPr>
      </w:pPr>
    </w:p>
    <w:p w14:paraId="21FF706F" w14:textId="77777777" w:rsidR="00000000" w:rsidRPr="0060384B" w:rsidRDefault="00CA5F6F">
      <w:pPr>
        <w:spacing w:line="200" w:lineRule="exact"/>
        <w:rPr>
          <w:rFonts w:ascii="Lato" w:eastAsia="Times New Roman" w:hAnsi="Lato"/>
          <w:color w:val="000000" w:themeColor="text1"/>
          <w:sz w:val="24"/>
          <w:szCs w:val="24"/>
        </w:rPr>
      </w:pPr>
    </w:p>
    <w:p w14:paraId="5F8919CE" w14:textId="77777777" w:rsidR="00000000" w:rsidRPr="0060384B" w:rsidRDefault="00CA5F6F">
      <w:pPr>
        <w:spacing w:line="200" w:lineRule="exact"/>
        <w:rPr>
          <w:rFonts w:ascii="Lato" w:eastAsia="Times New Roman" w:hAnsi="Lato"/>
          <w:color w:val="000000" w:themeColor="text1"/>
          <w:sz w:val="24"/>
          <w:szCs w:val="24"/>
        </w:rPr>
      </w:pPr>
    </w:p>
    <w:p w14:paraId="29AFD89E" w14:textId="77777777" w:rsidR="00000000" w:rsidRPr="0060384B" w:rsidRDefault="00CA5F6F">
      <w:pPr>
        <w:spacing w:line="200" w:lineRule="exact"/>
        <w:rPr>
          <w:rFonts w:ascii="Lato" w:eastAsia="Times New Roman" w:hAnsi="Lato"/>
          <w:color w:val="000000" w:themeColor="text1"/>
          <w:sz w:val="24"/>
          <w:szCs w:val="24"/>
        </w:rPr>
      </w:pPr>
    </w:p>
    <w:p w14:paraId="5A15E4A3" w14:textId="77777777" w:rsidR="00000000" w:rsidRPr="0060384B" w:rsidRDefault="00CA5F6F">
      <w:pPr>
        <w:spacing w:line="200" w:lineRule="exact"/>
        <w:rPr>
          <w:rFonts w:ascii="Lato" w:eastAsia="Times New Roman" w:hAnsi="Lato"/>
          <w:color w:val="000000" w:themeColor="text1"/>
          <w:sz w:val="24"/>
          <w:szCs w:val="24"/>
        </w:rPr>
      </w:pPr>
    </w:p>
    <w:p w14:paraId="14F126BF" w14:textId="77777777" w:rsidR="00000000" w:rsidRPr="0060384B" w:rsidRDefault="00CA5F6F">
      <w:pPr>
        <w:spacing w:line="200" w:lineRule="exact"/>
        <w:rPr>
          <w:rFonts w:ascii="Lato" w:eastAsia="Times New Roman" w:hAnsi="Lato"/>
          <w:color w:val="000000" w:themeColor="text1"/>
          <w:sz w:val="24"/>
          <w:szCs w:val="24"/>
        </w:rPr>
      </w:pPr>
    </w:p>
    <w:p w14:paraId="02682596" w14:textId="77777777" w:rsidR="00000000" w:rsidRPr="0060384B" w:rsidRDefault="00CA5F6F">
      <w:pPr>
        <w:spacing w:line="200" w:lineRule="exact"/>
        <w:rPr>
          <w:rFonts w:ascii="Lato" w:eastAsia="Times New Roman" w:hAnsi="Lato"/>
          <w:color w:val="000000" w:themeColor="text1"/>
          <w:sz w:val="24"/>
          <w:szCs w:val="24"/>
        </w:rPr>
      </w:pPr>
    </w:p>
    <w:p w14:paraId="7076A7CF" w14:textId="77777777" w:rsidR="00000000" w:rsidRPr="0060384B" w:rsidRDefault="00CA5F6F">
      <w:pPr>
        <w:spacing w:line="200" w:lineRule="exact"/>
        <w:rPr>
          <w:rFonts w:ascii="Lato" w:eastAsia="Times New Roman" w:hAnsi="Lato"/>
          <w:color w:val="000000" w:themeColor="text1"/>
          <w:sz w:val="24"/>
          <w:szCs w:val="24"/>
        </w:rPr>
      </w:pPr>
    </w:p>
    <w:p w14:paraId="13109283" w14:textId="77777777" w:rsidR="00000000" w:rsidRPr="0060384B" w:rsidRDefault="00CA5F6F">
      <w:pPr>
        <w:spacing w:line="200" w:lineRule="exact"/>
        <w:rPr>
          <w:rFonts w:ascii="Lato" w:eastAsia="Times New Roman" w:hAnsi="Lato"/>
          <w:color w:val="000000" w:themeColor="text1"/>
          <w:sz w:val="24"/>
          <w:szCs w:val="24"/>
        </w:rPr>
      </w:pPr>
    </w:p>
    <w:p w14:paraId="7DD15BC4" w14:textId="77777777" w:rsidR="00000000" w:rsidRPr="0060384B" w:rsidRDefault="00CA5F6F">
      <w:pPr>
        <w:spacing w:line="200" w:lineRule="exact"/>
        <w:rPr>
          <w:rFonts w:ascii="Lato" w:eastAsia="Times New Roman" w:hAnsi="Lato"/>
          <w:color w:val="000000" w:themeColor="text1"/>
          <w:sz w:val="24"/>
          <w:szCs w:val="24"/>
        </w:rPr>
      </w:pPr>
    </w:p>
    <w:p w14:paraId="63BA6689" w14:textId="77777777" w:rsidR="00000000" w:rsidRPr="0060384B" w:rsidRDefault="00CA5F6F">
      <w:pPr>
        <w:spacing w:line="200" w:lineRule="exact"/>
        <w:rPr>
          <w:rFonts w:ascii="Lato" w:eastAsia="Times New Roman" w:hAnsi="Lato"/>
          <w:color w:val="000000" w:themeColor="text1"/>
          <w:sz w:val="24"/>
          <w:szCs w:val="24"/>
        </w:rPr>
      </w:pPr>
    </w:p>
    <w:p w14:paraId="00FC8B30" w14:textId="77777777" w:rsidR="00000000" w:rsidRPr="0060384B" w:rsidRDefault="00CA5F6F">
      <w:pPr>
        <w:spacing w:line="200" w:lineRule="exact"/>
        <w:rPr>
          <w:rFonts w:ascii="Lato" w:eastAsia="Times New Roman" w:hAnsi="Lato"/>
          <w:color w:val="000000" w:themeColor="text1"/>
          <w:sz w:val="24"/>
          <w:szCs w:val="24"/>
        </w:rPr>
      </w:pPr>
    </w:p>
    <w:p w14:paraId="737455C0" w14:textId="77777777" w:rsidR="00000000" w:rsidRPr="0060384B" w:rsidRDefault="00CA5F6F">
      <w:pPr>
        <w:spacing w:line="200" w:lineRule="exact"/>
        <w:rPr>
          <w:rFonts w:ascii="Lato" w:eastAsia="Times New Roman" w:hAnsi="Lato"/>
          <w:color w:val="000000" w:themeColor="text1"/>
          <w:sz w:val="24"/>
          <w:szCs w:val="24"/>
        </w:rPr>
      </w:pPr>
    </w:p>
    <w:p w14:paraId="510A921F" w14:textId="77777777" w:rsidR="00000000" w:rsidRPr="0060384B" w:rsidRDefault="00CA5F6F">
      <w:pPr>
        <w:spacing w:line="200" w:lineRule="exact"/>
        <w:rPr>
          <w:rFonts w:ascii="Lato" w:eastAsia="Times New Roman" w:hAnsi="Lato"/>
          <w:color w:val="000000" w:themeColor="text1"/>
          <w:sz w:val="24"/>
          <w:szCs w:val="24"/>
        </w:rPr>
      </w:pPr>
    </w:p>
    <w:p w14:paraId="1D949FE2" w14:textId="77777777" w:rsidR="00000000" w:rsidRPr="0060384B" w:rsidRDefault="00CA5F6F">
      <w:pPr>
        <w:spacing w:line="200" w:lineRule="exact"/>
        <w:rPr>
          <w:rFonts w:ascii="Lato" w:eastAsia="Times New Roman" w:hAnsi="Lato"/>
          <w:color w:val="000000" w:themeColor="text1"/>
          <w:sz w:val="24"/>
          <w:szCs w:val="24"/>
        </w:rPr>
      </w:pPr>
    </w:p>
    <w:p w14:paraId="69C654CD" w14:textId="77777777" w:rsidR="00000000" w:rsidRPr="0060384B" w:rsidRDefault="00CA5F6F">
      <w:pPr>
        <w:spacing w:line="200" w:lineRule="exact"/>
        <w:rPr>
          <w:rFonts w:ascii="Lato" w:eastAsia="Times New Roman" w:hAnsi="Lato"/>
          <w:color w:val="000000" w:themeColor="text1"/>
          <w:sz w:val="24"/>
          <w:szCs w:val="24"/>
        </w:rPr>
      </w:pPr>
    </w:p>
    <w:p w14:paraId="78B0230C" w14:textId="77777777" w:rsidR="00000000" w:rsidRPr="0060384B" w:rsidRDefault="00CA5F6F">
      <w:pPr>
        <w:spacing w:line="200" w:lineRule="exact"/>
        <w:rPr>
          <w:rFonts w:ascii="Lato" w:eastAsia="Times New Roman" w:hAnsi="Lato"/>
          <w:color w:val="000000" w:themeColor="text1"/>
          <w:sz w:val="24"/>
          <w:szCs w:val="24"/>
        </w:rPr>
      </w:pPr>
    </w:p>
    <w:p w14:paraId="183D76C0" w14:textId="77777777" w:rsidR="00000000" w:rsidRPr="0060384B" w:rsidRDefault="00CA5F6F">
      <w:pPr>
        <w:spacing w:line="200" w:lineRule="exact"/>
        <w:rPr>
          <w:rFonts w:ascii="Lato" w:eastAsia="Times New Roman" w:hAnsi="Lato"/>
          <w:color w:val="000000" w:themeColor="text1"/>
          <w:sz w:val="24"/>
          <w:szCs w:val="24"/>
        </w:rPr>
      </w:pPr>
    </w:p>
    <w:p w14:paraId="0901731A" w14:textId="77777777" w:rsidR="00000000" w:rsidRPr="0060384B" w:rsidRDefault="00CA5F6F">
      <w:pPr>
        <w:spacing w:line="200" w:lineRule="exact"/>
        <w:rPr>
          <w:rFonts w:ascii="Lato" w:eastAsia="Times New Roman" w:hAnsi="Lato"/>
          <w:color w:val="000000" w:themeColor="text1"/>
          <w:sz w:val="24"/>
          <w:szCs w:val="24"/>
        </w:rPr>
      </w:pPr>
    </w:p>
    <w:p w14:paraId="17A96DA3" w14:textId="77777777" w:rsidR="00000000" w:rsidRPr="0060384B" w:rsidRDefault="00CA5F6F">
      <w:pPr>
        <w:spacing w:line="200" w:lineRule="exact"/>
        <w:rPr>
          <w:rFonts w:ascii="Lato" w:eastAsia="Times New Roman" w:hAnsi="Lato"/>
          <w:color w:val="000000" w:themeColor="text1"/>
          <w:sz w:val="24"/>
          <w:szCs w:val="24"/>
        </w:rPr>
      </w:pPr>
    </w:p>
    <w:p w14:paraId="59DFBABD" w14:textId="77777777" w:rsidR="00000000" w:rsidRPr="0060384B" w:rsidRDefault="00CA5F6F">
      <w:pPr>
        <w:spacing w:line="200" w:lineRule="exact"/>
        <w:rPr>
          <w:rFonts w:ascii="Lato" w:eastAsia="Times New Roman" w:hAnsi="Lato"/>
          <w:color w:val="000000" w:themeColor="text1"/>
          <w:sz w:val="24"/>
          <w:szCs w:val="24"/>
        </w:rPr>
      </w:pPr>
    </w:p>
    <w:p w14:paraId="770BCB29" w14:textId="77777777" w:rsidR="00000000" w:rsidRPr="0060384B" w:rsidRDefault="00CA5F6F">
      <w:pPr>
        <w:spacing w:line="200" w:lineRule="exact"/>
        <w:rPr>
          <w:rFonts w:ascii="Lato" w:eastAsia="Times New Roman" w:hAnsi="Lato"/>
          <w:color w:val="000000" w:themeColor="text1"/>
          <w:sz w:val="24"/>
          <w:szCs w:val="24"/>
        </w:rPr>
      </w:pPr>
    </w:p>
    <w:p w14:paraId="1A7DD052" w14:textId="77777777" w:rsidR="00000000" w:rsidRPr="0060384B" w:rsidRDefault="00CA5F6F">
      <w:pPr>
        <w:spacing w:line="200" w:lineRule="exact"/>
        <w:rPr>
          <w:rFonts w:ascii="Lato" w:eastAsia="Times New Roman" w:hAnsi="Lato"/>
          <w:color w:val="000000" w:themeColor="text1"/>
          <w:sz w:val="24"/>
          <w:szCs w:val="24"/>
        </w:rPr>
      </w:pPr>
    </w:p>
    <w:p w14:paraId="67AD86F8" w14:textId="77777777" w:rsidR="00000000" w:rsidRPr="0060384B" w:rsidRDefault="00CA5F6F">
      <w:pPr>
        <w:spacing w:line="200" w:lineRule="exact"/>
        <w:rPr>
          <w:rFonts w:ascii="Lato" w:eastAsia="Times New Roman" w:hAnsi="Lato"/>
          <w:color w:val="000000" w:themeColor="text1"/>
          <w:sz w:val="24"/>
          <w:szCs w:val="24"/>
        </w:rPr>
      </w:pPr>
    </w:p>
    <w:p w14:paraId="071FC63E" w14:textId="77777777" w:rsidR="00000000" w:rsidRPr="0060384B" w:rsidRDefault="00CA5F6F">
      <w:pPr>
        <w:spacing w:line="200" w:lineRule="exact"/>
        <w:rPr>
          <w:rFonts w:ascii="Lato" w:eastAsia="Times New Roman" w:hAnsi="Lato"/>
          <w:color w:val="000000" w:themeColor="text1"/>
          <w:sz w:val="24"/>
          <w:szCs w:val="24"/>
        </w:rPr>
      </w:pPr>
    </w:p>
    <w:p w14:paraId="6904EC72" w14:textId="77777777" w:rsidR="00000000" w:rsidRPr="0060384B" w:rsidRDefault="00CA5F6F">
      <w:pPr>
        <w:spacing w:line="200" w:lineRule="exact"/>
        <w:rPr>
          <w:rFonts w:ascii="Lato" w:eastAsia="Times New Roman" w:hAnsi="Lato"/>
          <w:color w:val="000000" w:themeColor="text1"/>
          <w:sz w:val="24"/>
          <w:szCs w:val="24"/>
        </w:rPr>
      </w:pPr>
    </w:p>
    <w:p w14:paraId="7CEFCCE4" w14:textId="77777777" w:rsidR="00000000" w:rsidRPr="0060384B" w:rsidRDefault="00CA5F6F">
      <w:pPr>
        <w:spacing w:line="347"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0014E6C9" w14:textId="77777777">
        <w:trPr>
          <w:trHeight w:val="245"/>
        </w:trPr>
        <w:tc>
          <w:tcPr>
            <w:tcW w:w="6540" w:type="dxa"/>
            <w:shd w:val="clear" w:color="auto" w:fill="auto"/>
            <w:vAlign w:val="bottom"/>
          </w:tcPr>
          <w:p w14:paraId="16945438"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536FB8E4"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12</w:t>
            </w:r>
          </w:p>
        </w:tc>
      </w:tr>
      <w:tr w:rsidR="00000000" w:rsidRPr="0060384B" w14:paraId="452A7BF3" w14:textId="77777777">
        <w:trPr>
          <w:trHeight w:val="258"/>
        </w:trPr>
        <w:tc>
          <w:tcPr>
            <w:tcW w:w="6540" w:type="dxa"/>
            <w:shd w:val="clear" w:color="auto" w:fill="auto"/>
            <w:vAlign w:val="bottom"/>
          </w:tcPr>
          <w:p w14:paraId="3CE66C56"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NIH Bypass Budget Proposal for Fiscal Year 2021</w:t>
            </w:r>
          </w:p>
        </w:tc>
        <w:tc>
          <w:tcPr>
            <w:tcW w:w="2820" w:type="dxa"/>
            <w:shd w:val="clear" w:color="auto" w:fill="auto"/>
            <w:vAlign w:val="bottom"/>
          </w:tcPr>
          <w:p w14:paraId="6ED6E560" w14:textId="77777777" w:rsidR="00000000" w:rsidRPr="0060384B" w:rsidRDefault="00CA5F6F">
            <w:pPr>
              <w:spacing w:line="0" w:lineRule="atLeast"/>
              <w:rPr>
                <w:rFonts w:ascii="Lato" w:eastAsia="Times New Roman" w:hAnsi="Lato"/>
                <w:color w:val="000000" w:themeColor="text1"/>
                <w:sz w:val="24"/>
                <w:szCs w:val="24"/>
              </w:rPr>
            </w:pPr>
          </w:p>
        </w:tc>
      </w:tr>
    </w:tbl>
    <w:p w14:paraId="09E1FEA9"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0" w:right="1440" w:bottom="0" w:left="1440" w:header="0" w:footer="0" w:gutter="0"/>
          <w:cols w:space="0" w:equalWidth="0">
            <w:col w:w="9360"/>
          </w:cols>
          <w:docGrid w:linePitch="360"/>
        </w:sectPr>
      </w:pPr>
    </w:p>
    <w:p w14:paraId="3DF343A8" w14:textId="77777777" w:rsidR="00000000" w:rsidRPr="0060384B" w:rsidRDefault="00CA5F6F">
      <w:pPr>
        <w:spacing w:line="0" w:lineRule="atLeast"/>
        <w:rPr>
          <w:rFonts w:ascii="Lato" w:hAnsi="Lato"/>
          <w:b/>
          <w:color w:val="000000" w:themeColor="text1"/>
          <w:sz w:val="24"/>
          <w:szCs w:val="24"/>
        </w:rPr>
      </w:pPr>
      <w:bookmarkStart w:id="15" w:name="page16"/>
      <w:bookmarkEnd w:id="15"/>
      <w:r w:rsidRPr="0060384B">
        <w:rPr>
          <w:rFonts w:ascii="Lato" w:hAnsi="Lato"/>
          <w:b/>
          <w:color w:val="000000" w:themeColor="text1"/>
          <w:sz w:val="24"/>
          <w:szCs w:val="24"/>
        </w:rPr>
        <w:lastRenderedPageBreak/>
        <w:t>STUDYING POPULATIONS TO IDENTIFY POTENTIAL RISK</w:t>
      </w:r>
    </w:p>
    <w:p w14:paraId="38774897" w14:textId="77777777" w:rsidR="00000000" w:rsidRPr="0060384B" w:rsidRDefault="00CA5F6F">
      <w:pPr>
        <w:spacing w:line="288" w:lineRule="exact"/>
        <w:rPr>
          <w:rFonts w:ascii="Lato" w:eastAsia="Times New Roman" w:hAnsi="Lato"/>
          <w:color w:val="000000" w:themeColor="text1"/>
          <w:sz w:val="24"/>
          <w:szCs w:val="24"/>
        </w:rPr>
      </w:pPr>
    </w:p>
    <w:p w14:paraId="5328AA69" w14:textId="77777777" w:rsidR="00000000" w:rsidRPr="0060384B" w:rsidRDefault="00CA5F6F">
      <w:pPr>
        <w:spacing w:line="0" w:lineRule="atLeast"/>
        <w:ind w:right="5260"/>
        <w:rPr>
          <w:rFonts w:ascii="Lato" w:hAnsi="Lato"/>
          <w:color w:val="000000" w:themeColor="text1"/>
          <w:sz w:val="24"/>
          <w:szCs w:val="24"/>
        </w:rPr>
      </w:pPr>
      <w:r w:rsidRPr="0060384B">
        <w:rPr>
          <w:rFonts w:ascii="Lato" w:hAnsi="Lato"/>
          <w:color w:val="000000" w:themeColor="text1"/>
          <w:sz w:val="24"/>
          <w:szCs w:val="24"/>
        </w:rPr>
        <w:t>Like many conditions, Alzheimer</w:t>
      </w:r>
      <w:r w:rsidRPr="0060384B">
        <w:rPr>
          <w:rFonts w:ascii="Lato" w:hAnsi="Lato"/>
          <w:color w:val="000000" w:themeColor="text1"/>
          <w:sz w:val="24"/>
          <w:szCs w:val="24"/>
        </w:rPr>
        <w:t>’s disease and related dementias are believed to be products of o</w:t>
      </w:r>
      <w:r w:rsidRPr="0060384B">
        <w:rPr>
          <w:rFonts w:ascii="Lato" w:hAnsi="Lato"/>
          <w:color w:val="000000" w:themeColor="text1"/>
          <w:sz w:val="24"/>
          <w:szCs w:val="24"/>
        </w:rPr>
        <w:t xml:space="preserve">ur genes and our environment. These influences, to varying degrees, may confer greater risk for disease or offer protection against it. Population and epidemiological studies have pointed to trends in age, lifestyle, and socioeconomic status, for example, </w:t>
      </w:r>
      <w:r w:rsidRPr="0060384B">
        <w:rPr>
          <w:rFonts w:ascii="Lato" w:hAnsi="Lato"/>
          <w:color w:val="000000" w:themeColor="text1"/>
          <w:sz w:val="24"/>
          <w:szCs w:val="24"/>
        </w:rPr>
        <w:t>that are associated with the chance of developing dementia. Early genetics studies identified a small number of</w:t>
      </w:r>
    </w:p>
    <w:p w14:paraId="5A1E6B04" w14:textId="0620EE04" w:rsidR="00000000" w:rsidRPr="0060384B" w:rsidRDefault="00FB45BD">
      <w:pPr>
        <w:spacing w:line="20" w:lineRule="exact"/>
        <w:rPr>
          <w:rFonts w:ascii="Lato" w:eastAsia="Times New Roman" w:hAnsi="Lato"/>
          <w:color w:val="000000" w:themeColor="text1"/>
          <w:sz w:val="24"/>
          <w:szCs w:val="24"/>
        </w:rPr>
      </w:pPr>
      <w:r w:rsidRPr="0060384B">
        <w:rPr>
          <w:rFonts w:ascii="Lato" w:hAnsi="Lato"/>
          <w:noProof/>
          <w:color w:val="000000" w:themeColor="text1"/>
          <w:sz w:val="24"/>
          <w:szCs w:val="24"/>
        </w:rPr>
        <w:drawing>
          <wp:anchor distT="0" distB="0" distL="114300" distR="114300" simplePos="0" relativeHeight="251653632" behindDoc="1" locked="0" layoutInCell="1" allowOverlap="1" wp14:anchorId="7A5E5D9E" wp14:editId="34E66797">
            <wp:simplePos x="0" y="0"/>
            <wp:positionH relativeFrom="column">
              <wp:posOffset>2743200</wp:posOffset>
            </wp:positionH>
            <wp:positionV relativeFrom="paragraph">
              <wp:posOffset>-2207260</wp:posOffset>
            </wp:positionV>
            <wp:extent cx="3200400" cy="21336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pic:spPr>
                </pic:pic>
              </a:graphicData>
            </a:graphic>
            <wp14:sizeRelH relativeFrom="page">
              <wp14:pctWidth>0</wp14:pctWidth>
            </wp14:sizeRelH>
            <wp14:sizeRelV relativeFrom="page">
              <wp14:pctHeight>0</wp14:pctHeight>
            </wp14:sizeRelV>
          </wp:anchor>
        </w:drawing>
      </w:r>
    </w:p>
    <w:p w14:paraId="5BFC4F5E"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causal and risk-factor genes involved in these disorders.</w:t>
      </w:r>
    </w:p>
    <w:p w14:paraId="797DBDF5" w14:textId="77777777" w:rsidR="00000000" w:rsidRPr="0060384B" w:rsidRDefault="00CA5F6F">
      <w:pPr>
        <w:spacing w:line="281" w:lineRule="exact"/>
        <w:rPr>
          <w:rFonts w:ascii="Lato" w:eastAsia="Times New Roman" w:hAnsi="Lato"/>
          <w:color w:val="000000" w:themeColor="text1"/>
          <w:sz w:val="24"/>
          <w:szCs w:val="24"/>
        </w:rPr>
      </w:pPr>
    </w:p>
    <w:p w14:paraId="67ED6706" w14:textId="77777777" w:rsidR="00000000" w:rsidRPr="0060384B" w:rsidRDefault="00CA5F6F">
      <w:pPr>
        <w:spacing w:line="242" w:lineRule="auto"/>
        <w:rPr>
          <w:rFonts w:ascii="Lato" w:hAnsi="Lato"/>
          <w:color w:val="000000" w:themeColor="text1"/>
          <w:sz w:val="24"/>
          <w:szCs w:val="24"/>
        </w:rPr>
      </w:pPr>
      <w:r w:rsidRPr="0060384B">
        <w:rPr>
          <w:rFonts w:ascii="Lato" w:hAnsi="Lato"/>
          <w:color w:val="000000" w:themeColor="text1"/>
          <w:sz w:val="24"/>
          <w:szCs w:val="24"/>
        </w:rPr>
        <w:t xml:space="preserve">Today, the pace of research has markedly accelerated, and there is an explosion of </w:t>
      </w:r>
      <w:r w:rsidRPr="0060384B">
        <w:rPr>
          <w:rFonts w:ascii="Lato" w:hAnsi="Lato"/>
          <w:color w:val="000000" w:themeColor="text1"/>
          <w:sz w:val="24"/>
          <w:szCs w:val="24"/>
        </w:rPr>
        <w:t>activity to build on what we have already learned. With increased funding, the National Institutes of Health (NIH) has been able to seize on important scientific opportunities, applying technological advances in the study of genetics and expanding the brea</w:t>
      </w:r>
      <w:r w:rsidRPr="0060384B">
        <w:rPr>
          <w:rFonts w:ascii="Lato" w:hAnsi="Lato"/>
          <w:color w:val="000000" w:themeColor="text1"/>
          <w:sz w:val="24"/>
          <w:szCs w:val="24"/>
        </w:rPr>
        <w:t>dth and depth of population and epidemiological research in the search for genetic and nongenetic contributions to disease. Furthermore, biological studies are revealing how these influences manifest themselves at the molecular and cellular level. Across t</w:t>
      </w:r>
      <w:r w:rsidRPr="0060384B">
        <w:rPr>
          <w:rFonts w:ascii="Lato" w:hAnsi="Lato"/>
          <w:color w:val="000000" w:themeColor="text1"/>
          <w:sz w:val="24"/>
          <w:szCs w:val="24"/>
        </w:rPr>
        <w:t>he research spectrum, we are focused on gaining a deeper understanding of increased rates of disease by race, ethnicity, sex, and socioeconomic status, so that disparities can be meaningfully assessed and addressed.</w:t>
      </w:r>
    </w:p>
    <w:p w14:paraId="1996374F" w14:textId="77777777" w:rsidR="00000000" w:rsidRPr="0060384B" w:rsidRDefault="00CA5F6F">
      <w:pPr>
        <w:spacing w:line="257" w:lineRule="exact"/>
        <w:rPr>
          <w:rFonts w:ascii="Lato" w:eastAsia="Times New Roman" w:hAnsi="Lato"/>
          <w:color w:val="000000" w:themeColor="text1"/>
          <w:sz w:val="24"/>
          <w:szCs w:val="24"/>
        </w:rPr>
      </w:pPr>
    </w:p>
    <w:p w14:paraId="32D49B48" w14:textId="77777777" w:rsidR="00000000" w:rsidRPr="0060384B" w:rsidRDefault="00CA5F6F">
      <w:pPr>
        <w:spacing w:line="242" w:lineRule="auto"/>
        <w:ind w:right="20"/>
        <w:rPr>
          <w:rFonts w:ascii="Lato" w:hAnsi="Lato"/>
          <w:color w:val="000000" w:themeColor="text1"/>
          <w:sz w:val="24"/>
          <w:szCs w:val="24"/>
        </w:rPr>
      </w:pPr>
      <w:r w:rsidRPr="0060384B">
        <w:rPr>
          <w:rFonts w:ascii="Lato" w:hAnsi="Lato"/>
          <w:color w:val="000000" w:themeColor="text1"/>
          <w:sz w:val="24"/>
          <w:szCs w:val="24"/>
        </w:rPr>
        <w:t xml:space="preserve">Nowhere is this revolution in research </w:t>
      </w:r>
      <w:r w:rsidRPr="0060384B">
        <w:rPr>
          <w:rFonts w:ascii="Lato" w:hAnsi="Lato"/>
          <w:color w:val="000000" w:themeColor="text1"/>
          <w:sz w:val="24"/>
          <w:szCs w:val="24"/>
        </w:rPr>
        <w:t>more evident than in the collection, distribution, and rapid analyses of genetic samples and other data from study participants worldwide. Early on, the National Institute on Aging</w:t>
      </w:r>
      <w:r w:rsidRPr="0060384B">
        <w:rPr>
          <w:rFonts w:ascii="Lato" w:hAnsi="Lato"/>
          <w:color w:val="000000" w:themeColor="text1"/>
          <w:sz w:val="24"/>
          <w:szCs w:val="24"/>
        </w:rPr>
        <w:t>’s (NIA</w:t>
      </w:r>
      <w:r w:rsidRPr="0060384B">
        <w:rPr>
          <w:rFonts w:ascii="Lato" w:hAnsi="Lato"/>
          <w:color w:val="000000" w:themeColor="text1"/>
          <w:sz w:val="24"/>
          <w:szCs w:val="24"/>
        </w:rPr>
        <w:t xml:space="preserve">’s) </w:t>
      </w:r>
      <w:hyperlink r:id="rId32" w:history="1">
        <w:r w:rsidRPr="0060384B">
          <w:rPr>
            <w:rFonts w:ascii="Lato" w:hAnsi="Lato"/>
            <w:color w:val="000000" w:themeColor="text1"/>
            <w:sz w:val="24"/>
            <w:szCs w:val="24"/>
          </w:rPr>
          <w:t>Alzheimer</w:t>
        </w:r>
        <w:r w:rsidRPr="0060384B">
          <w:rPr>
            <w:rFonts w:ascii="Lato" w:hAnsi="Lato"/>
            <w:color w:val="000000" w:themeColor="text1"/>
            <w:sz w:val="24"/>
            <w:szCs w:val="24"/>
          </w:rPr>
          <w:t>’s Di</w:t>
        </w:r>
        <w:r w:rsidRPr="0060384B">
          <w:rPr>
            <w:rFonts w:ascii="Lato" w:hAnsi="Lato"/>
            <w:color w:val="000000" w:themeColor="text1"/>
            <w:sz w:val="24"/>
            <w:szCs w:val="24"/>
          </w:rPr>
          <w:t>sease Research Centers</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xml:space="preserve">through the </w:t>
      </w:r>
      <w:hyperlink r:id="rId33" w:history="1">
        <w:r w:rsidRPr="0060384B">
          <w:rPr>
            <w:rFonts w:ascii="Lato" w:hAnsi="Lato"/>
            <w:color w:val="000000" w:themeColor="text1"/>
            <w:sz w:val="24"/>
            <w:szCs w:val="24"/>
          </w:rPr>
          <w:t>National Centralized Repository for Alzheimer</w:t>
        </w:r>
        <w:r w:rsidRPr="0060384B">
          <w:rPr>
            <w:rFonts w:ascii="Lato" w:hAnsi="Lato"/>
            <w:color w:val="000000" w:themeColor="text1"/>
            <w:sz w:val="24"/>
            <w:szCs w:val="24"/>
          </w:rPr>
          <w:t>’s Disease and Related Dementias</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and</w:t>
      </w:r>
      <w:r w:rsidRPr="0060384B">
        <w:rPr>
          <w:rFonts w:ascii="Lato" w:hAnsi="Lato"/>
          <w:color w:val="000000" w:themeColor="text1"/>
          <w:sz w:val="24"/>
          <w:szCs w:val="24"/>
        </w:rPr>
        <w:t xml:space="preserve"> </w:t>
      </w:r>
      <w:hyperlink r:id="rId34" w:history="1">
        <w:r w:rsidRPr="0060384B">
          <w:rPr>
            <w:rFonts w:ascii="Lato" w:hAnsi="Lato"/>
            <w:color w:val="000000" w:themeColor="text1"/>
            <w:sz w:val="24"/>
            <w:szCs w:val="24"/>
          </w:rPr>
          <w:t>National</w:t>
        </w:r>
      </w:hyperlink>
      <w:r w:rsidRPr="0060384B">
        <w:rPr>
          <w:rFonts w:ascii="Lato" w:hAnsi="Lato"/>
          <w:color w:val="000000" w:themeColor="text1"/>
          <w:sz w:val="24"/>
          <w:szCs w:val="24"/>
        </w:rPr>
        <w:t xml:space="preserve"> </w:t>
      </w:r>
      <w:hyperlink r:id="rId35" w:history="1">
        <w:r w:rsidRPr="0060384B">
          <w:rPr>
            <w:rFonts w:ascii="Lato" w:hAnsi="Lato"/>
            <w:color w:val="000000" w:themeColor="text1"/>
            <w:sz w:val="24"/>
            <w:szCs w:val="24"/>
          </w:rPr>
          <w:t>Alzheimer</w:t>
        </w:r>
        <w:r w:rsidRPr="0060384B">
          <w:rPr>
            <w:rFonts w:ascii="Lato" w:hAnsi="Lato"/>
            <w:color w:val="000000" w:themeColor="text1"/>
            <w:sz w:val="24"/>
            <w:szCs w:val="24"/>
          </w:rPr>
          <w:t>’s Coordinating Center</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xml:space="preserve">were </w:t>
      </w:r>
      <w:r w:rsidRPr="0060384B">
        <w:rPr>
          <w:rFonts w:ascii="Lato" w:hAnsi="Lato"/>
          <w:color w:val="000000" w:themeColor="text1"/>
          <w:sz w:val="24"/>
          <w:szCs w:val="24"/>
        </w:rPr>
        <w:t>among the first re</w:t>
      </w:r>
      <w:r w:rsidRPr="0060384B">
        <w:rPr>
          <w:rFonts w:ascii="Lato" w:hAnsi="Lato"/>
          <w:color w:val="000000" w:themeColor="text1"/>
          <w:sz w:val="24"/>
          <w:szCs w:val="24"/>
        </w:rPr>
        <w:t>sources for genetic discoveries. At</w:t>
      </w:r>
      <w:r w:rsidRPr="0060384B">
        <w:rPr>
          <w:rFonts w:ascii="Lato" w:hAnsi="Lato"/>
          <w:color w:val="000000" w:themeColor="text1"/>
          <w:sz w:val="24"/>
          <w:szCs w:val="24"/>
        </w:rPr>
        <w:t xml:space="preserve"> </w:t>
      </w:r>
      <w:r w:rsidRPr="0060384B">
        <w:rPr>
          <w:rFonts w:ascii="Lato" w:hAnsi="Lato"/>
          <w:color w:val="000000" w:themeColor="text1"/>
          <w:sz w:val="24"/>
          <w:szCs w:val="24"/>
        </w:rPr>
        <w:t>these Centers, blood and tissue samples from people with Alzheimer</w:t>
      </w:r>
      <w:r w:rsidRPr="0060384B">
        <w:rPr>
          <w:rFonts w:ascii="Lato" w:hAnsi="Lato"/>
          <w:color w:val="000000" w:themeColor="text1"/>
          <w:sz w:val="24"/>
          <w:szCs w:val="24"/>
        </w:rPr>
        <w:t>’s disease, related dementias, or cognitive impairment could be shared and analyzed, accompanied by well-characterized information on other aspects of stu</w:t>
      </w:r>
      <w:r w:rsidRPr="0060384B">
        <w:rPr>
          <w:rFonts w:ascii="Lato" w:hAnsi="Lato"/>
          <w:color w:val="000000" w:themeColor="text1"/>
          <w:sz w:val="24"/>
          <w:szCs w:val="24"/>
        </w:rPr>
        <w:t>dy participants</w:t>
      </w:r>
      <w:r w:rsidRPr="0060384B">
        <w:rPr>
          <w:rFonts w:ascii="Lato" w:hAnsi="Lato"/>
          <w:color w:val="000000" w:themeColor="text1"/>
          <w:sz w:val="24"/>
          <w:szCs w:val="24"/>
        </w:rPr>
        <w:t>’ health and lives. The Centers and early data resources have been expanded as support for Alzheimer</w:t>
      </w:r>
      <w:r w:rsidRPr="0060384B">
        <w:rPr>
          <w:rFonts w:ascii="Lato" w:hAnsi="Lato"/>
          <w:color w:val="000000" w:themeColor="text1"/>
          <w:sz w:val="24"/>
          <w:szCs w:val="24"/>
        </w:rPr>
        <w:t>’s and related dementias research has increased.</w:t>
      </w:r>
    </w:p>
    <w:p w14:paraId="2155DADF" w14:textId="77777777" w:rsidR="00000000" w:rsidRPr="0060384B" w:rsidRDefault="00CA5F6F">
      <w:pPr>
        <w:spacing w:line="257" w:lineRule="exact"/>
        <w:rPr>
          <w:rFonts w:ascii="Lato" w:hAnsi="Lato"/>
          <w:color w:val="000000" w:themeColor="text1"/>
          <w:sz w:val="24"/>
          <w:szCs w:val="24"/>
        </w:rPr>
      </w:pPr>
    </w:p>
    <w:p w14:paraId="75BA5BF3" w14:textId="77777777" w:rsidR="00000000" w:rsidRPr="0060384B" w:rsidRDefault="00CA5F6F">
      <w:pPr>
        <w:spacing w:line="254" w:lineRule="auto"/>
        <w:ind w:right="20"/>
        <w:rPr>
          <w:rFonts w:ascii="Lato" w:hAnsi="Lato"/>
          <w:color w:val="000000" w:themeColor="text1"/>
          <w:sz w:val="24"/>
          <w:szCs w:val="24"/>
        </w:rPr>
      </w:pPr>
      <w:r w:rsidRPr="0060384B">
        <w:rPr>
          <w:rFonts w:ascii="Lato" w:hAnsi="Lato"/>
          <w:color w:val="000000" w:themeColor="text1"/>
          <w:sz w:val="24"/>
          <w:szCs w:val="24"/>
        </w:rPr>
        <w:t>Most recently, scientists have been able to tap into genetic and phenotypic data from studi</w:t>
      </w:r>
      <w:r w:rsidRPr="0060384B">
        <w:rPr>
          <w:rFonts w:ascii="Lato" w:hAnsi="Lato"/>
          <w:color w:val="000000" w:themeColor="text1"/>
          <w:sz w:val="24"/>
          <w:szCs w:val="24"/>
        </w:rPr>
        <w:t xml:space="preserve">es </w:t>
      </w:r>
      <w:r w:rsidRPr="0060384B">
        <w:rPr>
          <w:rFonts w:ascii="Lato" w:hAnsi="Lato"/>
          <w:color w:val="000000" w:themeColor="text1"/>
          <w:sz w:val="24"/>
          <w:szCs w:val="24"/>
        </w:rPr>
        <w:t xml:space="preserve">not </w:t>
      </w:r>
      <w:r w:rsidRPr="0060384B">
        <w:rPr>
          <w:rFonts w:ascii="Lato" w:hAnsi="Lato"/>
          <w:color w:val="000000" w:themeColor="text1"/>
          <w:sz w:val="24"/>
          <w:szCs w:val="24"/>
        </w:rPr>
        <w:t>primarily focused on Alzheimer</w:t>
      </w:r>
      <w:r w:rsidRPr="0060384B">
        <w:rPr>
          <w:rFonts w:ascii="Lato" w:hAnsi="Lato"/>
          <w:color w:val="000000" w:themeColor="text1"/>
          <w:sz w:val="24"/>
          <w:szCs w:val="24"/>
        </w:rPr>
        <w:t>’s disease and Alzheimer</w:t>
      </w:r>
      <w:r w:rsidRPr="0060384B">
        <w:rPr>
          <w:rFonts w:ascii="Lato" w:hAnsi="Lato"/>
          <w:color w:val="000000" w:themeColor="text1"/>
          <w:sz w:val="24"/>
          <w:szCs w:val="24"/>
        </w:rPr>
        <w:t>’s-related dementias (AD/ADRD).</w:t>
      </w:r>
      <w:r w:rsidRPr="0060384B">
        <w:rPr>
          <w:rFonts w:ascii="Lato" w:hAnsi="Lato"/>
          <w:color w:val="000000" w:themeColor="text1"/>
          <w:sz w:val="24"/>
          <w:szCs w:val="24"/>
        </w:rPr>
        <w:t xml:space="preserve"> </w:t>
      </w:r>
      <w:r w:rsidRPr="0060384B">
        <w:rPr>
          <w:rFonts w:ascii="Lato" w:hAnsi="Lato"/>
          <w:color w:val="000000" w:themeColor="text1"/>
          <w:sz w:val="24"/>
          <w:szCs w:val="24"/>
        </w:rPr>
        <w:t xml:space="preserve">Several of these projects include heightened collaboration among NIH institutes. In 2012, for example, NIA and the National Human Genome Research Institute joined </w:t>
      </w:r>
      <w:r w:rsidRPr="0060384B">
        <w:rPr>
          <w:rFonts w:ascii="Lato" w:hAnsi="Lato"/>
          <w:color w:val="000000" w:themeColor="text1"/>
          <w:sz w:val="24"/>
          <w:szCs w:val="24"/>
        </w:rPr>
        <w:t xml:space="preserve">to support a next-generation </w:t>
      </w:r>
      <w:hyperlink r:id="rId36" w:history="1">
        <w:r w:rsidRPr="0060384B">
          <w:rPr>
            <w:rFonts w:ascii="Lato" w:hAnsi="Lato"/>
            <w:color w:val="000000" w:themeColor="text1"/>
            <w:sz w:val="24"/>
            <w:szCs w:val="24"/>
          </w:rPr>
          <w:t>Alzheimer</w:t>
        </w:r>
        <w:r w:rsidRPr="0060384B">
          <w:rPr>
            <w:rFonts w:ascii="Lato" w:hAnsi="Lato"/>
            <w:color w:val="000000" w:themeColor="text1"/>
            <w:sz w:val="24"/>
            <w:szCs w:val="24"/>
          </w:rPr>
          <w:t>’s Disease Sequencing Project</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to access multiethnic genomics data resources and to provide data for analyses. Major studies of disease, health, and aging have been part of th</w:t>
      </w:r>
      <w:r w:rsidRPr="0060384B">
        <w:rPr>
          <w:rFonts w:ascii="Lato" w:hAnsi="Lato"/>
          <w:color w:val="000000" w:themeColor="text1"/>
          <w:sz w:val="24"/>
          <w:szCs w:val="24"/>
        </w:rPr>
        <w:t>e project. They include NIA</w:t>
      </w:r>
      <w:r w:rsidRPr="0060384B">
        <w:rPr>
          <w:rFonts w:ascii="Lato" w:hAnsi="Lato"/>
          <w:color w:val="000000" w:themeColor="text1"/>
          <w:sz w:val="24"/>
          <w:szCs w:val="24"/>
        </w:rPr>
        <w:t xml:space="preserve">’s </w:t>
      </w:r>
      <w:hyperlink r:id="rId37" w:history="1">
        <w:r w:rsidRPr="0060384B">
          <w:rPr>
            <w:rFonts w:ascii="Lato" w:hAnsi="Lato"/>
            <w:color w:val="000000" w:themeColor="text1"/>
            <w:sz w:val="24"/>
            <w:szCs w:val="24"/>
          </w:rPr>
          <w:t>Health and Retirement Study</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(HRS) of aging, which started in 1990 as a nationally representative survey of retirement in people 50 and ol</w:t>
      </w:r>
      <w:r w:rsidRPr="0060384B">
        <w:rPr>
          <w:rFonts w:ascii="Lato" w:hAnsi="Lato"/>
          <w:color w:val="000000" w:themeColor="text1"/>
          <w:sz w:val="24"/>
          <w:szCs w:val="24"/>
        </w:rPr>
        <w:t>der. Now, HRS investigators also collect DNA samples from a subset of participants, offering to the study</w:t>
      </w:r>
    </w:p>
    <w:p w14:paraId="0966694C" w14:textId="77777777" w:rsidR="00000000" w:rsidRPr="0060384B" w:rsidRDefault="00CA5F6F">
      <w:pPr>
        <w:spacing w:line="254" w:lineRule="auto"/>
        <w:ind w:right="20"/>
        <w:rPr>
          <w:rFonts w:ascii="Lato" w:hAnsi="Lato"/>
          <w:color w:val="000000" w:themeColor="text1"/>
          <w:sz w:val="24"/>
          <w:szCs w:val="24"/>
        </w:rPr>
        <w:sectPr w:rsidR="00000000" w:rsidRPr="0060384B">
          <w:pgSz w:w="12240" w:h="15840"/>
          <w:pgMar w:top="1125" w:right="1440" w:bottom="0" w:left="1440" w:header="0" w:footer="0" w:gutter="0"/>
          <w:cols w:space="0" w:equalWidth="0">
            <w:col w:w="9360"/>
          </w:cols>
          <w:docGrid w:linePitch="360"/>
        </w:sectPr>
      </w:pPr>
    </w:p>
    <w:p w14:paraId="38E2515E" w14:textId="77777777" w:rsidR="00000000" w:rsidRPr="0060384B" w:rsidRDefault="00CA5F6F">
      <w:pPr>
        <w:spacing w:line="212"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6854919D" w14:textId="77777777">
        <w:trPr>
          <w:trHeight w:val="245"/>
        </w:trPr>
        <w:tc>
          <w:tcPr>
            <w:tcW w:w="6540" w:type="dxa"/>
            <w:shd w:val="clear" w:color="auto" w:fill="auto"/>
            <w:vAlign w:val="bottom"/>
          </w:tcPr>
          <w:p w14:paraId="5D5844EF"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TOGETHER WE SUCCEED</w:t>
            </w:r>
          </w:p>
        </w:tc>
        <w:tc>
          <w:tcPr>
            <w:tcW w:w="2820" w:type="dxa"/>
            <w:shd w:val="clear" w:color="auto" w:fill="auto"/>
            <w:vAlign w:val="bottom"/>
          </w:tcPr>
          <w:p w14:paraId="1E597119"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13</w:t>
            </w:r>
          </w:p>
        </w:tc>
      </w:tr>
      <w:tr w:rsidR="00000000" w:rsidRPr="0060384B" w14:paraId="552FF242" w14:textId="77777777">
        <w:trPr>
          <w:trHeight w:val="258"/>
        </w:trPr>
        <w:tc>
          <w:tcPr>
            <w:tcW w:w="6540" w:type="dxa"/>
            <w:shd w:val="clear" w:color="auto" w:fill="auto"/>
            <w:vAlign w:val="bottom"/>
          </w:tcPr>
          <w:p w14:paraId="0F632375"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6953F6CC" w14:textId="77777777" w:rsidR="00000000" w:rsidRPr="0060384B" w:rsidRDefault="00CA5F6F">
            <w:pPr>
              <w:spacing w:line="0" w:lineRule="atLeast"/>
              <w:rPr>
                <w:rFonts w:ascii="Lato" w:eastAsia="Times New Roman" w:hAnsi="Lato"/>
                <w:color w:val="000000" w:themeColor="text1"/>
                <w:sz w:val="24"/>
                <w:szCs w:val="24"/>
              </w:rPr>
            </w:pPr>
          </w:p>
        </w:tc>
      </w:tr>
    </w:tbl>
    <w:p w14:paraId="2B6DBB60"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25" w:right="1440" w:bottom="0" w:left="1440" w:header="0" w:footer="0" w:gutter="0"/>
          <w:cols w:space="0" w:equalWidth="0">
            <w:col w:w="9360"/>
          </w:cols>
          <w:docGrid w:linePitch="360"/>
        </w:sectPr>
      </w:pPr>
    </w:p>
    <w:p w14:paraId="2BBA0CD8" w14:textId="77777777" w:rsidR="00000000" w:rsidRPr="0060384B" w:rsidRDefault="00CA5F6F">
      <w:pPr>
        <w:spacing w:line="244" w:lineRule="auto"/>
        <w:ind w:right="80"/>
        <w:rPr>
          <w:rFonts w:ascii="Lato" w:hAnsi="Lato"/>
          <w:color w:val="000000" w:themeColor="text1"/>
          <w:sz w:val="24"/>
          <w:szCs w:val="24"/>
        </w:rPr>
      </w:pPr>
      <w:bookmarkStart w:id="16" w:name="page17"/>
      <w:bookmarkEnd w:id="16"/>
      <w:r w:rsidRPr="0060384B">
        <w:rPr>
          <w:rFonts w:ascii="Lato" w:hAnsi="Lato"/>
          <w:color w:val="000000" w:themeColor="text1"/>
          <w:sz w:val="24"/>
          <w:szCs w:val="24"/>
        </w:rPr>
        <w:lastRenderedPageBreak/>
        <w:t>of Alzheimer</w:t>
      </w:r>
      <w:r w:rsidRPr="0060384B">
        <w:rPr>
          <w:rFonts w:ascii="Lato" w:hAnsi="Lato"/>
          <w:color w:val="000000" w:themeColor="text1"/>
          <w:sz w:val="24"/>
          <w:szCs w:val="24"/>
        </w:rPr>
        <w:t>’s the ability to link genetics findings with the HRS</w:t>
      </w:r>
      <w:r w:rsidRPr="0060384B">
        <w:rPr>
          <w:rFonts w:ascii="Lato" w:hAnsi="Lato"/>
          <w:color w:val="000000" w:themeColor="text1"/>
          <w:sz w:val="24"/>
          <w:szCs w:val="24"/>
        </w:rPr>
        <w:t>’s nearl</w:t>
      </w:r>
      <w:r w:rsidRPr="0060384B">
        <w:rPr>
          <w:rFonts w:ascii="Lato" w:hAnsi="Lato"/>
          <w:color w:val="000000" w:themeColor="text1"/>
          <w:sz w:val="24"/>
          <w:szCs w:val="24"/>
        </w:rPr>
        <w:t xml:space="preserve">y 3 decades of health and socioeconomic data. To address vascular contributions to cognitive impairment/dementia (VCID), institutes across NIH are leveraging more than 30 cohorts in long-term epidemiological studies and clinical trials to clarify risk and </w:t>
      </w:r>
      <w:r w:rsidRPr="0060384B">
        <w:rPr>
          <w:rFonts w:ascii="Lato" w:hAnsi="Lato"/>
          <w:color w:val="000000" w:themeColor="text1"/>
          <w:sz w:val="24"/>
          <w:szCs w:val="24"/>
        </w:rPr>
        <w:t>protective factors and to harmonize outcome measures. Among the studies supported for VCID data are the Framingham Heart Study, Cardiovascular Health Study, and the Hispanic Community Health Study/Study of Latinos.</w:t>
      </w:r>
    </w:p>
    <w:p w14:paraId="1B8B9270" w14:textId="77777777" w:rsidR="00000000" w:rsidRPr="0060384B" w:rsidRDefault="00CA5F6F">
      <w:pPr>
        <w:spacing w:line="250" w:lineRule="exact"/>
        <w:rPr>
          <w:rFonts w:ascii="Lato" w:eastAsia="Times New Roman" w:hAnsi="Lato"/>
          <w:color w:val="000000" w:themeColor="text1"/>
          <w:sz w:val="24"/>
          <w:szCs w:val="24"/>
        </w:rPr>
      </w:pPr>
    </w:p>
    <w:p w14:paraId="547D8F9A" w14:textId="77777777" w:rsidR="00000000" w:rsidRPr="0060384B" w:rsidRDefault="00CA5F6F">
      <w:pPr>
        <w:spacing w:line="244" w:lineRule="auto"/>
        <w:ind w:right="140"/>
        <w:rPr>
          <w:rFonts w:ascii="Lato" w:hAnsi="Lato"/>
          <w:color w:val="000000" w:themeColor="text1"/>
          <w:sz w:val="24"/>
          <w:szCs w:val="24"/>
        </w:rPr>
      </w:pPr>
      <w:r w:rsidRPr="0060384B">
        <w:rPr>
          <w:rFonts w:ascii="Lato" w:hAnsi="Lato"/>
          <w:color w:val="000000" w:themeColor="text1"/>
          <w:sz w:val="24"/>
          <w:szCs w:val="24"/>
        </w:rPr>
        <w:t>In 2016, to organize and target analyses</w:t>
      </w:r>
      <w:r w:rsidRPr="0060384B">
        <w:rPr>
          <w:rFonts w:ascii="Lato" w:hAnsi="Lato"/>
          <w:color w:val="000000" w:themeColor="text1"/>
          <w:sz w:val="24"/>
          <w:szCs w:val="24"/>
        </w:rPr>
        <w:t xml:space="preserve"> of such genetic and genomic data, NIA established the </w:t>
      </w:r>
      <w:hyperlink r:id="rId38" w:history="1">
        <w:r w:rsidRPr="0060384B">
          <w:rPr>
            <w:rFonts w:ascii="Lato" w:hAnsi="Lato"/>
            <w:color w:val="000000" w:themeColor="text1"/>
            <w:sz w:val="24"/>
            <w:szCs w:val="24"/>
          </w:rPr>
          <w:t>Genome Center for Alzheimer</w:t>
        </w:r>
        <w:r w:rsidRPr="0060384B">
          <w:rPr>
            <w:rFonts w:ascii="Lato" w:hAnsi="Lato"/>
            <w:color w:val="000000" w:themeColor="text1"/>
            <w:sz w:val="24"/>
            <w:szCs w:val="24"/>
          </w:rPr>
          <w:t>’s Disease</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xml:space="preserve">Today, </w:t>
      </w:r>
      <w:r w:rsidRPr="0060384B">
        <w:rPr>
          <w:rFonts w:ascii="Lato" w:hAnsi="Lato"/>
          <w:color w:val="000000" w:themeColor="text1"/>
          <w:sz w:val="24"/>
          <w:szCs w:val="24"/>
        </w:rPr>
        <w:t>the Center is searching through data from 19</w:t>
      </w:r>
      <w:r w:rsidRPr="0060384B">
        <w:rPr>
          <w:rFonts w:ascii="Lato" w:hAnsi="Lato"/>
          <w:color w:val="000000" w:themeColor="text1"/>
          <w:sz w:val="24"/>
          <w:szCs w:val="24"/>
        </w:rPr>
        <w:t xml:space="preserve"> </w:t>
      </w:r>
      <w:r w:rsidRPr="0060384B">
        <w:rPr>
          <w:rFonts w:ascii="Lato" w:hAnsi="Lato"/>
          <w:color w:val="000000" w:themeColor="text1"/>
          <w:sz w:val="24"/>
          <w:szCs w:val="24"/>
        </w:rPr>
        <w:t>different Alzheimer</w:t>
      </w:r>
      <w:r w:rsidRPr="0060384B">
        <w:rPr>
          <w:rFonts w:ascii="Lato" w:hAnsi="Lato"/>
          <w:color w:val="000000" w:themeColor="text1"/>
          <w:sz w:val="24"/>
          <w:szCs w:val="24"/>
        </w:rPr>
        <w:t>’s disease projects to identify variants and und</w:t>
      </w:r>
      <w:r w:rsidRPr="0060384B">
        <w:rPr>
          <w:rFonts w:ascii="Lato" w:hAnsi="Lato"/>
          <w:color w:val="000000" w:themeColor="text1"/>
          <w:sz w:val="24"/>
          <w:szCs w:val="24"/>
        </w:rPr>
        <w:t>erlying genes affected. The Center</w:t>
      </w:r>
      <w:r w:rsidRPr="0060384B">
        <w:rPr>
          <w:rFonts w:ascii="Lato" w:hAnsi="Lato"/>
          <w:color w:val="000000" w:themeColor="text1"/>
          <w:sz w:val="24"/>
          <w:szCs w:val="24"/>
        </w:rPr>
        <w:t xml:space="preserve">’s cutting-edge analyses will be provided via the </w:t>
      </w:r>
      <w:hyperlink r:id="rId39" w:history="1">
        <w:r w:rsidRPr="0060384B">
          <w:rPr>
            <w:rFonts w:ascii="Lato" w:hAnsi="Lato"/>
            <w:color w:val="000000" w:themeColor="text1"/>
            <w:sz w:val="24"/>
            <w:szCs w:val="24"/>
          </w:rPr>
          <w:t>NIA Genetics of Alzheimer</w:t>
        </w:r>
        <w:r w:rsidRPr="0060384B">
          <w:rPr>
            <w:rFonts w:ascii="Lato" w:hAnsi="Lato"/>
            <w:color w:val="000000" w:themeColor="text1"/>
            <w:sz w:val="24"/>
            <w:szCs w:val="24"/>
          </w:rPr>
          <w:t>’s Disease</w:t>
        </w:r>
      </w:hyperlink>
      <w:r w:rsidRPr="0060384B">
        <w:rPr>
          <w:rFonts w:ascii="Lato" w:hAnsi="Lato"/>
          <w:color w:val="000000" w:themeColor="text1"/>
          <w:sz w:val="24"/>
          <w:szCs w:val="24"/>
        </w:rPr>
        <w:t xml:space="preserve"> </w:t>
      </w:r>
      <w:hyperlink r:id="rId40" w:history="1">
        <w:r w:rsidRPr="0060384B">
          <w:rPr>
            <w:rFonts w:ascii="Lato" w:hAnsi="Lato"/>
            <w:color w:val="000000" w:themeColor="text1"/>
            <w:sz w:val="24"/>
            <w:szCs w:val="24"/>
          </w:rPr>
          <w:t>Data Storage Site</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data</w:t>
      </w:r>
      <w:r w:rsidRPr="0060384B">
        <w:rPr>
          <w:rFonts w:ascii="Lato" w:hAnsi="Lato"/>
          <w:color w:val="000000" w:themeColor="text1"/>
          <w:sz w:val="24"/>
          <w:szCs w:val="24"/>
        </w:rPr>
        <w:t>- sharing service to investigato</w:t>
      </w:r>
      <w:r w:rsidRPr="0060384B">
        <w:rPr>
          <w:rFonts w:ascii="Lato" w:hAnsi="Lato"/>
          <w:color w:val="000000" w:themeColor="text1"/>
          <w:sz w:val="24"/>
          <w:szCs w:val="24"/>
        </w:rPr>
        <w:t>rs who can look at the function of</w:t>
      </w:r>
      <w:r w:rsidRPr="0060384B">
        <w:rPr>
          <w:rFonts w:ascii="Lato" w:hAnsi="Lato"/>
          <w:color w:val="000000" w:themeColor="text1"/>
          <w:sz w:val="24"/>
          <w:szCs w:val="24"/>
        </w:rPr>
        <w:t xml:space="preserve"> </w:t>
      </w:r>
      <w:r w:rsidRPr="0060384B">
        <w:rPr>
          <w:rFonts w:ascii="Lato" w:hAnsi="Lato"/>
          <w:color w:val="000000" w:themeColor="text1"/>
          <w:sz w:val="24"/>
          <w:szCs w:val="24"/>
        </w:rPr>
        <w:t>Alzheimer</w:t>
      </w:r>
      <w:r w:rsidRPr="0060384B">
        <w:rPr>
          <w:rFonts w:ascii="Lato" w:hAnsi="Lato"/>
          <w:color w:val="000000" w:themeColor="text1"/>
          <w:sz w:val="24"/>
          <w:szCs w:val="24"/>
        </w:rPr>
        <w:t>’s-associated genes to discover promising new therapeutic targets.</w:t>
      </w:r>
    </w:p>
    <w:p w14:paraId="6FFAFAA2" w14:textId="77777777" w:rsidR="00000000" w:rsidRPr="0060384B" w:rsidRDefault="00CA5F6F">
      <w:pPr>
        <w:spacing w:line="250" w:lineRule="exact"/>
        <w:rPr>
          <w:rFonts w:ascii="Lato" w:hAnsi="Lato"/>
          <w:color w:val="000000" w:themeColor="text1"/>
          <w:sz w:val="24"/>
          <w:szCs w:val="24"/>
        </w:rPr>
      </w:pPr>
    </w:p>
    <w:p w14:paraId="0A6E0414" w14:textId="77777777" w:rsidR="00000000" w:rsidRPr="0060384B" w:rsidRDefault="00CA5F6F">
      <w:pPr>
        <w:spacing w:line="244" w:lineRule="auto"/>
        <w:ind w:right="80"/>
        <w:rPr>
          <w:rFonts w:ascii="Lato" w:hAnsi="Lato"/>
          <w:color w:val="000000" w:themeColor="text1"/>
          <w:sz w:val="24"/>
          <w:szCs w:val="24"/>
        </w:rPr>
      </w:pPr>
      <w:r w:rsidRPr="0060384B">
        <w:rPr>
          <w:rFonts w:ascii="Lato" w:hAnsi="Lato"/>
          <w:color w:val="000000" w:themeColor="text1"/>
          <w:sz w:val="24"/>
          <w:szCs w:val="24"/>
        </w:rPr>
        <w:t>This massive infrastructure of population studies and consortia collecting and analyzing genetics and tissue data is at the heart of the quest t</w:t>
      </w:r>
      <w:r w:rsidRPr="0060384B">
        <w:rPr>
          <w:rFonts w:ascii="Lato" w:hAnsi="Lato"/>
          <w:color w:val="000000" w:themeColor="text1"/>
          <w:sz w:val="24"/>
          <w:szCs w:val="24"/>
        </w:rPr>
        <w:t xml:space="preserve">o better identify the genetic and nongenetic underpinnings of dementia. By organizing and analyzing unprecedented volumes of </w:t>
      </w:r>
      <w:r w:rsidRPr="0060384B">
        <w:rPr>
          <w:rFonts w:ascii="Lato" w:hAnsi="Lato"/>
          <w:color w:val="000000" w:themeColor="text1"/>
          <w:sz w:val="24"/>
          <w:szCs w:val="24"/>
        </w:rPr>
        <w:t>“big data</w:t>
      </w:r>
      <w:r w:rsidRPr="0060384B">
        <w:rPr>
          <w:rFonts w:ascii="Lato" w:hAnsi="Lato"/>
          <w:color w:val="000000" w:themeColor="text1"/>
          <w:sz w:val="24"/>
          <w:szCs w:val="24"/>
        </w:rPr>
        <w:t>” and sharing that information as quickly and widely as possible, we hope to more clearly predict disease risks for groups</w:t>
      </w:r>
      <w:r w:rsidRPr="0060384B">
        <w:rPr>
          <w:rFonts w:ascii="Lato" w:hAnsi="Lato"/>
          <w:color w:val="000000" w:themeColor="text1"/>
          <w:sz w:val="24"/>
          <w:szCs w:val="24"/>
        </w:rPr>
        <w:t xml:space="preserve"> and individuals and, for people at risk, to target successful interventions in a precision medicine approach to prevent or slow dementia.</w:t>
      </w:r>
    </w:p>
    <w:p w14:paraId="399F240B" w14:textId="77777777" w:rsidR="00000000" w:rsidRPr="0060384B" w:rsidRDefault="00CA5F6F">
      <w:pPr>
        <w:spacing w:line="243" w:lineRule="exact"/>
        <w:rPr>
          <w:rFonts w:ascii="Lato" w:hAnsi="Lato"/>
          <w:color w:val="000000" w:themeColor="text1"/>
          <w:sz w:val="24"/>
          <w:szCs w:val="24"/>
        </w:rPr>
      </w:pPr>
    </w:p>
    <w:p w14:paraId="29369D5A"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Identifying Psychosocial and Environmental Factors</w:t>
      </w:r>
    </w:p>
    <w:p w14:paraId="2F3F59FE" w14:textId="77777777" w:rsidR="00000000" w:rsidRPr="0060384B" w:rsidRDefault="00CA5F6F">
      <w:pPr>
        <w:spacing w:line="287" w:lineRule="exact"/>
        <w:rPr>
          <w:rFonts w:ascii="Lato" w:hAnsi="Lato"/>
          <w:color w:val="000000" w:themeColor="text1"/>
          <w:sz w:val="24"/>
          <w:szCs w:val="24"/>
        </w:rPr>
      </w:pPr>
    </w:p>
    <w:p w14:paraId="2C6C2603" w14:textId="77777777" w:rsidR="00000000" w:rsidRPr="0060384B" w:rsidRDefault="00CA5F6F">
      <w:pPr>
        <w:spacing w:line="251" w:lineRule="auto"/>
        <w:ind w:right="320"/>
        <w:rPr>
          <w:rFonts w:ascii="Lato" w:hAnsi="Lato"/>
          <w:color w:val="000000" w:themeColor="text1"/>
          <w:sz w:val="24"/>
          <w:szCs w:val="24"/>
        </w:rPr>
      </w:pPr>
      <w:r w:rsidRPr="0060384B">
        <w:rPr>
          <w:rFonts w:ascii="Lato" w:hAnsi="Lato"/>
          <w:color w:val="000000" w:themeColor="text1"/>
          <w:sz w:val="24"/>
          <w:szCs w:val="24"/>
        </w:rPr>
        <w:t>Studies on environmental and lifestyle factors associated with i</w:t>
      </w:r>
      <w:r w:rsidRPr="0060384B">
        <w:rPr>
          <w:rFonts w:ascii="Lato" w:hAnsi="Lato"/>
          <w:color w:val="000000" w:themeColor="text1"/>
          <w:sz w:val="24"/>
          <w:szCs w:val="24"/>
        </w:rPr>
        <w:t>ncreasing or decreasing one</w:t>
      </w:r>
      <w:r w:rsidRPr="0060384B">
        <w:rPr>
          <w:rFonts w:ascii="Lato" w:hAnsi="Lato"/>
          <w:color w:val="000000" w:themeColor="text1"/>
          <w:sz w:val="24"/>
          <w:szCs w:val="24"/>
        </w:rPr>
        <w:t>’s risk of dementia continue to reveal social and behavioral influences on disease. Studies reported in 2018 and 2019 revealed the following insights:</w:t>
      </w:r>
    </w:p>
    <w:p w14:paraId="4BFB1888" w14:textId="77777777" w:rsidR="00000000" w:rsidRPr="0060384B" w:rsidRDefault="00CA5F6F">
      <w:pPr>
        <w:spacing w:line="237" w:lineRule="exact"/>
        <w:rPr>
          <w:rFonts w:ascii="Lato" w:hAnsi="Lato"/>
          <w:color w:val="000000" w:themeColor="text1"/>
          <w:sz w:val="24"/>
          <w:szCs w:val="24"/>
        </w:rPr>
      </w:pPr>
    </w:p>
    <w:p w14:paraId="7AE8F245" w14:textId="77777777" w:rsidR="00000000" w:rsidRPr="0060384B" w:rsidRDefault="00CA5F6F">
      <w:pPr>
        <w:spacing w:line="242" w:lineRule="auto"/>
        <w:ind w:right="20"/>
        <w:rPr>
          <w:rFonts w:ascii="Lato" w:hAnsi="Lato"/>
          <w:color w:val="000000" w:themeColor="text1"/>
          <w:sz w:val="24"/>
          <w:szCs w:val="24"/>
        </w:rPr>
      </w:pPr>
      <w:r w:rsidRPr="0060384B">
        <w:rPr>
          <w:rFonts w:ascii="Lato" w:hAnsi="Lato"/>
          <w:b/>
          <w:color w:val="000000" w:themeColor="text1"/>
          <w:sz w:val="24"/>
          <w:szCs w:val="24"/>
        </w:rPr>
        <w:t xml:space="preserve">Neighborhoods, sleep quality may influence decline. </w:t>
      </w:r>
      <w:r w:rsidRPr="0060384B">
        <w:rPr>
          <w:rFonts w:ascii="Lato" w:hAnsi="Lato"/>
          <w:color w:val="000000" w:themeColor="text1"/>
          <w:sz w:val="24"/>
          <w:szCs w:val="24"/>
        </w:rPr>
        <w:t>Using the 2006 -2008 wave</w:t>
      </w:r>
      <w:r w:rsidRPr="0060384B">
        <w:rPr>
          <w:rFonts w:ascii="Lato" w:hAnsi="Lato"/>
          <w:color w:val="000000" w:themeColor="text1"/>
          <w:sz w:val="24"/>
          <w:szCs w:val="24"/>
        </w:rPr>
        <w:t>s of the HRS,</w:t>
      </w:r>
      <w:r w:rsidRPr="0060384B">
        <w:rPr>
          <w:rFonts w:ascii="Lato" w:hAnsi="Lato"/>
          <w:b/>
          <w:color w:val="000000" w:themeColor="text1"/>
          <w:sz w:val="24"/>
          <w:szCs w:val="24"/>
        </w:rPr>
        <w:t xml:space="preserve"> </w:t>
      </w:r>
      <w:r w:rsidRPr="0060384B">
        <w:rPr>
          <w:rFonts w:ascii="Lato" w:hAnsi="Lato"/>
          <w:color w:val="000000" w:themeColor="text1"/>
          <w:sz w:val="24"/>
          <w:szCs w:val="24"/>
        </w:rPr>
        <w:t>researchers (</w:t>
      </w:r>
      <w:hyperlink r:id="rId41" w:history="1">
        <w:r w:rsidRPr="0060384B">
          <w:rPr>
            <w:rFonts w:ascii="Lato" w:hAnsi="Lato"/>
            <w:color w:val="000000" w:themeColor="text1"/>
            <w:sz w:val="24"/>
            <w:szCs w:val="24"/>
          </w:rPr>
          <w:t>Hunter et al., 2018</w:t>
        </w:r>
      </w:hyperlink>
      <w:r w:rsidRPr="0060384B">
        <w:rPr>
          <w:rFonts w:ascii="Lato" w:hAnsi="Lato"/>
          <w:color w:val="000000" w:themeColor="text1"/>
          <w:sz w:val="24"/>
          <w:szCs w:val="24"/>
        </w:rPr>
        <w:t xml:space="preserve">) examined the role of neighborhood socioeconomic status along with sleep quality (as measured by trouble falling asleep, staying asleep, waking too </w:t>
      </w:r>
      <w:r w:rsidRPr="0060384B">
        <w:rPr>
          <w:rFonts w:ascii="Lato" w:hAnsi="Lato"/>
          <w:color w:val="000000" w:themeColor="text1"/>
          <w:sz w:val="24"/>
          <w:szCs w:val="24"/>
        </w:rPr>
        <w:t>early, and feeling well rested on waking) on dementia risk. Accounting for genetic, demographic, and cardiovascular risk factors, the team found that individuals who lived in neighborhoods of poorer socioeconomic status</w:t>
      </w:r>
      <w:r w:rsidRPr="0060384B">
        <w:rPr>
          <w:rFonts w:ascii="Lato" w:hAnsi="Lato"/>
          <w:color w:val="000000" w:themeColor="text1"/>
          <w:sz w:val="24"/>
          <w:szCs w:val="24"/>
        </w:rPr>
        <w:t>—characterized by low levels of educa</w:t>
      </w:r>
      <w:r w:rsidRPr="0060384B">
        <w:rPr>
          <w:rFonts w:ascii="Lato" w:hAnsi="Lato"/>
          <w:color w:val="000000" w:themeColor="text1"/>
          <w:sz w:val="24"/>
          <w:szCs w:val="24"/>
        </w:rPr>
        <w:t>tion, high unemployment, and use of public assistance</w:t>
      </w:r>
      <w:r w:rsidRPr="0060384B">
        <w:rPr>
          <w:rFonts w:ascii="Lato" w:hAnsi="Lato"/>
          <w:color w:val="000000" w:themeColor="text1"/>
          <w:sz w:val="24"/>
          <w:szCs w:val="24"/>
        </w:rPr>
        <w:t>—and had poor sleep quality experienced the greatest cognitive decline over time. In contrast, people living in high socioeconomic status neighborhoods had the highest cognitive function, regardless of r</w:t>
      </w:r>
      <w:r w:rsidRPr="0060384B">
        <w:rPr>
          <w:rFonts w:ascii="Lato" w:hAnsi="Lato"/>
          <w:color w:val="000000" w:themeColor="text1"/>
          <w:sz w:val="24"/>
          <w:szCs w:val="24"/>
        </w:rPr>
        <w:t>eported sleep quality. While cognitive decline has in the past been linked separately to neighborhood characteristics and sleep quality, these findings are the first to show a combined relationship between the two. This study points to the important role t</w:t>
      </w:r>
      <w:r w:rsidRPr="0060384B">
        <w:rPr>
          <w:rFonts w:ascii="Lato" w:hAnsi="Lato"/>
          <w:color w:val="000000" w:themeColor="text1"/>
          <w:sz w:val="24"/>
          <w:szCs w:val="24"/>
        </w:rPr>
        <w:t>hat environment (in this case, neighborhood) may play in relation to other risk factors associated with cognitive decline.</w:t>
      </w:r>
    </w:p>
    <w:p w14:paraId="55A32B3D" w14:textId="77777777" w:rsidR="00000000" w:rsidRPr="0060384B" w:rsidRDefault="00CA5F6F">
      <w:pPr>
        <w:spacing w:line="249" w:lineRule="exact"/>
        <w:rPr>
          <w:rFonts w:ascii="Lato" w:hAnsi="Lato"/>
          <w:color w:val="000000" w:themeColor="text1"/>
          <w:sz w:val="24"/>
          <w:szCs w:val="24"/>
        </w:rPr>
      </w:pPr>
    </w:p>
    <w:p w14:paraId="6FBEABD5" w14:textId="77777777" w:rsidR="00000000" w:rsidRPr="0060384B" w:rsidRDefault="00CA5F6F">
      <w:pPr>
        <w:spacing w:line="246" w:lineRule="auto"/>
        <w:ind w:right="220"/>
        <w:rPr>
          <w:rFonts w:ascii="Lato" w:hAnsi="Lato"/>
          <w:color w:val="000000" w:themeColor="text1"/>
          <w:sz w:val="24"/>
          <w:szCs w:val="24"/>
        </w:rPr>
      </w:pPr>
      <w:r w:rsidRPr="0060384B">
        <w:rPr>
          <w:rFonts w:ascii="Lato" w:hAnsi="Lato"/>
          <w:b/>
          <w:color w:val="000000" w:themeColor="text1"/>
          <w:sz w:val="24"/>
          <w:szCs w:val="24"/>
        </w:rPr>
        <w:t xml:space="preserve">Evidence builds for the link between education and dementia. </w:t>
      </w:r>
      <w:r w:rsidRPr="0060384B">
        <w:rPr>
          <w:rFonts w:ascii="Lato" w:hAnsi="Lato"/>
          <w:color w:val="000000" w:themeColor="text1"/>
          <w:sz w:val="24"/>
          <w:szCs w:val="24"/>
        </w:rPr>
        <w:t>While the number of people</w:t>
      </w:r>
      <w:r w:rsidRPr="0060384B">
        <w:rPr>
          <w:rFonts w:ascii="Lato" w:hAnsi="Lato"/>
          <w:b/>
          <w:color w:val="000000" w:themeColor="text1"/>
          <w:sz w:val="24"/>
          <w:szCs w:val="24"/>
        </w:rPr>
        <w:t xml:space="preserve"> </w:t>
      </w:r>
      <w:r w:rsidRPr="0060384B">
        <w:rPr>
          <w:rFonts w:ascii="Lato" w:hAnsi="Lato"/>
          <w:color w:val="000000" w:themeColor="text1"/>
          <w:sz w:val="24"/>
          <w:szCs w:val="24"/>
        </w:rPr>
        <w:t xml:space="preserve">with dementia has increased in recent years </w:t>
      </w:r>
      <w:r w:rsidRPr="0060384B">
        <w:rPr>
          <w:rFonts w:ascii="Lato" w:hAnsi="Lato"/>
          <w:color w:val="000000" w:themeColor="text1"/>
          <w:sz w:val="24"/>
          <w:szCs w:val="24"/>
        </w:rPr>
        <w:t>with the aging of the population, rates of disease appear to be declining in the United States and other developed countries. Two new findings from NIH-supported research bolster the case for recognizing higher levels of educational attainment as a major c</w:t>
      </w:r>
      <w:r w:rsidRPr="0060384B">
        <w:rPr>
          <w:rFonts w:ascii="Lato" w:hAnsi="Lato"/>
          <w:color w:val="000000" w:themeColor="text1"/>
          <w:sz w:val="24"/>
          <w:szCs w:val="24"/>
        </w:rPr>
        <w:t>ontributor to this trend:</w:t>
      </w:r>
    </w:p>
    <w:p w14:paraId="00D30112" w14:textId="77777777" w:rsidR="00000000" w:rsidRPr="0060384B" w:rsidRDefault="00CA5F6F">
      <w:pPr>
        <w:spacing w:line="246" w:lineRule="auto"/>
        <w:ind w:right="22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39DCB83A" w14:textId="77777777" w:rsidR="00000000" w:rsidRPr="0060384B" w:rsidRDefault="00CA5F6F">
      <w:pPr>
        <w:spacing w:line="291" w:lineRule="exact"/>
        <w:rPr>
          <w:rFonts w:ascii="Lato"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02EED9B2" w14:textId="77777777">
        <w:trPr>
          <w:trHeight w:val="245"/>
        </w:trPr>
        <w:tc>
          <w:tcPr>
            <w:tcW w:w="6540" w:type="dxa"/>
            <w:shd w:val="clear" w:color="auto" w:fill="auto"/>
            <w:vAlign w:val="bottom"/>
          </w:tcPr>
          <w:p w14:paraId="639454BF"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TOGETHER WE SUCCEED</w:t>
            </w:r>
          </w:p>
        </w:tc>
        <w:tc>
          <w:tcPr>
            <w:tcW w:w="2820" w:type="dxa"/>
            <w:shd w:val="clear" w:color="auto" w:fill="auto"/>
            <w:vAlign w:val="bottom"/>
          </w:tcPr>
          <w:p w14:paraId="4C841A39"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14</w:t>
            </w:r>
          </w:p>
        </w:tc>
      </w:tr>
      <w:tr w:rsidR="00000000" w:rsidRPr="0060384B" w14:paraId="6C5E0BDA" w14:textId="77777777">
        <w:trPr>
          <w:trHeight w:val="258"/>
        </w:trPr>
        <w:tc>
          <w:tcPr>
            <w:tcW w:w="6540" w:type="dxa"/>
            <w:shd w:val="clear" w:color="auto" w:fill="auto"/>
            <w:vAlign w:val="bottom"/>
          </w:tcPr>
          <w:p w14:paraId="2022451A"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5DC1BC34" w14:textId="77777777" w:rsidR="00000000" w:rsidRPr="0060384B" w:rsidRDefault="00CA5F6F">
            <w:pPr>
              <w:spacing w:line="0" w:lineRule="atLeast"/>
              <w:rPr>
                <w:rFonts w:ascii="Lato" w:eastAsia="Times New Roman" w:hAnsi="Lato"/>
                <w:color w:val="000000" w:themeColor="text1"/>
                <w:sz w:val="24"/>
                <w:szCs w:val="24"/>
              </w:rPr>
            </w:pPr>
          </w:p>
        </w:tc>
      </w:tr>
    </w:tbl>
    <w:p w14:paraId="6EF998C9"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78675B1D" w14:textId="77777777" w:rsidR="00000000" w:rsidRPr="0060384B" w:rsidRDefault="00CA5F6F">
      <w:pPr>
        <w:numPr>
          <w:ilvl w:val="0"/>
          <w:numId w:val="10"/>
        </w:numPr>
        <w:tabs>
          <w:tab w:val="left" w:pos="540"/>
        </w:tabs>
        <w:spacing w:line="241" w:lineRule="auto"/>
        <w:ind w:left="540" w:right="40" w:hanging="353"/>
        <w:rPr>
          <w:rFonts w:ascii="Lato" w:hAnsi="Lato"/>
          <w:color w:val="000000" w:themeColor="text1"/>
          <w:sz w:val="24"/>
          <w:szCs w:val="24"/>
        </w:rPr>
      </w:pPr>
      <w:bookmarkStart w:id="17" w:name="page18"/>
      <w:bookmarkEnd w:id="17"/>
      <w:r w:rsidRPr="0060384B">
        <w:rPr>
          <w:rFonts w:ascii="Lato" w:hAnsi="Lato"/>
          <w:b/>
          <w:color w:val="000000" w:themeColor="text1"/>
          <w:sz w:val="24"/>
          <w:szCs w:val="24"/>
        </w:rPr>
        <w:lastRenderedPageBreak/>
        <w:t xml:space="preserve">Longer life expectancy with healthy cognition, especially for people with more education. </w:t>
      </w:r>
      <w:r w:rsidRPr="0060384B">
        <w:rPr>
          <w:rFonts w:ascii="Lato" w:hAnsi="Lato"/>
          <w:color w:val="000000" w:themeColor="text1"/>
          <w:sz w:val="24"/>
          <w:szCs w:val="24"/>
        </w:rPr>
        <w:t>This study offers the first estimates of educational difference</w:t>
      </w:r>
      <w:r w:rsidRPr="0060384B">
        <w:rPr>
          <w:rFonts w:ascii="Lato" w:hAnsi="Lato"/>
          <w:color w:val="000000" w:themeColor="text1"/>
          <w:sz w:val="24"/>
          <w:szCs w:val="24"/>
        </w:rPr>
        <w:t>s in prevalence of</w:t>
      </w:r>
      <w:r w:rsidRPr="0060384B">
        <w:rPr>
          <w:rFonts w:ascii="Lato" w:hAnsi="Lato"/>
          <w:b/>
          <w:color w:val="000000" w:themeColor="text1"/>
          <w:sz w:val="24"/>
          <w:szCs w:val="24"/>
        </w:rPr>
        <w:t xml:space="preserve"> </w:t>
      </w:r>
      <w:r w:rsidRPr="0060384B">
        <w:rPr>
          <w:rFonts w:ascii="Lato" w:hAnsi="Lato"/>
          <w:color w:val="000000" w:themeColor="text1"/>
          <w:sz w:val="24"/>
          <w:szCs w:val="24"/>
        </w:rPr>
        <w:t xml:space="preserve">cognitive impairment and dementia by age and of changes over time in prevalence of dementia by education levels in the United States. Following a subset of people participating in the HRS from 2000 and 2010, researchers </w:t>
      </w:r>
      <w:hyperlink r:id="rId42" w:history="1">
        <w:r w:rsidRPr="0060384B">
          <w:rPr>
            <w:rFonts w:ascii="Lato" w:hAnsi="Lato"/>
            <w:color w:val="000000" w:themeColor="text1"/>
            <w:sz w:val="24"/>
            <w:szCs w:val="24"/>
          </w:rPr>
          <w:t>(</w:t>
        </w:r>
        <w:r w:rsidRPr="0060384B">
          <w:rPr>
            <w:rFonts w:ascii="Lato" w:hAnsi="Lato"/>
            <w:color w:val="000000" w:themeColor="text1"/>
            <w:sz w:val="24"/>
            <w:szCs w:val="24"/>
          </w:rPr>
          <w:t>Crimmins et al., 2018</w:t>
        </w:r>
      </w:hyperlink>
      <w:r w:rsidRPr="0060384B">
        <w:rPr>
          <w:rFonts w:ascii="Lato" w:hAnsi="Lato"/>
          <w:color w:val="000000" w:themeColor="text1"/>
          <w:sz w:val="24"/>
          <w:szCs w:val="24"/>
        </w:rPr>
        <w:t>) found that, in general, life expectancy at age 65 and 85 increased for both men and women in every education group over the decade. For example, women who had completed college and reached</w:t>
      </w:r>
      <w:r w:rsidRPr="0060384B">
        <w:rPr>
          <w:rFonts w:ascii="Lato" w:hAnsi="Lato"/>
          <w:color w:val="000000" w:themeColor="text1"/>
          <w:sz w:val="24"/>
          <w:szCs w:val="24"/>
        </w:rPr>
        <w:t xml:space="preserve"> age 65 in 2000 could expect to live another 20.9 years, on average. By 2010, this had increased to 22.3 years. The number of years they could expect to live with dementia fell in the same years, from 1.87 to 1.57 years. Longer life has thus meant longer l</w:t>
      </w:r>
      <w:r w:rsidRPr="0060384B">
        <w:rPr>
          <w:rFonts w:ascii="Lato" w:hAnsi="Lato"/>
          <w:color w:val="000000" w:themeColor="text1"/>
          <w:sz w:val="24"/>
          <w:szCs w:val="24"/>
        </w:rPr>
        <w:t>ife in good cognitive health for those with more education. For women with less than a high-school education, by contrast, life expectancy at age 65 changed much less during the same decade, from 18.28 to 18.94 years, and for them the expected number of ye</w:t>
      </w:r>
      <w:r w:rsidRPr="0060384B">
        <w:rPr>
          <w:rFonts w:ascii="Lato" w:hAnsi="Lato"/>
          <w:color w:val="000000" w:themeColor="text1"/>
          <w:sz w:val="24"/>
          <w:szCs w:val="24"/>
        </w:rPr>
        <w:t>ars living with dementia fell only slightly, from 4.16 to 4.12 years. Put another way, the differences in prevalence of dementia associated with different levels of educational attainment, already large in 2000, widened over the following decade.</w:t>
      </w:r>
    </w:p>
    <w:p w14:paraId="301F70BB" w14:textId="77777777" w:rsidR="00000000" w:rsidRPr="0060384B" w:rsidRDefault="00CA5F6F">
      <w:pPr>
        <w:spacing w:line="232" w:lineRule="exact"/>
        <w:rPr>
          <w:rFonts w:ascii="Lato" w:hAnsi="Lato"/>
          <w:color w:val="000000" w:themeColor="text1"/>
          <w:sz w:val="24"/>
          <w:szCs w:val="24"/>
        </w:rPr>
      </w:pPr>
    </w:p>
    <w:p w14:paraId="41347FE3" w14:textId="77777777" w:rsidR="00000000" w:rsidRPr="0060384B" w:rsidRDefault="00CA5F6F">
      <w:pPr>
        <w:numPr>
          <w:ilvl w:val="0"/>
          <w:numId w:val="10"/>
        </w:numPr>
        <w:tabs>
          <w:tab w:val="left" w:pos="540"/>
        </w:tabs>
        <w:spacing w:line="241" w:lineRule="auto"/>
        <w:ind w:left="540" w:hanging="360"/>
        <w:rPr>
          <w:rFonts w:ascii="Lato" w:hAnsi="Lato"/>
          <w:color w:val="000000" w:themeColor="text1"/>
          <w:sz w:val="24"/>
          <w:szCs w:val="24"/>
        </w:rPr>
      </w:pPr>
      <w:r w:rsidRPr="0060384B">
        <w:rPr>
          <w:rFonts w:ascii="Lato" w:hAnsi="Lato"/>
          <w:b/>
          <w:color w:val="000000" w:themeColor="text1"/>
          <w:sz w:val="24"/>
          <w:szCs w:val="24"/>
        </w:rPr>
        <w:t>Higher e</w:t>
      </w:r>
      <w:r w:rsidRPr="0060384B">
        <w:rPr>
          <w:rFonts w:ascii="Lato" w:hAnsi="Lato"/>
          <w:b/>
          <w:color w:val="000000" w:themeColor="text1"/>
          <w:sz w:val="24"/>
          <w:szCs w:val="24"/>
        </w:rPr>
        <w:t xml:space="preserve">ducation of younger cohorts explains differences in cognitive impairment. </w:t>
      </w:r>
      <w:r w:rsidRPr="0060384B">
        <w:rPr>
          <w:rFonts w:ascii="Lato" w:hAnsi="Lato"/>
          <w:color w:val="000000" w:themeColor="text1"/>
          <w:sz w:val="24"/>
          <w:szCs w:val="24"/>
        </w:rPr>
        <w:t>Analyzing data from the nationally representative Americans</w:t>
      </w:r>
      <w:r w:rsidRPr="0060384B">
        <w:rPr>
          <w:rFonts w:ascii="Lato" w:hAnsi="Lato"/>
          <w:color w:val="000000" w:themeColor="text1"/>
          <w:sz w:val="24"/>
          <w:szCs w:val="24"/>
        </w:rPr>
        <w:t>’ Changing Lives Study that followed individuals over 25 years, researchers supported by NIH (NIA and the National Institut</w:t>
      </w:r>
      <w:r w:rsidRPr="0060384B">
        <w:rPr>
          <w:rFonts w:ascii="Lato" w:hAnsi="Lato"/>
          <w:color w:val="000000" w:themeColor="text1"/>
          <w:sz w:val="24"/>
          <w:szCs w:val="24"/>
        </w:rPr>
        <w:t xml:space="preserve">e on Mental Health) and the Department of Veterans Affairs </w:t>
      </w:r>
      <w:hyperlink r:id="rId43" w:history="1">
        <w:r w:rsidRPr="0060384B">
          <w:rPr>
            <w:rFonts w:ascii="Lato" w:hAnsi="Lato"/>
            <w:color w:val="000000" w:themeColor="text1"/>
            <w:sz w:val="24"/>
            <w:szCs w:val="24"/>
          </w:rPr>
          <w:t>(</w:t>
        </w:r>
        <w:r w:rsidRPr="0060384B">
          <w:rPr>
            <w:rFonts w:ascii="Lato" w:hAnsi="Lato"/>
            <w:color w:val="000000" w:themeColor="text1"/>
            <w:sz w:val="24"/>
            <w:szCs w:val="24"/>
          </w:rPr>
          <w:t>Leggett et al., 2019</w:t>
        </w:r>
      </w:hyperlink>
      <w:r w:rsidRPr="0060384B">
        <w:rPr>
          <w:rFonts w:ascii="Lato" w:hAnsi="Lato"/>
          <w:color w:val="000000" w:themeColor="text1"/>
          <w:sz w:val="24"/>
          <w:szCs w:val="24"/>
        </w:rPr>
        <w:t>) offer evidence for the primary role that educational attainment plays in explaining age-group differences in cogn</w:t>
      </w:r>
      <w:r w:rsidRPr="0060384B">
        <w:rPr>
          <w:rFonts w:ascii="Lato" w:hAnsi="Lato"/>
          <w:color w:val="000000" w:themeColor="text1"/>
          <w:sz w:val="24"/>
          <w:szCs w:val="24"/>
        </w:rPr>
        <w:t>itive impairment, above and beyond gender, race, cardiovascular diseases, and other chronic health conditions. The researchers first looked at if and where there were age-group differences in the level and rate of change in cognitive function over years of</w:t>
      </w:r>
      <w:r w:rsidRPr="0060384B">
        <w:rPr>
          <w:rFonts w:ascii="Lato" w:hAnsi="Lato"/>
          <w:color w:val="000000" w:themeColor="text1"/>
          <w:sz w:val="24"/>
          <w:szCs w:val="24"/>
        </w:rPr>
        <w:t xml:space="preserve"> adulthood, and then examined the extent to which previously confirmed factors</w:t>
      </w:r>
      <w:r w:rsidRPr="0060384B">
        <w:rPr>
          <w:rFonts w:ascii="Lato" w:hAnsi="Lato"/>
          <w:color w:val="000000" w:themeColor="text1"/>
          <w:sz w:val="24"/>
          <w:szCs w:val="24"/>
        </w:rPr>
        <w:t>—including education, gender, race, and specific health conditions</w:t>
      </w:r>
      <w:r w:rsidRPr="0060384B">
        <w:rPr>
          <w:rFonts w:ascii="Lato" w:hAnsi="Lato"/>
          <w:color w:val="000000" w:themeColor="text1"/>
          <w:sz w:val="24"/>
          <w:szCs w:val="24"/>
        </w:rPr>
        <w:t>—may have accounted for differences. They found that younger cohorts</w:t>
      </w:r>
      <w:r w:rsidRPr="0060384B">
        <w:rPr>
          <w:rFonts w:ascii="Lato" w:hAnsi="Lato"/>
          <w:color w:val="000000" w:themeColor="text1"/>
          <w:sz w:val="24"/>
          <w:szCs w:val="24"/>
        </w:rPr>
        <w:t>—those born after 1932</w:t>
      </w:r>
      <w:r w:rsidRPr="0060384B">
        <w:rPr>
          <w:rFonts w:ascii="Lato" w:hAnsi="Lato"/>
          <w:color w:val="000000" w:themeColor="text1"/>
          <w:sz w:val="24"/>
          <w:szCs w:val="24"/>
        </w:rPr>
        <w:t>—had significantly les</w:t>
      </w:r>
      <w:r w:rsidRPr="0060384B">
        <w:rPr>
          <w:rFonts w:ascii="Lato" w:hAnsi="Lato"/>
          <w:color w:val="000000" w:themeColor="text1"/>
          <w:sz w:val="24"/>
          <w:szCs w:val="24"/>
        </w:rPr>
        <w:t xml:space="preserve">s cognitive dysfunction over time compared to their pre-1932 counterparts. They then found that the rate of change was stable across the age groups, reflecting what the researchers called </w:t>
      </w:r>
      <w:r w:rsidRPr="0060384B">
        <w:rPr>
          <w:rFonts w:ascii="Lato" w:hAnsi="Lato"/>
          <w:color w:val="000000" w:themeColor="text1"/>
          <w:sz w:val="24"/>
          <w:szCs w:val="24"/>
        </w:rPr>
        <w:t>“preserved differentiation.</w:t>
      </w:r>
      <w:r w:rsidRPr="0060384B">
        <w:rPr>
          <w:rFonts w:ascii="Lato" w:hAnsi="Lato"/>
          <w:color w:val="000000" w:themeColor="text1"/>
          <w:sz w:val="24"/>
          <w:szCs w:val="24"/>
        </w:rPr>
        <w:t>” Modeling the effects of education, gend</w:t>
      </w:r>
      <w:r w:rsidRPr="0060384B">
        <w:rPr>
          <w:rFonts w:ascii="Lato" w:hAnsi="Lato"/>
          <w:color w:val="000000" w:themeColor="text1"/>
          <w:sz w:val="24"/>
          <w:szCs w:val="24"/>
        </w:rPr>
        <w:t>er, race, and health conditions, they found that differences in educational attainment wholly explained cohort differences in cognitive dysfunction over time. These findings point to the potential for social and institutional efforts to encourage education</w:t>
      </w:r>
      <w:r w:rsidRPr="0060384B">
        <w:rPr>
          <w:rFonts w:ascii="Lato" w:hAnsi="Lato"/>
          <w:color w:val="000000" w:themeColor="text1"/>
          <w:sz w:val="24"/>
          <w:szCs w:val="24"/>
        </w:rPr>
        <w:t>al attainment, particularly college degrees, as one way to help reduce the future burden of cognitive impairment for older adults.</w:t>
      </w:r>
    </w:p>
    <w:p w14:paraId="161B0C06" w14:textId="77777777" w:rsidR="00000000" w:rsidRPr="0060384B" w:rsidRDefault="00CA5F6F">
      <w:pPr>
        <w:spacing w:line="259" w:lineRule="exact"/>
        <w:rPr>
          <w:rFonts w:ascii="Lato" w:eastAsia="Arial" w:hAnsi="Lato"/>
          <w:color w:val="000000" w:themeColor="text1"/>
          <w:sz w:val="24"/>
          <w:szCs w:val="24"/>
        </w:rPr>
      </w:pPr>
    </w:p>
    <w:p w14:paraId="26A8EC84" w14:textId="77777777" w:rsidR="00000000" w:rsidRPr="0060384B" w:rsidRDefault="00CA5F6F">
      <w:pPr>
        <w:spacing w:line="242" w:lineRule="auto"/>
        <w:ind w:right="180"/>
        <w:rPr>
          <w:rFonts w:ascii="Lato" w:hAnsi="Lato"/>
          <w:color w:val="000000" w:themeColor="text1"/>
          <w:sz w:val="24"/>
          <w:szCs w:val="24"/>
        </w:rPr>
      </w:pPr>
      <w:r w:rsidRPr="0060384B">
        <w:rPr>
          <w:rFonts w:ascii="Lato" w:hAnsi="Lato"/>
          <w:b/>
          <w:color w:val="000000" w:themeColor="text1"/>
          <w:sz w:val="24"/>
          <w:szCs w:val="24"/>
        </w:rPr>
        <w:t xml:space="preserve">New insights on exercise. </w:t>
      </w:r>
      <w:r w:rsidRPr="0060384B">
        <w:rPr>
          <w:rFonts w:ascii="Lato" w:hAnsi="Lato"/>
          <w:color w:val="000000" w:themeColor="text1"/>
          <w:sz w:val="24"/>
          <w:szCs w:val="24"/>
        </w:rPr>
        <w:t>There is enormous interest in how lifestyle interventions, like</w:t>
      </w:r>
      <w:r w:rsidRPr="0060384B">
        <w:rPr>
          <w:rFonts w:ascii="Lato" w:hAnsi="Lato"/>
          <w:b/>
          <w:color w:val="000000" w:themeColor="text1"/>
          <w:sz w:val="24"/>
          <w:szCs w:val="24"/>
        </w:rPr>
        <w:t xml:space="preserve"> </w:t>
      </w:r>
      <w:r w:rsidRPr="0060384B">
        <w:rPr>
          <w:rFonts w:ascii="Lato" w:hAnsi="Lato"/>
          <w:color w:val="000000" w:themeColor="text1"/>
          <w:sz w:val="24"/>
          <w:szCs w:val="24"/>
        </w:rPr>
        <w:t>exercise and diet, might reduce or</w:t>
      </w:r>
      <w:r w:rsidRPr="0060384B">
        <w:rPr>
          <w:rFonts w:ascii="Lato" w:hAnsi="Lato"/>
          <w:color w:val="000000" w:themeColor="text1"/>
          <w:sz w:val="24"/>
          <w:szCs w:val="24"/>
        </w:rPr>
        <w:t xml:space="preserve"> increase risk of Alzheimer</w:t>
      </w:r>
      <w:r w:rsidRPr="0060384B">
        <w:rPr>
          <w:rFonts w:ascii="Lato" w:hAnsi="Lato"/>
          <w:color w:val="000000" w:themeColor="text1"/>
          <w:sz w:val="24"/>
          <w:szCs w:val="24"/>
        </w:rPr>
        <w:t xml:space="preserve">’s and related dementias. The evidence base from both observational studies and clinical trials linking physical activity to cognitive outcomes is mixed, leading a 2017 </w:t>
      </w:r>
      <w:hyperlink r:id="rId44" w:history="1">
        <w:r w:rsidRPr="0060384B">
          <w:rPr>
            <w:rFonts w:ascii="Lato" w:hAnsi="Lato"/>
            <w:color w:val="000000" w:themeColor="text1"/>
            <w:sz w:val="24"/>
            <w:szCs w:val="24"/>
          </w:rPr>
          <w:t>National Academies of Sciences, Engineering, and</w:t>
        </w:r>
      </w:hyperlink>
      <w:r w:rsidRPr="0060384B">
        <w:rPr>
          <w:rFonts w:ascii="Lato" w:hAnsi="Lato"/>
          <w:color w:val="000000" w:themeColor="text1"/>
          <w:sz w:val="24"/>
          <w:szCs w:val="24"/>
        </w:rPr>
        <w:t xml:space="preserve"> </w:t>
      </w:r>
      <w:hyperlink r:id="rId45" w:history="1">
        <w:r w:rsidRPr="0060384B">
          <w:rPr>
            <w:rFonts w:ascii="Lato" w:hAnsi="Lato"/>
            <w:color w:val="000000" w:themeColor="text1"/>
            <w:sz w:val="24"/>
            <w:szCs w:val="24"/>
          </w:rPr>
          <w:t>Me</w:t>
        </w:r>
        <w:r w:rsidRPr="0060384B">
          <w:rPr>
            <w:rFonts w:ascii="Lato" w:hAnsi="Lato"/>
            <w:color w:val="000000" w:themeColor="text1"/>
            <w:sz w:val="24"/>
            <w:szCs w:val="24"/>
          </w:rPr>
          <w:t>dicine report</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xml:space="preserve">sponsored </w:t>
      </w:r>
      <w:r w:rsidRPr="0060384B">
        <w:rPr>
          <w:rFonts w:ascii="Lato" w:hAnsi="Lato"/>
          <w:color w:val="000000" w:themeColor="text1"/>
          <w:sz w:val="24"/>
          <w:szCs w:val="24"/>
        </w:rPr>
        <w:t>by NIA, to note that interventions that aim to increase physical</w:t>
      </w:r>
      <w:r w:rsidRPr="0060384B">
        <w:rPr>
          <w:rFonts w:ascii="Lato" w:hAnsi="Lato"/>
          <w:color w:val="000000" w:themeColor="text1"/>
          <w:sz w:val="24"/>
          <w:szCs w:val="24"/>
        </w:rPr>
        <w:t xml:space="preserve"> </w:t>
      </w:r>
      <w:r w:rsidRPr="0060384B">
        <w:rPr>
          <w:rFonts w:ascii="Lato" w:hAnsi="Lato"/>
          <w:color w:val="000000" w:themeColor="text1"/>
          <w:sz w:val="24"/>
          <w:szCs w:val="24"/>
        </w:rPr>
        <w:t xml:space="preserve">activity to prevent cognitive decline and dementia are supported by </w:t>
      </w:r>
      <w:r w:rsidRPr="0060384B">
        <w:rPr>
          <w:rFonts w:ascii="Lato" w:hAnsi="Lato"/>
          <w:color w:val="000000" w:themeColor="text1"/>
          <w:sz w:val="24"/>
          <w:szCs w:val="24"/>
        </w:rPr>
        <w:t>“encouraging although inconclusive evidence.</w:t>
      </w:r>
      <w:r w:rsidRPr="0060384B">
        <w:rPr>
          <w:rFonts w:ascii="Lato" w:hAnsi="Lato"/>
          <w:color w:val="000000" w:themeColor="text1"/>
          <w:sz w:val="24"/>
          <w:szCs w:val="24"/>
        </w:rPr>
        <w:t>” NIH is pressing to study the effects of lifestyle i</w:t>
      </w:r>
      <w:r w:rsidRPr="0060384B">
        <w:rPr>
          <w:rFonts w:ascii="Lato" w:hAnsi="Lato"/>
          <w:color w:val="000000" w:themeColor="text1"/>
          <w:sz w:val="24"/>
          <w:szCs w:val="24"/>
        </w:rPr>
        <w:t>nterventions on cognitive decline and dementia, as subsequent sections of this report describe. At the same time, we continue to strongly support the population and epidemiological studies that can</w:t>
      </w:r>
    </w:p>
    <w:p w14:paraId="39864F7B" w14:textId="77777777" w:rsidR="00000000" w:rsidRPr="0060384B" w:rsidRDefault="00CA5F6F">
      <w:pPr>
        <w:spacing w:line="242" w:lineRule="auto"/>
        <w:ind w:right="180"/>
        <w:rPr>
          <w:rFonts w:ascii="Lato" w:hAnsi="Lato"/>
          <w:color w:val="000000" w:themeColor="text1"/>
          <w:sz w:val="24"/>
          <w:szCs w:val="24"/>
        </w:rPr>
        <w:sectPr w:rsidR="00000000" w:rsidRPr="0060384B">
          <w:pgSz w:w="12240" w:h="15840"/>
          <w:pgMar w:top="1142" w:right="1440" w:bottom="0" w:left="1440" w:header="0" w:footer="0" w:gutter="0"/>
          <w:cols w:space="0" w:equalWidth="0">
            <w:col w:w="9360"/>
          </w:cols>
          <w:docGrid w:linePitch="360"/>
        </w:sectPr>
      </w:pPr>
    </w:p>
    <w:p w14:paraId="70A3FF1E" w14:textId="77777777" w:rsidR="00000000" w:rsidRPr="0060384B" w:rsidRDefault="00CA5F6F">
      <w:pPr>
        <w:spacing w:line="317"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5BA89EB1" w14:textId="77777777">
        <w:trPr>
          <w:trHeight w:val="245"/>
        </w:trPr>
        <w:tc>
          <w:tcPr>
            <w:tcW w:w="6540" w:type="dxa"/>
            <w:shd w:val="clear" w:color="auto" w:fill="auto"/>
            <w:vAlign w:val="bottom"/>
          </w:tcPr>
          <w:p w14:paraId="5E7F0F24"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TOGETHER WE SUCCEED</w:t>
            </w:r>
          </w:p>
        </w:tc>
        <w:tc>
          <w:tcPr>
            <w:tcW w:w="2820" w:type="dxa"/>
            <w:shd w:val="clear" w:color="auto" w:fill="auto"/>
            <w:vAlign w:val="bottom"/>
          </w:tcPr>
          <w:p w14:paraId="4B74D1FC"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15</w:t>
            </w:r>
          </w:p>
        </w:tc>
      </w:tr>
      <w:tr w:rsidR="00000000" w:rsidRPr="0060384B" w14:paraId="7DF72E7B" w14:textId="77777777">
        <w:trPr>
          <w:trHeight w:val="258"/>
        </w:trPr>
        <w:tc>
          <w:tcPr>
            <w:tcW w:w="6540" w:type="dxa"/>
            <w:shd w:val="clear" w:color="auto" w:fill="auto"/>
            <w:vAlign w:val="bottom"/>
          </w:tcPr>
          <w:p w14:paraId="6EDCC696"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w:t>
            </w:r>
            <w:r w:rsidRPr="0060384B">
              <w:rPr>
                <w:rFonts w:ascii="Lato" w:hAnsi="Lato"/>
                <w:color w:val="000000" w:themeColor="text1"/>
                <w:sz w:val="24"/>
                <w:szCs w:val="24"/>
              </w:rPr>
              <w:t>iscal Year 2021</w:t>
            </w:r>
          </w:p>
        </w:tc>
        <w:tc>
          <w:tcPr>
            <w:tcW w:w="2820" w:type="dxa"/>
            <w:shd w:val="clear" w:color="auto" w:fill="auto"/>
            <w:vAlign w:val="bottom"/>
          </w:tcPr>
          <w:p w14:paraId="26BB63FA" w14:textId="77777777" w:rsidR="00000000" w:rsidRPr="0060384B" w:rsidRDefault="00CA5F6F">
            <w:pPr>
              <w:spacing w:line="0" w:lineRule="atLeast"/>
              <w:rPr>
                <w:rFonts w:ascii="Lato" w:eastAsia="Times New Roman" w:hAnsi="Lato"/>
                <w:color w:val="000000" w:themeColor="text1"/>
                <w:sz w:val="24"/>
                <w:szCs w:val="24"/>
              </w:rPr>
            </w:pPr>
          </w:p>
        </w:tc>
      </w:tr>
    </w:tbl>
    <w:p w14:paraId="0EBF1B86"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42" w:right="1440" w:bottom="0" w:left="1440" w:header="0" w:footer="0" w:gutter="0"/>
          <w:cols w:space="0" w:equalWidth="0">
            <w:col w:w="9360"/>
          </w:cols>
          <w:docGrid w:linePitch="360"/>
        </w:sectPr>
      </w:pPr>
    </w:p>
    <w:p w14:paraId="548F9A74" w14:textId="77777777" w:rsidR="00000000" w:rsidRPr="0060384B" w:rsidRDefault="00CA5F6F">
      <w:pPr>
        <w:spacing w:line="262" w:lineRule="auto"/>
        <w:ind w:right="60"/>
        <w:rPr>
          <w:rFonts w:ascii="Lato" w:hAnsi="Lato"/>
          <w:color w:val="000000" w:themeColor="text1"/>
          <w:sz w:val="24"/>
          <w:szCs w:val="24"/>
        </w:rPr>
      </w:pPr>
      <w:bookmarkStart w:id="18" w:name="page19"/>
      <w:bookmarkEnd w:id="18"/>
      <w:r w:rsidRPr="0060384B">
        <w:rPr>
          <w:rFonts w:ascii="Lato" w:hAnsi="Lato"/>
          <w:color w:val="000000" w:themeColor="text1"/>
          <w:sz w:val="24"/>
          <w:szCs w:val="24"/>
        </w:rPr>
        <w:lastRenderedPageBreak/>
        <w:t>examine these factors and help inform policymakers, clinicians, and individuals who are looking for ways now to possibly influence risk of cognitive decline. In 2019, it was reported:</w:t>
      </w:r>
    </w:p>
    <w:p w14:paraId="24252584" w14:textId="77777777" w:rsidR="00000000" w:rsidRPr="0060384B" w:rsidRDefault="00CA5F6F">
      <w:pPr>
        <w:spacing w:line="236" w:lineRule="exact"/>
        <w:rPr>
          <w:rFonts w:ascii="Lato" w:eastAsia="Times New Roman" w:hAnsi="Lato"/>
          <w:color w:val="000000" w:themeColor="text1"/>
          <w:sz w:val="24"/>
          <w:szCs w:val="24"/>
        </w:rPr>
      </w:pPr>
    </w:p>
    <w:p w14:paraId="401CF678" w14:textId="77777777" w:rsidR="00000000" w:rsidRPr="0060384B" w:rsidRDefault="00CA5F6F">
      <w:pPr>
        <w:numPr>
          <w:ilvl w:val="0"/>
          <w:numId w:val="11"/>
        </w:numPr>
        <w:tabs>
          <w:tab w:val="left" w:pos="540"/>
        </w:tabs>
        <w:spacing w:line="242" w:lineRule="auto"/>
        <w:ind w:left="540" w:right="20" w:hanging="360"/>
        <w:rPr>
          <w:rFonts w:ascii="Lato" w:hAnsi="Lato"/>
          <w:b/>
          <w:color w:val="000000" w:themeColor="text1"/>
          <w:sz w:val="24"/>
          <w:szCs w:val="24"/>
        </w:rPr>
      </w:pPr>
      <w:r w:rsidRPr="0060384B">
        <w:rPr>
          <w:rFonts w:ascii="Lato" w:hAnsi="Lato"/>
          <w:b/>
          <w:color w:val="000000" w:themeColor="text1"/>
          <w:sz w:val="24"/>
          <w:szCs w:val="24"/>
        </w:rPr>
        <w:t xml:space="preserve">Sedentary behavior linked to risk of dementia. </w:t>
      </w:r>
      <w:r w:rsidRPr="0060384B">
        <w:rPr>
          <w:rFonts w:ascii="Lato" w:hAnsi="Lato"/>
          <w:color w:val="000000" w:themeColor="text1"/>
          <w:sz w:val="24"/>
          <w:szCs w:val="24"/>
        </w:rPr>
        <w:t>A new</w:t>
      </w:r>
      <w:r w:rsidRPr="0060384B">
        <w:rPr>
          <w:rFonts w:ascii="Lato" w:hAnsi="Lato"/>
          <w:color w:val="000000" w:themeColor="text1"/>
          <w:sz w:val="24"/>
          <w:szCs w:val="24"/>
        </w:rPr>
        <w:t xml:space="preserve"> report </w:t>
      </w:r>
      <w:hyperlink r:id="rId46" w:history="1">
        <w:r w:rsidRPr="0060384B">
          <w:rPr>
            <w:rFonts w:ascii="Lato" w:hAnsi="Lato"/>
            <w:color w:val="000000" w:themeColor="text1"/>
            <w:sz w:val="24"/>
            <w:szCs w:val="24"/>
          </w:rPr>
          <w:t>(</w:t>
        </w:r>
        <w:r w:rsidRPr="0060384B">
          <w:rPr>
            <w:rFonts w:ascii="Lato" w:hAnsi="Lato"/>
            <w:color w:val="000000" w:themeColor="text1"/>
            <w:sz w:val="24"/>
            <w:szCs w:val="24"/>
          </w:rPr>
          <w:t>Palta et al., 2019</w:t>
        </w:r>
      </w:hyperlink>
      <w:r w:rsidRPr="0060384B">
        <w:rPr>
          <w:rFonts w:ascii="Lato" w:hAnsi="Lato"/>
          <w:color w:val="000000" w:themeColor="text1"/>
          <w:sz w:val="24"/>
          <w:szCs w:val="24"/>
        </w:rPr>
        <w:t>)</w:t>
      </w:r>
      <w:r w:rsidRPr="0060384B">
        <w:rPr>
          <w:rFonts w:ascii="Lato" w:hAnsi="Lato"/>
          <w:color w:val="000000" w:themeColor="text1"/>
          <w:sz w:val="24"/>
          <w:szCs w:val="24"/>
        </w:rPr>
        <w:t xml:space="preserve"> </w:t>
      </w:r>
      <w:r w:rsidRPr="0060384B">
        <w:rPr>
          <w:rFonts w:ascii="Lato" w:hAnsi="Lato"/>
          <w:color w:val="000000" w:themeColor="text1"/>
          <w:sz w:val="24"/>
          <w:szCs w:val="24"/>
        </w:rPr>
        <w:t>of</w:t>
      </w:r>
      <w:r w:rsidRPr="0060384B">
        <w:rPr>
          <w:rFonts w:ascii="Lato" w:hAnsi="Lato"/>
          <w:color w:val="000000" w:themeColor="text1"/>
          <w:sz w:val="24"/>
          <w:szCs w:val="24"/>
        </w:rPr>
        <w:t xml:space="preserve"> </w:t>
      </w:r>
      <w:r w:rsidRPr="0060384B">
        <w:rPr>
          <w:rFonts w:ascii="Lato" w:hAnsi="Lato"/>
          <w:color w:val="000000" w:themeColor="text1"/>
          <w:sz w:val="24"/>
          <w:szCs w:val="24"/>
        </w:rPr>
        <w:t>findings from participants in the Atherosclerosis Risk in Communities study expands the view that sedentary behaviors in middle age may increase risk of dementia i</w:t>
      </w:r>
      <w:r w:rsidRPr="0060384B">
        <w:rPr>
          <w:rFonts w:ascii="Lato" w:hAnsi="Lato"/>
          <w:color w:val="000000" w:themeColor="text1"/>
          <w:sz w:val="24"/>
          <w:szCs w:val="24"/>
        </w:rPr>
        <w:t>n later life. Measuring midlife leisure-time physical activity and later-life cognitive decline and incident dementia among participants at specific points during the study</w:t>
      </w:r>
      <w:r w:rsidRPr="0060384B">
        <w:rPr>
          <w:rFonts w:ascii="Lato" w:hAnsi="Lato"/>
          <w:color w:val="000000" w:themeColor="text1"/>
          <w:sz w:val="24"/>
          <w:szCs w:val="24"/>
        </w:rPr>
        <w:t>’s median 17-year follow-up period, researchers found that groups with either mid or</w:t>
      </w:r>
      <w:r w:rsidRPr="0060384B">
        <w:rPr>
          <w:rFonts w:ascii="Lato" w:hAnsi="Lato"/>
          <w:color w:val="000000" w:themeColor="text1"/>
          <w:sz w:val="24"/>
          <w:szCs w:val="24"/>
        </w:rPr>
        <w:t xml:space="preserve"> high levels of physical activity had significantly lower rates of incident dementia when compared with those reporting no physical activity in midlife. Moreover, those in the no-activity group had a more rapid rate of decline in general cognitive ability </w:t>
      </w:r>
      <w:r w:rsidRPr="0060384B">
        <w:rPr>
          <w:rFonts w:ascii="Lato" w:hAnsi="Lato"/>
          <w:color w:val="000000" w:themeColor="text1"/>
          <w:sz w:val="24"/>
          <w:szCs w:val="24"/>
        </w:rPr>
        <w:t>over 14 years compared with those reporting high levels of midlife physical activity. The strength of the relationship to cognitive decline increased when the analyses included sustained physical activity</w:t>
      </w:r>
      <w:r w:rsidRPr="0060384B">
        <w:rPr>
          <w:rFonts w:ascii="Lato" w:hAnsi="Lato"/>
          <w:color w:val="000000" w:themeColor="text1"/>
          <w:sz w:val="24"/>
          <w:szCs w:val="24"/>
        </w:rPr>
        <w:t>— meaning the participant reported the same level of</w:t>
      </w:r>
      <w:r w:rsidRPr="0060384B">
        <w:rPr>
          <w:rFonts w:ascii="Lato" w:hAnsi="Lato"/>
          <w:color w:val="000000" w:themeColor="text1"/>
          <w:sz w:val="24"/>
          <w:szCs w:val="24"/>
        </w:rPr>
        <w:t xml:space="preserve"> physical activity during both the baseline and succeeding visits.</w:t>
      </w:r>
    </w:p>
    <w:p w14:paraId="3228384E" w14:textId="77777777" w:rsidR="00000000" w:rsidRPr="0060384B" w:rsidRDefault="00CA5F6F">
      <w:pPr>
        <w:spacing w:line="245" w:lineRule="exact"/>
        <w:rPr>
          <w:rFonts w:ascii="Lato" w:eastAsia="Times New Roman" w:hAnsi="Lato"/>
          <w:color w:val="000000" w:themeColor="text1"/>
          <w:sz w:val="24"/>
          <w:szCs w:val="24"/>
        </w:rPr>
      </w:pPr>
    </w:p>
    <w:p w14:paraId="4C04D297"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What</w:t>
      </w:r>
      <w:r w:rsidRPr="0060384B">
        <w:rPr>
          <w:rFonts w:ascii="Lato" w:hAnsi="Lato"/>
          <w:b/>
          <w:color w:val="000000" w:themeColor="text1"/>
          <w:sz w:val="24"/>
          <w:szCs w:val="24"/>
        </w:rPr>
        <w:t>’s Behind Disparities in Rates of Dementia?</w:t>
      </w:r>
    </w:p>
    <w:p w14:paraId="700FC4EB" w14:textId="77777777" w:rsidR="00000000" w:rsidRPr="0060384B" w:rsidRDefault="00CA5F6F">
      <w:pPr>
        <w:spacing w:line="287" w:lineRule="exact"/>
        <w:rPr>
          <w:rFonts w:ascii="Lato" w:eastAsia="Times New Roman" w:hAnsi="Lato"/>
          <w:color w:val="000000" w:themeColor="text1"/>
          <w:sz w:val="24"/>
          <w:szCs w:val="24"/>
        </w:rPr>
      </w:pPr>
    </w:p>
    <w:p w14:paraId="280251F3" w14:textId="77777777" w:rsidR="00000000" w:rsidRPr="0060384B" w:rsidRDefault="00CA5F6F">
      <w:pPr>
        <w:spacing w:line="247" w:lineRule="auto"/>
        <w:ind w:right="140"/>
        <w:jc w:val="both"/>
        <w:rPr>
          <w:rFonts w:ascii="Lato" w:hAnsi="Lato"/>
          <w:color w:val="000000" w:themeColor="text1"/>
          <w:sz w:val="24"/>
          <w:szCs w:val="24"/>
        </w:rPr>
      </w:pPr>
      <w:r w:rsidRPr="0060384B">
        <w:rPr>
          <w:rFonts w:ascii="Lato" w:hAnsi="Lato"/>
          <w:color w:val="000000" w:themeColor="text1"/>
          <w:sz w:val="24"/>
          <w:szCs w:val="24"/>
        </w:rPr>
        <w:t>A number of NIH-supported studies have explored differences in dementia risk and prevalence in African Americans and other racial groups. T</w:t>
      </w:r>
      <w:r w:rsidRPr="0060384B">
        <w:rPr>
          <w:rFonts w:ascii="Lato" w:hAnsi="Lato"/>
          <w:color w:val="000000" w:themeColor="text1"/>
          <w:sz w:val="24"/>
          <w:szCs w:val="24"/>
        </w:rPr>
        <w:t>he results of these studies may lead to ways to reduce risk in populations in which Alzheimer</w:t>
      </w:r>
      <w:r w:rsidRPr="0060384B">
        <w:rPr>
          <w:rFonts w:ascii="Lato" w:hAnsi="Lato"/>
          <w:color w:val="000000" w:themeColor="text1"/>
          <w:sz w:val="24"/>
          <w:szCs w:val="24"/>
        </w:rPr>
        <w:t>’s has a disproportionate impact. Recent findings include:</w:t>
      </w:r>
    </w:p>
    <w:p w14:paraId="7C0EA460" w14:textId="77777777" w:rsidR="00000000" w:rsidRPr="0060384B" w:rsidRDefault="00CA5F6F">
      <w:pPr>
        <w:spacing w:line="243" w:lineRule="exact"/>
        <w:rPr>
          <w:rFonts w:ascii="Lato" w:eastAsia="Times New Roman" w:hAnsi="Lato"/>
          <w:color w:val="000000" w:themeColor="text1"/>
          <w:sz w:val="24"/>
          <w:szCs w:val="24"/>
        </w:rPr>
      </w:pPr>
    </w:p>
    <w:p w14:paraId="58C4F38E" w14:textId="77777777" w:rsidR="00000000" w:rsidRPr="0060384B" w:rsidRDefault="00CA5F6F">
      <w:pPr>
        <w:spacing w:line="244" w:lineRule="auto"/>
        <w:ind w:right="160"/>
        <w:rPr>
          <w:rFonts w:ascii="Lato" w:hAnsi="Lato"/>
          <w:color w:val="000000" w:themeColor="text1"/>
          <w:sz w:val="24"/>
          <w:szCs w:val="24"/>
        </w:rPr>
      </w:pPr>
      <w:r w:rsidRPr="0060384B">
        <w:rPr>
          <w:rFonts w:ascii="Lato" w:hAnsi="Lato"/>
          <w:b/>
          <w:color w:val="000000" w:themeColor="text1"/>
          <w:sz w:val="24"/>
          <w:szCs w:val="24"/>
        </w:rPr>
        <w:t xml:space="preserve">The role of early-life factors in dementia risk among African Americans. </w:t>
      </w:r>
      <w:r w:rsidRPr="0060384B">
        <w:rPr>
          <w:rFonts w:ascii="Lato" w:hAnsi="Lato"/>
          <w:color w:val="000000" w:themeColor="text1"/>
          <w:sz w:val="24"/>
          <w:szCs w:val="24"/>
        </w:rPr>
        <w:t>An NIH-funded</w:t>
      </w:r>
      <w:r w:rsidRPr="0060384B">
        <w:rPr>
          <w:rFonts w:ascii="Lato" w:hAnsi="Lato"/>
          <w:b/>
          <w:color w:val="000000" w:themeColor="text1"/>
          <w:sz w:val="24"/>
          <w:szCs w:val="24"/>
        </w:rPr>
        <w:t xml:space="preserve"> </w:t>
      </w:r>
      <w:r w:rsidRPr="0060384B">
        <w:rPr>
          <w:rFonts w:ascii="Lato" w:hAnsi="Lato"/>
          <w:color w:val="000000" w:themeColor="text1"/>
          <w:sz w:val="24"/>
          <w:szCs w:val="24"/>
        </w:rPr>
        <w:t>research team (</w:t>
      </w:r>
      <w:hyperlink r:id="rId47" w:history="1">
        <w:r w:rsidRPr="0060384B">
          <w:rPr>
            <w:rFonts w:ascii="Lato" w:hAnsi="Lato"/>
            <w:color w:val="000000" w:themeColor="text1"/>
            <w:sz w:val="24"/>
            <w:szCs w:val="24"/>
          </w:rPr>
          <w:t>Hendrie et al., 2018</w:t>
        </w:r>
      </w:hyperlink>
      <w:r w:rsidRPr="0060384B">
        <w:rPr>
          <w:rFonts w:ascii="Lato" w:hAnsi="Lato"/>
          <w:color w:val="000000" w:themeColor="text1"/>
          <w:sz w:val="24"/>
          <w:szCs w:val="24"/>
        </w:rPr>
        <w:t>) found links between early-life factors and differences in the incidence of dementia in two cohorts of African Americans living in Indianapolis. The study participants, age 70</w:t>
      </w:r>
      <w:r w:rsidRPr="0060384B">
        <w:rPr>
          <w:rFonts w:ascii="Lato" w:hAnsi="Lato"/>
          <w:color w:val="000000" w:themeColor="text1"/>
          <w:sz w:val="24"/>
          <w:szCs w:val="24"/>
        </w:rPr>
        <w:t xml:space="preserve"> years and older, were dementia -free when they enrolled in the study in 1992 and 2001 and were followed for 8 or 17 years, respectively, with cognitive evaluations done every 2 to 3 years. Both groups included many people who had grown up in the rural Sou</w:t>
      </w:r>
      <w:r w:rsidRPr="0060384B">
        <w:rPr>
          <w:rFonts w:ascii="Lato" w:hAnsi="Lato"/>
          <w:color w:val="000000" w:themeColor="text1"/>
          <w:sz w:val="24"/>
          <w:szCs w:val="24"/>
        </w:rPr>
        <w:t>th (primarily Kentucky and Tennessee) and then moved to Indianapolis later in life.</w:t>
      </w:r>
    </w:p>
    <w:p w14:paraId="16C07205" w14:textId="77777777" w:rsidR="00000000" w:rsidRPr="0060384B" w:rsidRDefault="00CA5F6F">
      <w:pPr>
        <w:spacing w:line="249" w:lineRule="exact"/>
        <w:rPr>
          <w:rFonts w:ascii="Lato" w:eastAsia="Times New Roman" w:hAnsi="Lato"/>
          <w:color w:val="000000" w:themeColor="text1"/>
          <w:sz w:val="24"/>
          <w:szCs w:val="24"/>
        </w:rPr>
      </w:pPr>
    </w:p>
    <w:p w14:paraId="6FE2DEB7" w14:textId="77777777" w:rsidR="00000000" w:rsidRPr="0060384B" w:rsidRDefault="00CA5F6F">
      <w:pPr>
        <w:spacing w:line="242" w:lineRule="auto"/>
        <w:ind w:right="260"/>
        <w:rPr>
          <w:rFonts w:ascii="Lato" w:hAnsi="Lato"/>
          <w:color w:val="000000" w:themeColor="text1"/>
          <w:sz w:val="24"/>
          <w:szCs w:val="24"/>
        </w:rPr>
      </w:pPr>
      <w:r w:rsidRPr="0060384B">
        <w:rPr>
          <w:rFonts w:ascii="Lato" w:hAnsi="Lato"/>
          <w:color w:val="000000" w:themeColor="text1"/>
          <w:sz w:val="24"/>
          <w:szCs w:val="24"/>
        </w:rPr>
        <w:t>Compared to the 1992 cohort, the 2001 cohort had a highly reduced incidence of both dementia and Alzheimer</w:t>
      </w:r>
      <w:r w:rsidRPr="0060384B">
        <w:rPr>
          <w:rFonts w:ascii="Lato" w:hAnsi="Lato"/>
          <w:color w:val="000000" w:themeColor="text1"/>
          <w:sz w:val="24"/>
          <w:szCs w:val="24"/>
        </w:rPr>
        <w:t>’s disease. The decreased risk of dementia was associated with in</w:t>
      </w:r>
      <w:r w:rsidRPr="0060384B">
        <w:rPr>
          <w:rFonts w:ascii="Lato" w:hAnsi="Lato"/>
          <w:color w:val="000000" w:themeColor="text1"/>
          <w:sz w:val="24"/>
          <w:szCs w:val="24"/>
        </w:rPr>
        <w:t>creased levels of education. However, the researchers found, there was a substantial interaction between education and childhood rural residence for risk of Alzheimer</w:t>
      </w:r>
      <w:r w:rsidRPr="0060384B">
        <w:rPr>
          <w:rFonts w:ascii="Lato" w:hAnsi="Lato"/>
          <w:color w:val="000000" w:themeColor="text1"/>
          <w:sz w:val="24"/>
          <w:szCs w:val="24"/>
        </w:rPr>
        <w:t xml:space="preserve">’s. Higher education level was significantly associated with reduced risk in participants </w:t>
      </w:r>
      <w:r w:rsidRPr="0060384B">
        <w:rPr>
          <w:rFonts w:ascii="Lato" w:hAnsi="Lato"/>
          <w:color w:val="000000" w:themeColor="text1"/>
          <w:sz w:val="24"/>
          <w:szCs w:val="24"/>
        </w:rPr>
        <w:t xml:space="preserve">with childhood rural residence, but there was no such link in those with an urban upbringing. These results underscore the importance of geographic variation in understanding dementia risk, in combination with other factors associated with geography, such </w:t>
      </w:r>
      <w:r w:rsidRPr="0060384B">
        <w:rPr>
          <w:rFonts w:ascii="Lato" w:hAnsi="Lato"/>
          <w:color w:val="000000" w:themeColor="text1"/>
          <w:sz w:val="24"/>
          <w:szCs w:val="24"/>
        </w:rPr>
        <w:t>as local economic conditions and resources. Furthermore, the research suggests, early-life context can affect later-life outcomes, even when individuals move elsewhere, highlighting the need for a life-course framework in studying contributions to dementia</w:t>
      </w:r>
      <w:r w:rsidRPr="0060384B">
        <w:rPr>
          <w:rFonts w:ascii="Lato" w:hAnsi="Lato"/>
          <w:color w:val="000000" w:themeColor="text1"/>
          <w:sz w:val="24"/>
          <w:szCs w:val="24"/>
        </w:rPr>
        <w:t>.</w:t>
      </w:r>
    </w:p>
    <w:p w14:paraId="6D86F575" w14:textId="77777777" w:rsidR="00000000" w:rsidRPr="0060384B" w:rsidRDefault="00CA5F6F">
      <w:pPr>
        <w:spacing w:line="242" w:lineRule="auto"/>
        <w:ind w:right="26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6D8387C1" w14:textId="77777777" w:rsidR="00000000" w:rsidRPr="0060384B" w:rsidRDefault="00CA5F6F">
      <w:pPr>
        <w:spacing w:line="200" w:lineRule="exact"/>
        <w:rPr>
          <w:rFonts w:ascii="Lato" w:eastAsia="Times New Roman" w:hAnsi="Lato"/>
          <w:color w:val="000000" w:themeColor="text1"/>
          <w:sz w:val="24"/>
          <w:szCs w:val="24"/>
        </w:rPr>
      </w:pPr>
    </w:p>
    <w:p w14:paraId="69FBF9DC" w14:textId="77777777" w:rsidR="00000000" w:rsidRPr="0060384B" w:rsidRDefault="00CA5F6F">
      <w:pPr>
        <w:spacing w:line="200" w:lineRule="exact"/>
        <w:rPr>
          <w:rFonts w:ascii="Lato" w:eastAsia="Times New Roman" w:hAnsi="Lato"/>
          <w:color w:val="000000" w:themeColor="text1"/>
          <w:sz w:val="24"/>
          <w:szCs w:val="24"/>
        </w:rPr>
      </w:pPr>
    </w:p>
    <w:p w14:paraId="02AD6BC8" w14:textId="77777777" w:rsidR="00000000" w:rsidRPr="0060384B" w:rsidRDefault="00CA5F6F">
      <w:pPr>
        <w:spacing w:line="200" w:lineRule="exact"/>
        <w:rPr>
          <w:rFonts w:ascii="Lato" w:eastAsia="Times New Roman" w:hAnsi="Lato"/>
          <w:color w:val="000000" w:themeColor="text1"/>
          <w:sz w:val="24"/>
          <w:szCs w:val="24"/>
        </w:rPr>
      </w:pPr>
    </w:p>
    <w:p w14:paraId="520C78A0" w14:textId="77777777" w:rsidR="00000000" w:rsidRPr="0060384B" w:rsidRDefault="00CA5F6F">
      <w:pPr>
        <w:spacing w:line="200" w:lineRule="exact"/>
        <w:rPr>
          <w:rFonts w:ascii="Lato" w:eastAsia="Times New Roman" w:hAnsi="Lato"/>
          <w:color w:val="000000" w:themeColor="text1"/>
          <w:sz w:val="24"/>
          <w:szCs w:val="24"/>
        </w:rPr>
      </w:pPr>
    </w:p>
    <w:p w14:paraId="437C68F8" w14:textId="77777777" w:rsidR="00000000" w:rsidRPr="0060384B" w:rsidRDefault="00CA5F6F">
      <w:pPr>
        <w:spacing w:line="351"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270DC3C0" w14:textId="77777777">
        <w:trPr>
          <w:trHeight w:val="245"/>
        </w:trPr>
        <w:tc>
          <w:tcPr>
            <w:tcW w:w="6540" w:type="dxa"/>
            <w:shd w:val="clear" w:color="auto" w:fill="auto"/>
            <w:vAlign w:val="bottom"/>
          </w:tcPr>
          <w:p w14:paraId="16D3D095"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56F5997A"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16</w:t>
            </w:r>
          </w:p>
        </w:tc>
      </w:tr>
      <w:tr w:rsidR="00000000" w:rsidRPr="0060384B" w14:paraId="5D697977" w14:textId="77777777">
        <w:trPr>
          <w:trHeight w:val="258"/>
        </w:trPr>
        <w:tc>
          <w:tcPr>
            <w:tcW w:w="6540" w:type="dxa"/>
            <w:shd w:val="clear" w:color="auto" w:fill="auto"/>
            <w:vAlign w:val="bottom"/>
          </w:tcPr>
          <w:p w14:paraId="561B5BD7"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729F1EB2" w14:textId="77777777" w:rsidR="00000000" w:rsidRPr="0060384B" w:rsidRDefault="00CA5F6F">
            <w:pPr>
              <w:spacing w:line="0" w:lineRule="atLeast"/>
              <w:rPr>
                <w:rFonts w:ascii="Lato" w:eastAsia="Times New Roman" w:hAnsi="Lato"/>
                <w:color w:val="000000" w:themeColor="text1"/>
                <w:sz w:val="24"/>
                <w:szCs w:val="24"/>
              </w:rPr>
            </w:pPr>
          </w:p>
        </w:tc>
      </w:tr>
    </w:tbl>
    <w:p w14:paraId="3265AC2A"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018A8A3F" w14:textId="77777777" w:rsidR="00000000" w:rsidRPr="0060384B" w:rsidRDefault="00CA5F6F">
      <w:pPr>
        <w:spacing w:line="243" w:lineRule="auto"/>
        <w:ind w:right="60"/>
        <w:rPr>
          <w:rFonts w:ascii="Lato" w:hAnsi="Lato"/>
          <w:color w:val="000000" w:themeColor="text1"/>
          <w:sz w:val="24"/>
          <w:szCs w:val="24"/>
        </w:rPr>
      </w:pPr>
      <w:bookmarkStart w:id="19" w:name="page20"/>
      <w:bookmarkEnd w:id="19"/>
      <w:r w:rsidRPr="0060384B">
        <w:rPr>
          <w:rFonts w:ascii="Lato" w:hAnsi="Lato"/>
          <w:b/>
          <w:color w:val="000000" w:themeColor="text1"/>
          <w:sz w:val="24"/>
          <w:szCs w:val="24"/>
        </w:rPr>
        <w:lastRenderedPageBreak/>
        <w:t xml:space="preserve">Urban, rural differences in dementia remain important. </w:t>
      </w:r>
      <w:r w:rsidRPr="0060384B">
        <w:rPr>
          <w:rFonts w:ascii="Lato" w:hAnsi="Lato"/>
          <w:color w:val="000000" w:themeColor="text1"/>
          <w:sz w:val="24"/>
          <w:szCs w:val="24"/>
        </w:rPr>
        <w:t>NIA-supported researchers (</w:t>
      </w:r>
      <w:hyperlink r:id="rId48" w:history="1">
        <w:r w:rsidRPr="0060384B">
          <w:rPr>
            <w:rFonts w:ascii="Lato" w:hAnsi="Lato"/>
            <w:color w:val="000000" w:themeColor="text1"/>
            <w:sz w:val="24"/>
            <w:szCs w:val="24"/>
          </w:rPr>
          <w:t>Weden et</w:t>
        </w:r>
      </w:hyperlink>
      <w:r w:rsidRPr="0060384B">
        <w:rPr>
          <w:rFonts w:ascii="Lato" w:hAnsi="Lato"/>
          <w:b/>
          <w:color w:val="000000" w:themeColor="text1"/>
          <w:sz w:val="24"/>
          <w:szCs w:val="24"/>
        </w:rPr>
        <w:t xml:space="preserve"> </w:t>
      </w:r>
      <w:hyperlink r:id="rId49" w:history="1">
        <w:r w:rsidRPr="0060384B">
          <w:rPr>
            <w:rFonts w:ascii="Lato" w:hAnsi="Lato"/>
            <w:color w:val="000000" w:themeColor="text1"/>
            <w:sz w:val="24"/>
            <w:szCs w:val="24"/>
          </w:rPr>
          <w:t>al., 2018</w:t>
        </w:r>
      </w:hyperlink>
      <w:r w:rsidRPr="0060384B">
        <w:rPr>
          <w:rFonts w:ascii="Lato" w:hAnsi="Lato"/>
          <w:color w:val="000000" w:themeColor="text1"/>
          <w:sz w:val="24"/>
          <w:szCs w:val="24"/>
        </w:rPr>
        <w:t>)</w:t>
      </w:r>
      <w:r w:rsidRPr="0060384B">
        <w:rPr>
          <w:rFonts w:ascii="Lato" w:hAnsi="Lato"/>
          <w:color w:val="000000" w:themeColor="text1"/>
          <w:sz w:val="24"/>
          <w:szCs w:val="24"/>
        </w:rPr>
        <w:t xml:space="preserve"> </w:t>
      </w:r>
      <w:r w:rsidRPr="0060384B">
        <w:rPr>
          <w:rFonts w:ascii="Lato" w:hAnsi="Lato"/>
          <w:color w:val="000000" w:themeColor="text1"/>
          <w:sz w:val="24"/>
          <w:szCs w:val="24"/>
        </w:rPr>
        <w:t>used the HRS to look at not only trends in the prevalence of cognitive impairment in</w:t>
      </w:r>
      <w:r w:rsidRPr="0060384B">
        <w:rPr>
          <w:rFonts w:ascii="Lato" w:hAnsi="Lato"/>
          <w:color w:val="000000" w:themeColor="text1"/>
          <w:sz w:val="24"/>
          <w:szCs w:val="24"/>
        </w:rPr>
        <w:t xml:space="preserve"> </w:t>
      </w:r>
      <w:r w:rsidRPr="0060384B">
        <w:rPr>
          <w:rFonts w:ascii="Lato" w:hAnsi="Lato"/>
          <w:color w:val="000000" w:themeColor="text1"/>
          <w:sz w:val="24"/>
          <w:szCs w:val="24"/>
        </w:rPr>
        <w:t>the United States, but also to more deeply assess disparities by geography, education, and race/ethnicity. Consistent wi</w:t>
      </w:r>
      <w:r w:rsidRPr="0060384B">
        <w:rPr>
          <w:rFonts w:ascii="Lato" w:hAnsi="Lato"/>
          <w:color w:val="000000" w:themeColor="text1"/>
          <w:sz w:val="24"/>
          <w:szCs w:val="24"/>
        </w:rPr>
        <w:t xml:space="preserve">th other recent studies, the researchers found that between 2000 and 2010, the rate of cognitive impairment in older adults declined. Additionally, the proportion of individuals with dementia and </w:t>
      </w:r>
      <w:r w:rsidRPr="0060384B">
        <w:rPr>
          <w:rFonts w:ascii="Lato" w:hAnsi="Lato"/>
          <w:color w:val="000000" w:themeColor="text1"/>
          <w:sz w:val="24"/>
          <w:szCs w:val="24"/>
        </w:rPr>
        <w:t>“cognitive impairment not dementia</w:t>
      </w:r>
      <w:r w:rsidRPr="0060384B">
        <w:rPr>
          <w:rFonts w:ascii="Lato" w:hAnsi="Lato"/>
          <w:color w:val="000000" w:themeColor="text1"/>
          <w:sz w:val="24"/>
          <w:szCs w:val="24"/>
        </w:rPr>
        <w:t>” was significantly higher</w:t>
      </w:r>
      <w:r w:rsidRPr="0060384B">
        <w:rPr>
          <w:rFonts w:ascii="Lato" w:hAnsi="Lato"/>
          <w:color w:val="000000" w:themeColor="text1"/>
          <w:sz w:val="24"/>
          <w:szCs w:val="24"/>
        </w:rPr>
        <w:t xml:space="preserve"> in rural areas than urban areas in 2000, but not significantly higher in 2010. They attributed the improvements to higher educational attainment in rural areas over that decade.</w:t>
      </w:r>
    </w:p>
    <w:p w14:paraId="3AE65533" w14:textId="77777777" w:rsidR="00000000" w:rsidRPr="0060384B" w:rsidRDefault="00CA5F6F">
      <w:pPr>
        <w:spacing w:line="249" w:lineRule="exact"/>
        <w:rPr>
          <w:rFonts w:ascii="Lato" w:eastAsia="Times New Roman" w:hAnsi="Lato"/>
          <w:color w:val="000000" w:themeColor="text1"/>
          <w:sz w:val="24"/>
          <w:szCs w:val="24"/>
        </w:rPr>
      </w:pPr>
    </w:p>
    <w:p w14:paraId="315F55DA" w14:textId="77777777" w:rsidR="00000000" w:rsidRPr="0060384B" w:rsidRDefault="00CA5F6F">
      <w:pPr>
        <w:spacing w:line="243" w:lineRule="auto"/>
        <w:ind w:right="220"/>
        <w:rPr>
          <w:rFonts w:ascii="Lato" w:hAnsi="Lato"/>
          <w:color w:val="000000" w:themeColor="text1"/>
          <w:sz w:val="24"/>
          <w:szCs w:val="24"/>
        </w:rPr>
      </w:pPr>
      <w:r w:rsidRPr="0060384B">
        <w:rPr>
          <w:rFonts w:ascii="Lato" w:hAnsi="Lato"/>
          <w:color w:val="000000" w:themeColor="text1"/>
          <w:sz w:val="24"/>
          <w:szCs w:val="24"/>
        </w:rPr>
        <w:t>Still, when the scientists took into account a range of sociodemographic cha</w:t>
      </w:r>
      <w:r w:rsidRPr="0060384B">
        <w:rPr>
          <w:rFonts w:ascii="Lato" w:hAnsi="Lato"/>
          <w:color w:val="000000" w:themeColor="text1"/>
          <w:sz w:val="24"/>
          <w:szCs w:val="24"/>
        </w:rPr>
        <w:t xml:space="preserve">racteristics and health conditions, they found that the relative risk of dementia was still higher in rural than urban areas by 60 percent in 2000 and 80 percent in 2010. For </w:t>
      </w:r>
      <w:r w:rsidRPr="0060384B">
        <w:rPr>
          <w:rFonts w:ascii="Lato" w:hAnsi="Lato"/>
          <w:color w:val="000000" w:themeColor="text1"/>
          <w:sz w:val="24"/>
          <w:szCs w:val="24"/>
        </w:rPr>
        <w:t>“cognitive impairment not dementia,</w:t>
      </w:r>
      <w:r w:rsidRPr="0060384B">
        <w:rPr>
          <w:rFonts w:ascii="Lato" w:hAnsi="Lato"/>
          <w:color w:val="000000" w:themeColor="text1"/>
          <w:sz w:val="24"/>
          <w:szCs w:val="24"/>
        </w:rPr>
        <w:t>” the relative risk was higher in rural than u</w:t>
      </w:r>
      <w:r w:rsidRPr="0060384B">
        <w:rPr>
          <w:rFonts w:ascii="Lato" w:hAnsi="Lato"/>
          <w:color w:val="000000" w:themeColor="text1"/>
          <w:sz w:val="24"/>
          <w:szCs w:val="24"/>
        </w:rPr>
        <w:t>rban areas by 44 percent in 2000 and 40 percent in 2010. The persistent disadvantages for rural older adults were particularly disproportionate for minorities, highlighting the importance of public health planning with attention to cognition of rapidly agi</w:t>
      </w:r>
      <w:r w:rsidRPr="0060384B">
        <w:rPr>
          <w:rFonts w:ascii="Lato" w:hAnsi="Lato"/>
          <w:color w:val="000000" w:themeColor="text1"/>
          <w:sz w:val="24"/>
          <w:szCs w:val="24"/>
        </w:rPr>
        <w:t>ng rural communities.</w:t>
      </w:r>
    </w:p>
    <w:p w14:paraId="316D66B6" w14:textId="77777777" w:rsidR="00000000" w:rsidRPr="0060384B" w:rsidRDefault="00CA5F6F">
      <w:pPr>
        <w:spacing w:line="251" w:lineRule="exact"/>
        <w:rPr>
          <w:rFonts w:ascii="Lato" w:eastAsia="Times New Roman" w:hAnsi="Lato"/>
          <w:color w:val="000000" w:themeColor="text1"/>
          <w:sz w:val="24"/>
          <w:szCs w:val="24"/>
        </w:rPr>
      </w:pPr>
    </w:p>
    <w:p w14:paraId="4D0A17C7" w14:textId="77777777" w:rsidR="00000000" w:rsidRPr="0060384B" w:rsidRDefault="00CA5F6F">
      <w:pPr>
        <w:spacing w:line="244" w:lineRule="auto"/>
        <w:ind w:right="60"/>
        <w:rPr>
          <w:rFonts w:ascii="Lato" w:hAnsi="Lato"/>
          <w:color w:val="000000" w:themeColor="text1"/>
          <w:sz w:val="24"/>
          <w:szCs w:val="24"/>
        </w:rPr>
      </w:pPr>
      <w:r w:rsidRPr="0060384B">
        <w:rPr>
          <w:rFonts w:ascii="Lato" w:hAnsi="Lato"/>
          <w:b/>
          <w:color w:val="000000" w:themeColor="text1"/>
          <w:sz w:val="24"/>
          <w:szCs w:val="24"/>
        </w:rPr>
        <w:t xml:space="preserve">Complex picture of APOE genetics across Latino populations. </w:t>
      </w:r>
      <w:r w:rsidRPr="0060384B">
        <w:rPr>
          <w:rFonts w:ascii="Lato" w:hAnsi="Lato"/>
          <w:color w:val="000000" w:themeColor="text1"/>
          <w:sz w:val="24"/>
          <w:szCs w:val="24"/>
        </w:rPr>
        <w:t>Latinos are the largest ethnic-</w:t>
      </w:r>
      <w:r w:rsidRPr="0060384B">
        <w:rPr>
          <w:rFonts w:ascii="Lato" w:hAnsi="Lato"/>
          <w:color w:val="000000" w:themeColor="text1"/>
          <w:sz w:val="24"/>
          <w:szCs w:val="24"/>
        </w:rPr>
        <w:t>racial minority in the United States, making up nearly 20 percent of the population. However, Latino genetic diversity has been understudied a</w:t>
      </w:r>
      <w:r w:rsidRPr="0060384B">
        <w:rPr>
          <w:rFonts w:ascii="Lato" w:hAnsi="Lato"/>
          <w:color w:val="000000" w:themeColor="text1"/>
          <w:sz w:val="24"/>
          <w:szCs w:val="24"/>
        </w:rPr>
        <w:t>nd consequently poorly understood, which has significant implications for understanding disease risk in nearly one-fifth of the U.S. population. Knowing the distribution of APOE genotypes, as well as other risk and protective variants, among this genetical</w:t>
      </w:r>
      <w:r w:rsidRPr="0060384B">
        <w:rPr>
          <w:rFonts w:ascii="Lato" w:hAnsi="Lato"/>
          <w:color w:val="000000" w:themeColor="text1"/>
          <w:sz w:val="24"/>
          <w:szCs w:val="24"/>
        </w:rPr>
        <w:t>ly heterogeneous group is important both for understanding the basic biology of Alzheimer</w:t>
      </w:r>
      <w:r w:rsidRPr="0060384B">
        <w:rPr>
          <w:rFonts w:ascii="Lato" w:hAnsi="Lato"/>
          <w:color w:val="000000" w:themeColor="text1"/>
          <w:sz w:val="24"/>
          <w:szCs w:val="24"/>
        </w:rPr>
        <w:t>’s disease and for public health planning.</w:t>
      </w:r>
    </w:p>
    <w:p w14:paraId="173F07F6" w14:textId="77777777" w:rsidR="00000000" w:rsidRPr="0060384B" w:rsidRDefault="00CA5F6F">
      <w:pPr>
        <w:spacing w:line="251" w:lineRule="exact"/>
        <w:rPr>
          <w:rFonts w:ascii="Lato" w:eastAsia="Times New Roman" w:hAnsi="Lato"/>
          <w:color w:val="000000" w:themeColor="text1"/>
          <w:sz w:val="24"/>
          <w:szCs w:val="24"/>
        </w:rPr>
      </w:pPr>
    </w:p>
    <w:p w14:paraId="68211399" w14:textId="77777777" w:rsidR="00000000" w:rsidRPr="0060384B" w:rsidRDefault="00CA5F6F">
      <w:pPr>
        <w:spacing w:line="241" w:lineRule="auto"/>
        <w:rPr>
          <w:rFonts w:ascii="Lato" w:hAnsi="Lato"/>
          <w:color w:val="000000" w:themeColor="text1"/>
          <w:sz w:val="24"/>
          <w:szCs w:val="24"/>
        </w:rPr>
      </w:pPr>
      <w:r w:rsidRPr="0060384B">
        <w:rPr>
          <w:rFonts w:ascii="Lato" w:hAnsi="Lato"/>
          <w:color w:val="000000" w:themeColor="text1"/>
          <w:sz w:val="24"/>
          <w:szCs w:val="24"/>
        </w:rPr>
        <w:t>An NIH-funded research team (</w:t>
      </w:r>
      <w:hyperlink r:id="rId50" w:history="1">
        <w:r w:rsidRPr="0060384B">
          <w:rPr>
            <w:rFonts w:ascii="Lato" w:hAnsi="Lato"/>
            <w:color w:val="000000" w:themeColor="text1"/>
            <w:sz w:val="24"/>
            <w:szCs w:val="24"/>
          </w:rPr>
          <w:t>González et al., 2018</w:t>
        </w:r>
      </w:hyperlink>
      <w:r w:rsidRPr="0060384B">
        <w:rPr>
          <w:rFonts w:ascii="Lato" w:hAnsi="Lato"/>
          <w:color w:val="000000" w:themeColor="text1"/>
          <w:sz w:val="24"/>
          <w:szCs w:val="24"/>
        </w:rPr>
        <w:t>) analyzed A</w:t>
      </w:r>
      <w:r w:rsidRPr="0060384B">
        <w:rPr>
          <w:rFonts w:ascii="Lato" w:hAnsi="Lato"/>
          <w:color w:val="000000" w:themeColor="text1"/>
          <w:sz w:val="24"/>
          <w:szCs w:val="24"/>
        </w:rPr>
        <w:t xml:space="preserve">POE genotypes for 10,887 Latino adults of diverse and well-defined ancestral backgrounds, focusing on four major U.S. metropolitan areas: New York (the Bronx), Chicago, Miami, and San Diego. The APOE </w:t>
      </w:r>
      <w:r w:rsidRPr="0060384B">
        <w:rPr>
          <w:rFonts w:cs="Calibri"/>
          <w:color w:val="000000" w:themeColor="text1"/>
          <w:sz w:val="24"/>
          <w:szCs w:val="24"/>
        </w:rPr>
        <w:t>ε</w:t>
      </w:r>
      <w:r w:rsidRPr="0060384B">
        <w:rPr>
          <w:rFonts w:ascii="Lato" w:hAnsi="Lato"/>
          <w:color w:val="000000" w:themeColor="text1"/>
          <w:sz w:val="24"/>
          <w:szCs w:val="24"/>
        </w:rPr>
        <w:t>4 allele, a form of the APOE gene linked to increased r</w:t>
      </w:r>
      <w:r w:rsidRPr="0060384B">
        <w:rPr>
          <w:rFonts w:ascii="Lato" w:hAnsi="Lato"/>
          <w:color w:val="000000" w:themeColor="text1"/>
          <w:sz w:val="24"/>
          <w:szCs w:val="24"/>
        </w:rPr>
        <w:t>isk of Alzheimer</w:t>
      </w:r>
      <w:r w:rsidRPr="0060384B">
        <w:rPr>
          <w:rFonts w:ascii="Lato" w:hAnsi="Lato"/>
          <w:color w:val="000000" w:themeColor="text1"/>
          <w:sz w:val="24"/>
          <w:szCs w:val="24"/>
        </w:rPr>
        <w:t xml:space="preserve">’s disease, was most frequent among people of Dominican descent (17.4 percent) and lowest among Latinos of Mainland descent (Central Americans, South Americans, and Mexicans; about 11 percent allele frequency). The APOE </w:t>
      </w:r>
      <w:r w:rsidRPr="0060384B">
        <w:rPr>
          <w:rFonts w:cs="Calibri"/>
          <w:color w:val="000000" w:themeColor="text1"/>
          <w:sz w:val="24"/>
          <w:szCs w:val="24"/>
        </w:rPr>
        <w:t>ε</w:t>
      </w:r>
      <w:r w:rsidRPr="0060384B">
        <w:rPr>
          <w:rFonts w:ascii="Lato" w:hAnsi="Lato"/>
          <w:color w:val="000000" w:themeColor="text1"/>
          <w:sz w:val="24"/>
          <w:szCs w:val="24"/>
        </w:rPr>
        <w:t>2 allele, which off</w:t>
      </w:r>
      <w:r w:rsidRPr="0060384B">
        <w:rPr>
          <w:rFonts w:ascii="Lato" w:hAnsi="Lato"/>
          <w:color w:val="000000" w:themeColor="text1"/>
          <w:sz w:val="24"/>
          <w:szCs w:val="24"/>
        </w:rPr>
        <w:t>ers protection against Alzheimer</w:t>
      </w:r>
      <w:r w:rsidRPr="0060384B">
        <w:rPr>
          <w:rFonts w:ascii="Lato" w:hAnsi="Lato"/>
          <w:color w:val="000000" w:themeColor="text1"/>
          <w:sz w:val="24"/>
          <w:szCs w:val="24"/>
        </w:rPr>
        <w:t>’s disease, was least frequent among Mainland Latinos (2.9 to 3.9 percent) but twice as high among Latinos of Caribbean descent (Cubans and Dominicans, 6.5 to 8.6 percent). The distribution of APOE genotypes seen across thes</w:t>
      </w:r>
      <w:r w:rsidRPr="0060384B">
        <w:rPr>
          <w:rFonts w:ascii="Lato" w:hAnsi="Lato"/>
          <w:color w:val="000000" w:themeColor="text1"/>
          <w:sz w:val="24"/>
          <w:szCs w:val="24"/>
        </w:rPr>
        <w:t>e groups matched the groups</w:t>
      </w:r>
      <w:r w:rsidRPr="0060384B">
        <w:rPr>
          <w:rFonts w:ascii="Lato" w:hAnsi="Lato"/>
          <w:color w:val="000000" w:themeColor="text1"/>
          <w:sz w:val="24"/>
          <w:szCs w:val="24"/>
        </w:rPr>
        <w:t xml:space="preserve">’ known continental ancestry patterns. For example, people of Dominican background have more African ancestry and less Amerindian ancestry than those of Mainland Latino background. They also have higher APOE </w:t>
      </w:r>
      <w:r w:rsidRPr="0060384B">
        <w:rPr>
          <w:rFonts w:cs="Calibri"/>
          <w:color w:val="000000" w:themeColor="text1"/>
          <w:sz w:val="24"/>
          <w:szCs w:val="24"/>
        </w:rPr>
        <w:t>ε</w:t>
      </w:r>
      <w:r w:rsidRPr="0060384B">
        <w:rPr>
          <w:rFonts w:ascii="Lato" w:hAnsi="Lato"/>
          <w:color w:val="000000" w:themeColor="text1"/>
          <w:sz w:val="24"/>
          <w:szCs w:val="24"/>
        </w:rPr>
        <w:t xml:space="preserve">4 and APOE </w:t>
      </w:r>
      <w:r w:rsidRPr="0060384B">
        <w:rPr>
          <w:rFonts w:cs="Calibri"/>
          <w:color w:val="000000" w:themeColor="text1"/>
          <w:sz w:val="24"/>
          <w:szCs w:val="24"/>
        </w:rPr>
        <w:t>ε</w:t>
      </w:r>
      <w:r w:rsidRPr="0060384B">
        <w:rPr>
          <w:rFonts w:ascii="Lato" w:hAnsi="Lato"/>
          <w:color w:val="000000" w:themeColor="text1"/>
          <w:sz w:val="24"/>
          <w:szCs w:val="24"/>
        </w:rPr>
        <w:t>2 freque</w:t>
      </w:r>
      <w:r w:rsidRPr="0060384B">
        <w:rPr>
          <w:rFonts w:ascii="Lato" w:hAnsi="Lato"/>
          <w:color w:val="000000" w:themeColor="text1"/>
          <w:sz w:val="24"/>
          <w:szCs w:val="24"/>
        </w:rPr>
        <w:t>ncies, consistent with the relative distributions of those alleles among their ancestral</w:t>
      </w:r>
      <w:r w:rsidRPr="0060384B">
        <w:rPr>
          <w:rFonts w:ascii="Lato" w:hAnsi="Lato"/>
          <w:color w:val="000000" w:themeColor="text1"/>
          <w:sz w:val="24"/>
          <w:szCs w:val="24"/>
        </w:rPr>
        <w:t xml:space="preserve"> </w:t>
      </w:r>
      <w:r w:rsidRPr="0060384B">
        <w:rPr>
          <w:rFonts w:ascii="Lato" w:hAnsi="Lato"/>
          <w:color w:val="000000" w:themeColor="text1"/>
          <w:sz w:val="24"/>
          <w:szCs w:val="24"/>
        </w:rPr>
        <w:t>populations.</w:t>
      </w:r>
    </w:p>
    <w:p w14:paraId="57F9CD5E" w14:textId="77777777" w:rsidR="00000000" w:rsidRPr="0060384B" w:rsidRDefault="00CA5F6F">
      <w:pPr>
        <w:spacing w:line="254" w:lineRule="exact"/>
        <w:rPr>
          <w:rFonts w:ascii="Lato" w:eastAsia="Times New Roman" w:hAnsi="Lato"/>
          <w:color w:val="000000" w:themeColor="text1"/>
          <w:sz w:val="24"/>
          <w:szCs w:val="24"/>
        </w:rPr>
      </w:pPr>
    </w:p>
    <w:p w14:paraId="2548617F"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Collecting, Storing, Distributing, and Analyzing Genetic Data</w:t>
      </w:r>
    </w:p>
    <w:p w14:paraId="64D11083" w14:textId="77777777" w:rsidR="00000000" w:rsidRPr="0060384B" w:rsidRDefault="00CA5F6F">
      <w:pPr>
        <w:spacing w:line="287" w:lineRule="exact"/>
        <w:rPr>
          <w:rFonts w:ascii="Lato" w:eastAsia="Times New Roman" w:hAnsi="Lato"/>
          <w:color w:val="000000" w:themeColor="text1"/>
          <w:sz w:val="24"/>
          <w:szCs w:val="24"/>
        </w:rPr>
      </w:pPr>
    </w:p>
    <w:p w14:paraId="43736774" w14:textId="77777777" w:rsidR="00000000" w:rsidRPr="0060384B" w:rsidRDefault="00CA5F6F">
      <w:pPr>
        <w:spacing w:line="251" w:lineRule="auto"/>
        <w:ind w:right="20"/>
        <w:jc w:val="both"/>
        <w:rPr>
          <w:rFonts w:ascii="Lato" w:hAnsi="Lato"/>
          <w:color w:val="000000" w:themeColor="text1"/>
          <w:sz w:val="24"/>
          <w:szCs w:val="24"/>
        </w:rPr>
      </w:pPr>
      <w:r w:rsidRPr="0060384B">
        <w:rPr>
          <w:rFonts w:ascii="Lato" w:hAnsi="Lato"/>
          <w:color w:val="000000" w:themeColor="text1"/>
          <w:sz w:val="24"/>
          <w:szCs w:val="24"/>
        </w:rPr>
        <w:t xml:space="preserve">Until 2009, only one genetic variant, APOE </w:t>
      </w:r>
      <w:r w:rsidRPr="0060384B">
        <w:rPr>
          <w:rFonts w:ascii="Arial" w:hAnsi="Arial"/>
          <w:color w:val="000000" w:themeColor="text1"/>
          <w:sz w:val="24"/>
          <w:szCs w:val="24"/>
        </w:rPr>
        <w:t>ɛ</w:t>
      </w:r>
      <w:r w:rsidRPr="0060384B">
        <w:rPr>
          <w:rFonts w:ascii="Lato" w:hAnsi="Lato"/>
          <w:color w:val="000000" w:themeColor="text1"/>
          <w:sz w:val="24"/>
          <w:szCs w:val="24"/>
        </w:rPr>
        <w:t>4, had been shown to increase the risk of late</w:t>
      </w:r>
      <w:r w:rsidRPr="0060384B">
        <w:rPr>
          <w:rFonts w:ascii="Lato" w:hAnsi="Lato"/>
          <w:color w:val="000000" w:themeColor="text1"/>
          <w:sz w:val="24"/>
          <w:szCs w:val="24"/>
        </w:rPr>
        <w:t>-onset Alzheimer</w:t>
      </w:r>
      <w:r w:rsidRPr="0060384B">
        <w:rPr>
          <w:rFonts w:ascii="Lato" w:hAnsi="Lato"/>
          <w:color w:val="000000" w:themeColor="text1"/>
          <w:sz w:val="24"/>
          <w:szCs w:val="24"/>
        </w:rPr>
        <w:t>’s, the most common form of the disease. However, with the advent of genome-wide association studies (GWAS) and other high-throughput technologies, the list of known genetic</w:t>
      </w:r>
    </w:p>
    <w:p w14:paraId="3D549C44" w14:textId="77777777" w:rsidR="00000000" w:rsidRPr="0060384B" w:rsidRDefault="00CA5F6F">
      <w:pPr>
        <w:spacing w:line="251" w:lineRule="auto"/>
        <w:ind w:right="20"/>
        <w:jc w:val="both"/>
        <w:rPr>
          <w:rFonts w:ascii="Lato" w:hAnsi="Lato"/>
          <w:color w:val="000000" w:themeColor="text1"/>
          <w:sz w:val="24"/>
          <w:szCs w:val="24"/>
        </w:rPr>
        <w:sectPr w:rsidR="00000000" w:rsidRPr="0060384B">
          <w:pgSz w:w="12240" w:h="15840"/>
          <w:pgMar w:top="1130" w:right="1440" w:bottom="0" w:left="1440" w:header="0" w:footer="0" w:gutter="0"/>
          <w:cols w:space="0" w:equalWidth="0">
            <w:col w:w="9360"/>
          </w:cols>
          <w:docGrid w:linePitch="360"/>
        </w:sectPr>
      </w:pPr>
    </w:p>
    <w:p w14:paraId="71FBAF59" w14:textId="77777777" w:rsidR="00000000" w:rsidRPr="0060384B" w:rsidRDefault="00CA5F6F">
      <w:pPr>
        <w:spacing w:line="272"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72AD1097" w14:textId="77777777">
        <w:trPr>
          <w:trHeight w:val="245"/>
        </w:trPr>
        <w:tc>
          <w:tcPr>
            <w:tcW w:w="6540" w:type="dxa"/>
            <w:shd w:val="clear" w:color="auto" w:fill="auto"/>
            <w:vAlign w:val="bottom"/>
          </w:tcPr>
          <w:p w14:paraId="5F82D095"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TOGETHER WE SUCCEED</w:t>
            </w:r>
          </w:p>
        </w:tc>
        <w:tc>
          <w:tcPr>
            <w:tcW w:w="2820" w:type="dxa"/>
            <w:shd w:val="clear" w:color="auto" w:fill="auto"/>
            <w:vAlign w:val="bottom"/>
          </w:tcPr>
          <w:p w14:paraId="3888C9A8"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17</w:t>
            </w:r>
          </w:p>
        </w:tc>
      </w:tr>
      <w:tr w:rsidR="00000000" w:rsidRPr="0060384B" w14:paraId="516C4BAD" w14:textId="77777777">
        <w:trPr>
          <w:trHeight w:val="258"/>
        </w:trPr>
        <w:tc>
          <w:tcPr>
            <w:tcW w:w="6540" w:type="dxa"/>
            <w:shd w:val="clear" w:color="auto" w:fill="auto"/>
            <w:vAlign w:val="bottom"/>
          </w:tcPr>
          <w:p w14:paraId="74625388"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w:t>
            </w:r>
            <w:r w:rsidRPr="0060384B">
              <w:rPr>
                <w:rFonts w:ascii="Lato" w:hAnsi="Lato"/>
                <w:color w:val="000000" w:themeColor="text1"/>
                <w:sz w:val="24"/>
                <w:szCs w:val="24"/>
              </w:rPr>
              <w:t>ar 2021</w:t>
            </w:r>
          </w:p>
        </w:tc>
        <w:tc>
          <w:tcPr>
            <w:tcW w:w="2820" w:type="dxa"/>
            <w:shd w:val="clear" w:color="auto" w:fill="auto"/>
            <w:vAlign w:val="bottom"/>
          </w:tcPr>
          <w:p w14:paraId="7B2B9126" w14:textId="77777777" w:rsidR="00000000" w:rsidRPr="0060384B" w:rsidRDefault="00CA5F6F">
            <w:pPr>
              <w:spacing w:line="0" w:lineRule="atLeast"/>
              <w:rPr>
                <w:rFonts w:ascii="Lato" w:eastAsia="Times New Roman" w:hAnsi="Lato"/>
                <w:color w:val="000000" w:themeColor="text1"/>
                <w:sz w:val="24"/>
                <w:szCs w:val="24"/>
              </w:rPr>
            </w:pPr>
          </w:p>
        </w:tc>
      </w:tr>
    </w:tbl>
    <w:p w14:paraId="42A002D7"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0" w:right="1440" w:bottom="0" w:left="1440" w:header="0" w:footer="0" w:gutter="0"/>
          <w:cols w:space="0" w:equalWidth="0">
            <w:col w:w="9360"/>
          </w:cols>
          <w:docGrid w:linePitch="360"/>
        </w:sectPr>
      </w:pPr>
    </w:p>
    <w:p w14:paraId="0F99C787" w14:textId="77777777" w:rsidR="00000000" w:rsidRPr="0060384B" w:rsidRDefault="00CA5F6F">
      <w:pPr>
        <w:spacing w:line="242" w:lineRule="auto"/>
        <w:ind w:right="80"/>
        <w:rPr>
          <w:rFonts w:ascii="Lato" w:hAnsi="Lato"/>
          <w:color w:val="000000" w:themeColor="text1"/>
          <w:sz w:val="24"/>
          <w:szCs w:val="24"/>
        </w:rPr>
      </w:pPr>
      <w:bookmarkStart w:id="20" w:name="page21"/>
      <w:bookmarkEnd w:id="20"/>
      <w:r w:rsidRPr="0060384B">
        <w:rPr>
          <w:rFonts w:ascii="Lato" w:hAnsi="Lato"/>
          <w:color w:val="000000" w:themeColor="text1"/>
          <w:sz w:val="24"/>
          <w:szCs w:val="24"/>
        </w:rPr>
        <w:lastRenderedPageBreak/>
        <w:t xml:space="preserve">risk factors grew substantially over the next few years. By 2013, a large GWAS, conducted by the </w:t>
      </w:r>
      <w:hyperlink r:id="rId51" w:history="1">
        <w:r w:rsidRPr="0060384B">
          <w:rPr>
            <w:rFonts w:ascii="Lato" w:hAnsi="Lato"/>
            <w:color w:val="000000" w:themeColor="text1"/>
            <w:sz w:val="24"/>
            <w:szCs w:val="24"/>
          </w:rPr>
          <w:t>International Genomics of Alzheimer</w:t>
        </w:r>
        <w:r w:rsidRPr="0060384B">
          <w:rPr>
            <w:rFonts w:ascii="Lato" w:hAnsi="Lato"/>
            <w:color w:val="000000" w:themeColor="text1"/>
            <w:sz w:val="24"/>
            <w:szCs w:val="24"/>
          </w:rPr>
          <w:t>’s Project</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or IGAP, a colla</w:t>
      </w:r>
      <w:r w:rsidRPr="0060384B">
        <w:rPr>
          <w:rFonts w:ascii="Lato" w:hAnsi="Lato"/>
          <w:color w:val="000000" w:themeColor="text1"/>
          <w:sz w:val="24"/>
          <w:szCs w:val="24"/>
        </w:rPr>
        <w:t>borative, international study supported in part by NIH, had identified a total of 11 genetic variants that are associated with increased or decreased risk for late-onset Alzheimer</w:t>
      </w:r>
      <w:r w:rsidRPr="0060384B">
        <w:rPr>
          <w:rFonts w:ascii="Lato" w:hAnsi="Lato"/>
          <w:color w:val="000000" w:themeColor="text1"/>
          <w:sz w:val="24"/>
          <w:szCs w:val="24"/>
        </w:rPr>
        <w:t>’s disease. Today, there are more than 60 regions (loci) in the genome with v</w:t>
      </w:r>
      <w:r w:rsidRPr="0060384B">
        <w:rPr>
          <w:rFonts w:ascii="Lato" w:hAnsi="Lato"/>
          <w:color w:val="000000" w:themeColor="text1"/>
          <w:sz w:val="24"/>
          <w:szCs w:val="24"/>
        </w:rPr>
        <w:t>ariants that are associated with Alzheimer</w:t>
      </w:r>
      <w:r w:rsidRPr="0060384B">
        <w:rPr>
          <w:rFonts w:ascii="Lato" w:hAnsi="Lato"/>
          <w:color w:val="000000" w:themeColor="text1"/>
          <w:sz w:val="24"/>
          <w:szCs w:val="24"/>
        </w:rPr>
        <w:t>’s. This knowledge has strengthened evidence about the involvement of particular pathways in Alzheimer</w:t>
      </w:r>
      <w:r w:rsidRPr="0060384B">
        <w:rPr>
          <w:rFonts w:ascii="Lato" w:hAnsi="Lato"/>
          <w:color w:val="000000" w:themeColor="text1"/>
          <w:sz w:val="24"/>
          <w:szCs w:val="24"/>
        </w:rPr>
        <w:t>’s, such as inflammation, lipid metabolism, and amyloid deposition, and also points to entirely new molecular pa</w:t>
      </w:r>
      <w:r w:rsidRPr="0060384B">
        <w:rPr>
          <w:rFonts w:ascii="Lato" w:hAnsi="Lato"/>
          <w:color w:val="000000" w:themeColor="text1"/>
          <w:sz w:val="24"/>
          <w:szCs w:val="24"/>
        </w:rPr>
        <w:t>thways for us to explore. Additional analyses are needed to better understand the exact location of the variant relevant to the gene of interest.</w:t>
      </w:r>
    </w:p>
    <w:p w14:paraId="19883C38" w14:textId="77777777" w:rsidR="00000000" w:rsidRPr="0060384B" w:rsidRDefault="00CA5F6F">
      <w:pPr>
        <w:spacing w:line="257" w:lineRule="exact"/>
        <w:rPr>
          <w:rFonts w:ascii="Lato" w:eastAsia="Times New Roman" w:hAnsi="Lato"/>
          <w:color w:val="000000" w:themeColor="text1"/>
          <w:sz w:val="24"/>
          <w:szCs w:val="24"/>
        </w:rPr>
      </w:pPr>
    </w:p>
    <w:p w14:paraId="1A7AF056"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Through discovering these genes and other studies, we have learned that:</w:t>
      </w:r>
    </w:p>
    <w:p w14:paraId="7962CB5C" w14:textId="77777777" w:rsidR="00000000" w:rsidRPr="0060384B" w:rsidRDefault="00CA5F6F">
      <w:pPr>
        <w:spacing w:line="293" w:lineRule="exact"/>
        <w:rPr>
          <w:rFonts w:ascii="Lato" w:eastAsia="Times New Roman" w:hAnsi="Lato"/>
          <w:color w:val="000000" w:themeColor="text1"/>
          <w:sz w:val="24"/>
          <w:szCs w:val="24"/>
        </w:rPr>
      </w:pPr>
    </w:p>
    <w:p w14:paraId="5E208A7F" w14:textId="77777777" w:rsidR="00000000" w:rsidRPr="0060384B" w:rsidRDefault="00CA5F6F">
      <w:pPr>
        <w:numPr>
          <w:ilvl w:val="0"/>
          <w:numId w:val="12"/>
        </w:numPr>
        <w:tabs>
          <w:tab w:val="left" w:pos="540"/>
        </w:tabs>
        <w:spacing w:line="0" w:lineRule="atLeast"/>
        <w:ind w:left="540" w:hanging="360"/>
        <w:rPr>
          <w:rFonts w:ascii="Lato" w:eastAsia="Arial" w:hAnsi="Lato"/>
          <w:color w:val="000000" w:themeColor="text1"/>
          <w:sz w:val="24"/>
          <w:szCs w:val="24"/>
        </w:rPr>
      </w:pPr>
      <w:r w:rsidRPr="0060384B">
        <w:rPr>
          <w:rFonts w:ascii="Lato" w:hAnsi="Lato"/>
          <w:color w:val="000000" w:themeColor="text1"/>
          <w:sz w:val="24"/>
          <w:szCs w:val="24"/>
        </w:rPr>
        <w:t>Alzheimer</w:t>
      </w:r>
      <w:r w:rsidRPr="0060384B">
        <w:rPr>
          <w:rFonts w:ascii="Lato" w:hAnsi="Lato"/>
          <w:color w:val="000000" w:themeColor="text1"/>
          <w:sz w:val="24"/>
          <w:szCs w:val="24"/>
        </w:rPr>
        <w:t>’s is a highly heritable d</w:t>
      </w:r>
      <w:r w:rsidRPr="0060384B">
        <w:rPr>
          <w:rFonts w:ascii="Lato" w:hAnsi="Lato"/>
          <w:color w:val="000000" w:themeColor="text1"/>
          <w:sz w:val="24"/>
          <w:szCs w:val="24"/>
        </w:rPr>
        <w:t>isease.</w:t>
      </w:r>
    </w:p>
    <w:p w14:paraId="216E1091" w14:textId="77777777" w:rsidR="00000000" w:rsidRPr="0060384B" w:rsidRDefault="00CA5F6F">
      <w:pPr>
        <w:spacing w:line="11" w:lineRule="exact"/>
        <w:rPr>
          <w:rFonts w:ascii="Lato" w:eastAsia="Arial" w:hAnsi="Lato"/>
          <w:color w:val="000000" w:themeColor="text1"/>
          <w:sz w:val="24"/>
          <w:szCs w:val="24"/>
        </w:rPr>
      </w:pPr>
    </w:p>
    <w:p w14:paraId="167E49C5" w14:textId="77777777" w:rsidR="00000000" w:rsidRPr="0060384B" w:rsidRDefault="00CA5F6F">
      <w:pPr>
        <w:numPr>
          <w:ilvl w:val="0"/>
          <w:numId w:val="12"/>
        </w:numPr>
        <w:tabs>
          <w:tab w:val="left" w:pos="540"/>
        </w:tabs>
        <w:spacing w:line="245" w:lineRule="auto"/>
        <w:ind w:left="540" w:right="380" w:hanging="360"/>
        <w:rPr>
          <w:rFonts w:ascii="Lato" w:eastAsia="Arial" w:hAnsi="Lato"/>
          <w:color w:val="000000" w:themeColor="text1"/>
          <w:sz w:val="24"/>
          <w:szCs w:val="24"/>
        </w:rPr>
      </w:pPr>
      <w:r w:rsidRPr="0060384B">
        <w:rPr>
          <w:rFonts w:ascii="Lato" w:hAnsi="Lato"/>
          <w:color w:val="000000" w:themeColor="text1"/>
          <w:sz w:val="24"/>
          <w:szCs w:val="24"/>
        </w:rPr>
        <w:t>Early and late-onset Alzheimer</w:t>
      </w:r>
      <w:r w:rsidRPr="0060384B">
        <w:rPr>
          <w:rFonts w:ascii="Lato" w:hAnsi="Lato"/>
          <w:color w:val="000000" w:themeColor="text1"/>
          <w:sz w:val="24"/>
          <w:szCs w:val="24"/>
        </w:rPr>
        <w:t>’s are not separate entities, but instead are on a disease continuum.</w:t>
      </w:r>
    </w:p>
    <w:p w14:paraId="05E0BBCC" w14:textId="77777777" w:rsidR="00000000" w:rsidRPr="0060384B" w:rsidRDefault="00CA5F6F">
      <w:pPr>
        <w:spacing w:line="1" w:lineRule="exact"/>
        <w:rPr>
          <w:rFonts w:ascii="Lato" w:eastAsia="Arial" w:hAnsi="Lato"/>
          <w:color w:val="000000" w:themeColor="text1"/>
          <w:sz w:val="24"/>
          <w:szCs w:val="24"/>
        </w:rPr>
      </w:pPr>
    </w:p>
    <w:p w14:paraId="1991418D" w14:textId="77777777" w:rsidR="00000000" w:rsidRPr="0060384B" w:rsidRDefault="00CA5F6F">
      <w:pPr>
        <w:numPr>
          <w:ilvl w:val="0"/>
          <w:numId w:val="12"/>
        </w:numPr>
        <w:tabs>
          <w:tab w:val="left" w:pos="540"/>
        </w:tabs>
        <w:spacing w:line="0" w:lineRule="atLeast"/>
        <w:ind w:left="540" w:hanging="360"/>
        <w:rPr>
          <w:rFonts w:ascii="Lato" w:eastAsia="Arial" w:hAnsi="Lato"/>
          <w:color w:val="000000" w:themeColor="text1"/>
          <w:sz w:val="24"/>
          <w:szCs w:val="24"/>
        </w:rPr>
      </w:pPr>
      <w:r w:rsidRPr="0060384B">
        <w:rPr>
          <w:rFonts w:ascii="Lato" w:hAnsi="Lato"/>
          <w:color w:val="000000" w:themeColor="text1"/>
          <w:sz w:val="24"/>
          <w:szCs w:val="24"/>
        </w:rPr>
        <w:t>Many rare variants contribute to the etiology of the disease.</w:t>
      </w:r>
    </w:p>
    <w:p w14:paraId="748C79CA" w14:textId="77777777" w:rsidR="00000000" w:rsidRPr="0060384B" w:rsidRDefault="00CA5F6F">
      <w:pPr>
        <w:spacing w:line="11" w:lineRule="exact"/>
        <w:rPr>
          <w:rFonts w:ascii="Lato" w:eastAsia="Arial" w:hAnsi="Lato"/>
          <w:color w:val="000000" w:themeColor="text1"/>
          <w:sz w:val="24"/>
          <w:szCs w:val="24"/>
        </w:rPr>
      </w:pPr>
    </w:p>
    <w:p w14:paraId="4C2923BB" w14:textId="77777777" w:rsidR="00000000" w:rsidRPr="0060384B" w:rsidRDefault="00CA5F6F">
      <w:pPr>
        <w:numPr>
          <w:ilvl w:val="0"/>
          <w:numId w:val="12"/>
        </w:numPr>
        <w:tabs>
          <w:tab w:val="left" w:pos="540"/>
        </w:tabs>
        <w:spacing w:line="0" w:lineRule="atLeast"/>
        <w:ind w:left="540" w:hanging="360"/>
        <w:rPr>
          <w:rFonts w:ascii="Lato" w:eastAsia="Arial" w:hAnsi="Lato"/>
          <w:color w:val="000000" w:themeColor="text1"/>
          <w:sz w:val="24"/>
          <w:szCs w:val="24"/>
        </w:rPr>
      </w:pPr>
      <w:r w:rsidRPr="0060384B">
        <w:rPr>
          <w:rFonts w:ascii="Lato" w:hAnsi="Lato"/>
          <w:color w:val="000000" w:themeColor="text1"/>
          <w:sz w:val="24"/>
          <w:szCs w:val="24"/>
        </w:rPr>
        <w:t>Protective variants have been identified in at least three genes to date.</w:t>
      </w:r>
    </w:p>
    <w:p w14:paraId="614CA5C2" w14:textId="77777777" w:rsidR="00000000" w:rsidRPr="0060384B" w:rsidRDefault="00CA5F6F">
      <w:pPr>
        <w:spacing w:line="14" w:lineRule="exact"/>
        <w:rPr>
          <w:rFonts w:ascii="Lato" w:eastAsia="Arial" w:hAnsi="Lato"/>
          <w:color w:val="000000" w:themeColor="text1"/>
          <w:sz w:val="24"/>
          <w:szCs w:val="24"/>
        </w:rPr>
      </w:pPr>
    </w:p>
    <w:p w14:paraId="547FE1BC" w14:textId="77777777" w:rsidR="00000000" w:rsidRPr="0060384B" w:rsidRDefault="00CA5F6F">
      <w:pPr>
        <w:numPr>
          <w:ilvl w:val="0"/>
          <w:numId w:val="12"/>
        </w:numPr>
        <w:tabs>
          <w:tab w:val="left" w:pos="540"/>
        </w:tabs>
        <w:spacing w:line="243" w:lineRule="auto"/>
        <w:ind w:left="540" w:right="360" w:hanging="360"/>
        <w:rPr>
          <w:rFonts w:ascii="Lato" w:eastAsia="Arial" w:hAnsi="Lato"/>
          <w:color w:val="000000" w:themeColor="text1"/>
          <w:sz w:val="24"/>
          <w:szCs w:val="24"/>
        </w:rPr>
      </w:pPr>
      <w:r w:rsidRPr="0060384B">
        <w:rPr>
          <w:rFonts w:ascii="Lato" w:hAnsi="Lato"/>
          <w:color w:val="000000" w:themeColor="text1"/>
          <w:sz w:val="24"/>
          <w:szCs w:val="24"/>
        </w:rPr>
        <w:t>Advances</w:t>
      </w:r>
      <w:r w:rsidRPr="0060384B">
        <w:rPr>
          <w:rFonts w:ascii="Lato" w:hAnsi="Lato"/>
          <w:color w:val="000000" w:themeColor="text1"/>
          <w:sz w:val="24"/>
          <w:szCs w:val="24"/>
        </w:rPr>
        <w:t xml:space="preserve"> in understanding genetic characteristics, when analyzed with clinical and pathological information, have shown that Alzheimer</w:t>
      </w:r>
      <w:r w:rsidRPr="0060384B">
        <w:rPr>
          <w:rFonts w:ascii="Lato" w:hAnsi="Lato"/>
          <w:color w:val="000000" w:themeColor="text1"/>
          <w:sz w:val="24"/>
          <w:szCs w:val="24"/>
        </w:rPr>
        <w:t>’s is not a single entity, but rather has several different complex components.</w:t>
      </w:r>
    </w:p>
    <w:p w14:paraId="4903D678" w14:textId="77777777" w:rsidR="00000000" w:rsidRPr="0060384B" w:rsidRDefault="00CA5F6F">
      <w:pPr>
        <w:numPr>
          <w:ilvl w:val="0"/>
          <w:numId w:val="12"/>
        </w:numPr>
        <w:tabs>
          <w:tab w:val="left" w:pos="540"/>
        </w:tabs>
        <w:spacing w:line="242" w:lineRule="auto"/>
        <w:ind w:left="540" w:right="220" w:hanging="360"/>
        <w:rPr>
          <w:rFonts w:ascii="Lato" w:eastAsia="Arial" w:hAnsi="Lato"/>
          <w:color w:val="000000" w:themeColor="text1"/>
          <w:sz w:val="24"/>
          <w:szCs w:val="24"/>
        </w:rPr>
      </w:pPr>
      <w:r w:rsidRPr="0060384B">
        <w:rPr>
          <w:rFonts w:ascii="Lato" w:hAnsi="Lato"/>
          <w:color w:val="000000" w:themeColor="text1"/>
          <w:sz w:val="24"/>
          <w:szCs w:val="24"/>
        </w:rPr>
        <w:t>Variants across an individual</w:t>
      </w:r>
      <w:r w:rsidRPr="0060384B">
        <w:rPr>
          <w:rFonts w:ascii="Lato" w:hAnsi="Lato"/>
          <w:color w:val="000000" w:themeColor="text1"/>
          <w:sz w:val="24"/>
          <w:szCs w:val="24"/>
        </w:rPr>
        <w:t>’s genome are being u</w:t>
      </w:r>
      <w:r w:rsidRPr="0060384B">
        <w:rPr>
          <w:rFonts w:ascii="Lato" w:hAnsi="Lato"/>
          <w:color w:val="000000" w:themeColor="text1"/>
          <w:sz w:val="24"/>
          <w:szCs w:val="24"/>
        </w:rPr>
        <w:t>sed to calculate a polygenic risk score or genetic risk score that might be used to assess the risk that someone will develop Alzheimer</w:t>
      </w:r>
      <w:r w:rsidRPr="0060384B">
        <w:rPr>
          <w:rFonts w:ascii="Lato" w:hAnsi="Lato"/>
          <w:color w:val="000000" w:themeColor="text1"/>
          <w:sz w:val="24"/>
          <w:szCs w:val="24"/>
        </w:rPr>
        <w:t>’s over time, which is important both for clinical trials and eventual preventive interventions.</w:t>
      </w:r>
    </w:p>
    <w:p w14:paraId="33478606" w14:textId="77777777" w:rsidR="00000000" w:rsidRPr="0060384B" w:rsidRDefault="00CA5F6F">
      <w:pPr>
        <w:spacing w:line="3" w:lineRule="exact"/>
        <w:rPr>
          <w:rFonts w:ascii="Lato" w:eastAsia="Arial" w:hAnsi="Lato"/>
          <w:color w:val="000000" w:themeColor="text1"/>
          <w:sz w:val="24"/>
          <w:szCs w:val="24"/>
        </w:rPr>
      </w:pPr>
    </w:p>
    <w:p w14:paraId="59ED5225" w14:textId="77777777" w:rsidR="00000000" w:rsidRPr="0060384B" w:rsidRDefault="00CA5F6F">
      <w:pPr>
        <w:numPr>
          <w:ilvl w:val="0"/>
          <w:numId w:val="12"/>
        </w:numPr>
        <w:tabs>
          <w:tab w:val="left" w:pos="540"/>
        </w:tabs>
        <w:spacing w:line="245" w:lineRule="auto"/>
        <w:ind w:left="540" w:right="240" w:hanging="360"/>
        <w:rPr>
          <w:rFonts w:ascii="Lato" w:eastAsia="Arial" w:hAnsi="Lato"/>
          <w:color w:val="000000" w:themeColor="text1"/>
          <w:sz w:val="24"/>
          <w:szCs w:val="24"/>
        </w:rPr>
      </w:pPr>
      <w:r w:rsidRPr="0060384B">
        <w:rPr>
          <w:rFonts w:ascii="Lato" w:hAnsi="Lato"/>
          <w:color w:val="000000" w:themeColor="text1"/>
          <w:sz w:val="24"/>
          <w:szCs w:val="24"/>
        </w:rPr>
        <w:t>Clusters of genes in co</w:t>
      </w:r>
      <w:r w:rsidRPr="0060384B">
        <w:rPr>
          <w:rFonts w:ascii="Lato" w:hAnsi="Lato"/>
          <w:color w:val="000000" w:themeColor="text1"/>
          <w:sz w:val="24"/>
          <w:szCs w:val="24"/>
        </w:rPr>
        <w:t xml:space="preserve">mmon pathways with similar function contribute to risk. Genetic </w:t>
      </w:r>
      <w:r w:rsidRPr="0060384B">
        <w:rPr>
          <w:rFonts w:ascii="Lato" w:hAnsi="Lato"/>
          <w:color w:val="000000" w:themeColor="text1"/>
          <w:sz w:val="24"/>
          <w:szCs w:val="24"/>
        </w:rPr>
        <w:t>“hubs</w:t>
      </w:r>
      <w:r w:rsidRPr="0060384B">
        <w:rPr>
          <w:rFonts w:ascii="Lato" w:hAnsi="Lato"/>
          <w:color w:val="000000" w:themeColor="text1"/>
          <w:sz w:val="24"/>
          <w:szCs w:val="24"/>
        </w:rPr>
        <w:t>” have emerged that point toward common functions that are perturbed in Alzheimer</w:t>
      </w:r>
      <w:r w:rsidRPr="0060384B">
        <w:rPr>
          <w:rFonts w:ascii="Lato" w:hAnsi="Lato"/>
          <w:color w:val="000000" w:themeColor="text1"/>
          <w:sz w:val="24"/>
          <w:szCs w:val="24"/>
        </w:rPr>
        <w:t>’s. These include the well-known amyloid precursor processing (APP) pathway and the less understood geneti</w:t>
      </w:r>
      <w:r w:rsidRPr="0060384B">
        <w:rPr>
          <w:rFonts w:ascii="Lato" w:hAnsi="Lato"/>
          <w:color w:val="000000" w:themeColor="text1"/>
          <w:sz w:val="24"/>
          <w:szCs w:val="24"/>
        </w:rPr>
        <w:t>c and genomic events associated with cholesterol metabolism, neuroinflammation, cellular immunity, and endocytosis pathways.</w:t>
      </w:r>
    </w:p>
    <w:p w14:paraId="0075379A" w14:textId="77777777" w:rsidR="00000000" w:rsidRPr="0060384B" w:rsidRDefault="00CA5F6F">
      <w:pPr>
        <w:spacing w:line="249" w:lineRule="exact"/>
        <w:rPr>
          <w:rFonts w:ascii="Lato" w:eastAsia="Times New Roman" w:hAnsi="Lato"/>
          <w:color w:val="000000" w:themeColor="text1"/>
          <w:sz w:val="24"/>
          <w:szCs w:val="24"/>
        </w:rPr>
      </w:pPr>
    </w:p>
    <w:p w14:paraId="2BE2C079"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Two new reports show how the new genetics databases can bring new insights:</w:t>
      </w:r>
    </w:p>
    <w:p w14:paraId="34FEBE45" w14:textId="77777777" w:rsidR="00000000" w:rsidRPr="0060384B" w:rsidRDefault="00CA5F6F">
      <w:pPr>
        <w:spacing w:line="278" w:lineRule="exact"/>
        <w:rPr>
          <w:rFonts w:ascii="Lato" w:eastAsia="Times New Roman" w:hAnsi="Lato"/>
          <w:color w:val="000000" w:themeColor="text1"/>
          <w:sz w:val="24"/>
          <w:szCs w:val="24"/>
        </w:rPr>
      </w:pPr>
    </w:p>
    <w:p w14:paraId="2BD63A04" w14:textId="77777777" w:rsidR="00000000" w:rsidRPr="0060384B" w:rsidRDefault="00CA5F6F">
      <w:pPr>
        <w:spacing w:line="242" w:lineRule="auto"/>
        <w:ind w:right="40"/>
        <w:rPr>
          <w:rFonts w:ascii="Lato" w:hAnsi="Lato"/>
          <w:color w:val="000000" w:themeColor="text1"/>
          <w:sz w:val="24"/>
          <w:szCs w:val="24"/>
        </w:rPr>
      </w:pPr>
      <w:r w:rsidRPr="0060384B">
        <w:rPr>
          <w:rFonts w:ascii="Lato" w:hAnsi="Lato"/>
          <w:b/>
          <w:color w:val="000000" w:themeColor="text1"/>
          <w:sz w:val="24"/>
          <w:szCs w:val="24"/>
        </w:rPr>
        <w:t xml:space="preserve">Analyses of largest sample reveal new risk genes. </w:t>
      </w:r>
      <w:r w:rsidRPr="0060384B">
        <w:rPr>
          <w:rFonts w:ascii="Lato" w:hAnsi="Lato"/>
          <w:color w:val="000000" w:themeColor="text1"/>
          <w:sz w:val="24"/>
          <w:szCs w:val="24"/>
        </w:rPr>
        <w:t>A r</w:t>
      </w:r>
      <w:r w:rsidRPr="0060384B">
        <w:rPr>
          <w:rFonts w:ascii="Lato" w:hAnsi="Lato"/>
          <w:color w:val="000000" w:themeColor="text1"/>
          <w:sz w:val="24"/>
          <w:szCs w:val="24"/>
        </w:rPr>
        <w:t>ecent analysis of genetic data from more</w:t>
      </w:r>
      <w:r w:rsidRPr="0060384B">
        <w:rPr>
          <w:rFonts w:ascii="Lato" w:hAnsi="Lato"/>
          <w:b/>
          <w:color w:val="000000" w:themeColor="text1"/>
          <w:sz w:val="24"/>
          <w:szCs w:val="24"/>
        </w:rPr>
        <w:t xml:space="preserve"> </w:t>
      </w:r>
      <w:r w:rsidRPr="0060384B">
        <w:rPr>
          <w:rFonts w:ascii="Lato" w:hAnsi="Lato"/>
          <w:color w:val="000000" w:themeColor="text1"/>
          <w:sz w:val="24"/>
          <w:szCs w:val="24"/>
        </w:rPr>
        <w:t>than 94,000 individuals revealed five new risk-factor loci for Alzheimer</w:t>
      </w:r>
      <w:r w:rsidRPr="0060384B">
        <w:rPr>
          <w:rFonts w:ascii="Lato" w:hAnsi="Lato"/>
          <w:color w:val="000000" w:themeColor="text1"/>
          <w:sz w:val="24"/>
          <w:szCs w:val="24"/>
        </w:rPr>
        <w:t>’s disease and confirmed 20 known others. The international team of researchers from the IGAP group (</w:t>
      </w:r>
      <w:hyperlink r:id="rId52" w:history="1">
        <w:r w:rsidRPr="0060384B">
          <w:rPr>
            <w:rFonts w:ascii="Lato" w:hAnsi="Lato"/>
            <w:color w:val="000000" w:themeColor="text1"/>
            <w:sz w:val="24"/>
            <w:szCs w:val="24"/>
          </w:rPr>
          <w:t>Kunkle et al.,</w:t>
        </w:r>
      </w:hyperlink>
      <w:r w:rsidRPr="0060384B">
        <w:rPr>
          <w:rFonts w:ascii="Lato" w:hAnsi="Lato"/>
          <w:color w:val="000000" w:themeColor="text1"/>
          <w:sz w:val="24"/>
          <w:szCs w:val="24"/>
        </w:rPr>
        <w:t xml:space="preserve"> </w:t>
      </w:r>
      <w:hyperlink r:id="rId53" w:history="1">
        <w:r w:rsidRPr="0060384B">
          <w:rPr>
            <w:rFonts w:ascii="Lato" w:hAnsi="Lato"/>
            <w:color w:val="000000" w:themeColor="text1"/>
            <w:sz w:val="24"/>
            <w:szCs w:val="24"/>
          </w:rPr>
          <w:t>2019</w:t>
        </w:r>
      </w:hyperlink>
      <w:r w:rsidRPr="0060384B">
        <w:rPr>
          <w:rFonts w:ascii="Lato" w:hAnsi="Lato"/>
          <w:color w:val="000000" w:themeColor="text1"/>
          <w:sz w:val="24"/>
          <w:szCs w:val="24"/>
        </w:rPr>
        <w:t>)</w:t>
      </w:r>
      <w:r w:rsidRPr="0060384B">
        <w:rPr>
          <w:rFonts w:ascii="Lato" w:hAnsi="Lato"/>
          <w:color w:val="000000" w:themeColor="text1"/>
          <w:sz w:val="24"/>
          <w:szCs w:val="24"/>
        </w:rPr>
        <w:t xml:space="preserve"> </w:t>
      </w:r>
      <w:r w:rsidRPr="0060384B">
        <w:rPr>
          <w:rFonts w:ascii="Lato" w:hAnsi="Lato"/>
          <w:color w:val="000000" w:themeColor="text1"/>
          <w:sz w:val="24"/>
          <w:szCs w:val="24"/>
        </w:rPr>
        <w:t>also reported for the first time that mutations in genes specific to tau, a hallmark protein</w:t>
      </w:r>
      <w:r w:rsidRPr="0060384B">
        <w:rPr>
          <w:rFonts w:ascii="Lato" w:hAnsi="Lato"/>
          <w:color w:val="000000" w:themeColor="text1"/>
          <w:sz w:val="24"/>
          <w:szCs w:val="24"/>
        </w:rPr>
        <w:t xml:space="preserve"> </w:t>
      </w:r>
      <w:r w:rsidRPr="0060384B">
        <w:rPr>
          <w:rFonts w:ascii="Lato" w:hAnsi="Lato"/>
          <w:color w:val="000000" w:themeColor="text1"/>
          <w:sz w:val="24"/>
          <w:szCs w:val="24"/>
        </w:rPr>
        <w:t>of Alzheimer</w:t>
      </w:r>
      <w:r w:rsidRPr="0060384B">
        <w:rPr>
          <w:rFonts w:ascii="Lato" w:hAnsi="Lato"/>
          <w:color w:val="000000" w:themeColor="text1"/>
          <w:sz w:val="24"/>
          <w:szCs w:val="24"/>
        </w:rPr>
        <w:t>’s disease, may play an earlier role in the develo</w:t>
      </w:r>
      <w:r w:rsidRPr="0060384B">
        <w:rPr>
          <w:rFonts w:ascii="Lato" w:hAnsi="Lato"/>
          <w:color w:val="000000" w:themeColor="text1"/>
          <w:sz w:val="24"/>
          <w:szCs w:val="24"/>
        </w:rPr>
        <w:t>pment of the disease than originally thought. A genetic analysis to see which cellular pathways might be involved implicated the immune system, lipid metabolism, and APP metabolism. Mutations in the APP gene have been shown to be directly related to early-</w:t>
      </w:r>
      <w:r w:rsidRPr="0060384B">
        <w:rPr>
          <w:rFonts w:ascii="Lato" w:hAnsi="Lato"/>
          <w:color w:val="000000" w:themeColor="text1"/>
          <w:sz w:val="24"/>
          <w:szCs w:val="24"/>
        </w:rPr>
        <w:t>onset Alzheimer</w:t>
      </w:r>
      <w:r w:rsidRPr="0060384B">
        <w:rPr>
          <w:rFonts w:ascii="Lato" w:hAnsi="Lato"/>
          <w:color w:val="000000" w:themeColor="text1"/>
          <w:sz w:val="24"/>
          <w:szCs w:val="24"/>
        </w:rPr>
        <w:t>’s, and this study suggests that variants affecting APP and amyloid-beta protein processing may be associated with both autosomal dominant early-onset Alzheimer</w:t>
      </w:r>
      <w:r w:rsidRPr="0060384B">
        <w:rPr>
          <w:rFonts w:ascii="Lato" w:hAnsi="Lato"/>
          <w:color w:val="000000" w:themeColor="text1"/>
          <w:sz w:val="24"/>
          <w:szCs w:val="24"/>
        </w:rPr>
        <w:t>’s and with late-onset Alzheimer</w:t>
      </w:r>
      <w:r w:rsidRPr="0060384B">
        <w:rPr>
          <w:rFonts w:ascii="Lato" w:hAnsi="Lato"/>
          <w:color w:val="000000" w:themeColor="text1"/>
          <w:sz w:val="24"/>
          <w:szCs w:val="24"/>
        </w:rPr>
        <w:t>’s.</w:t>
      </w:r>
    </w:p>
    <w:p w14:paraId="547C7E96" w14:textId="77777777" w:rsidR="00000000" w:rsidRPr="0060384B" w:rsidRDefault="00CA5F6F">
      <w:pPr>
        <w:spacing w:line="258" w:lineRule="exact"/>
        <w:rPr>
          <w:rFonts w:ascii="Lato" w:eastAsia="Times New Roman" w:hAnsi="Lato"/>
          <w:color w:val="000000" w:themeColor="text1"/>
          <w:sz w:val="24"/>
          <w:szCs w:val="24"/>
        </w:rPr>
      </w:pPr>
    </w:p>
    <w:p w14:paraId="47111B7E" w14:textId="77777777" w:rsidR="00000000" w:rsidRPr="0060384B" w:rsidRDefault="00CA5F6F">
      <w:pPr>
        <w:spacing w:line="251" w:lineRule="auto"/>
        <w:ind w:right="80"/>
        <w:rPr>
          <w:rFonts w:ascii="Lato" w:hAnsi="Lato"/>
          <w:color w:val="000000" w:themeColor="text1"/>
          <w:sz w:val="24"/>
          <w:szCs w:val="24"/>
        </w:rPr>
      </w:pPr>
      <w:r w:rsidRPr="0060384B">
        <w:rPr>
          <w:rFonts w:ascii="Lato" w:hAnsi="Lato"/>
          <w:color w:val="000000" w:themeColor="text1"/>
          <w:sz w:val="24"/>
          <w:szCs w:val="24"/>
        </w:rPr>
        <w:t>These new findings support developing eviden</w:t>
      </w:r>
      <w:r w:rsidRPr="0060384B">
        <w:rPr>
          <w:rFonts w:ascii="Lato" w:hAnsi="Lato"/>
          <w:color w:val="000000" w:themeColor="text1"/>
          <w:sz w:val="24"/>
          <w:szCs w:val="24"/>
        </w:rPr>
        <w:t>ce that groups of genes associated with specific biological processes, such as cell trafficking, lipid transport, inflammation, and the immune response, may be genetic hubs important to the disease process. Once the functions of the five</w:t>
      </w:r>
    </w:p>
    <w:p w14:paraId="76588E95" w14:textId="77777777" w:rsidR="00000000" w:rsidRPr="0060384B" w:rsidRDefault="00CA5F6F">
      <w:pPr>
        <w:spacing w:line="251" w:lineRule="auto"/>
        <w:ind w:right="8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3E62D3DA" w14:textId="77777777" w:rsidR="00000000" w:rsidRPr="0060384B" w:rsidRDefault="00CA5F6F">
      <w:pPr>
        <w:spacing w:line="231"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0615A47A" w14:textId="77777777">
        <w:trPr>
          <w:trHeight w:val="245"/>
        </w:trPr>
        <w:tc>
          <w:tcPr>
            <w:tcW w:w="6540" w:type="dxa"/>
            <w:shd w:val="clear" w:color="auto" w:fill="auto"/>
            <w:vAlign w:val="bottom"/>
          </w:tcPr>
          <w:p w14:paraId="7066376C"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w:t>
            </w:r>
            <w:r w:rsidRPr="0060384B">
              <w:rPr>
                <w:rFonts w:ascii="Lato" w:hAnsi="Lato"/>
                <w:color w:val="000000" w:themeColor="text1"/>
                <w:sz w:val="24"/>
                <w:szCs w:val="24"/>
              </w:rPr>
              <w:t>EED</w:t>
            </w:r>
          </w:p>
        </w:tc>
        <w:tc>
          <w:tcPr>
            <w:tcW w:w="2820" w:type="dxa"/>
            <w:shd w:val="clear" w:color="auto" w:fill="auto"/>
            <w:vAlign w:val="bottom"/>
          </w:tcPr>
          <w:p w14:paraId="1C691349"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18</w:t>
            </w:r>
          </w:p>
        </w:tc>
      </w:tr>
      <w:tr w:rsidR="00000000" w:rsidRPr="0060384B" w14:paraId="2EB7AF86" w14:textId="77777777">
        <w:trPr>
          <w:trHeight w:val="258"/>
        </w:trPr>
        <w:tc>
          <w:tcPr>
            <w:tcW w:w="6540" w:type="dxa"/>
            <w:shd w:val="clear" w:color="auto" w:fill="auto"/>
            <w:vAlign w:val="bottom"/>
          </w:tcPr>
          <w:p w14:paraId="07537E57"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292294EA" w14:textId="77777777" w:rsidR="00000000" w:rsidRPr="0060384B" w:rsidRDefault="00CA5F6F">
            <w:pPr>
              <w:spacing w:line="0" w:lineRule="atLeast"/>
              <w:rPr>
                <w:rFonts w:ascii="Lato" w:eastAsia="Times New Roman" w:hAnsi="Lato"/>
                <w:color w:val="000000" w:themeColor="text1"/>
                <w:sz w:val="24"/>
                <w:szCs w:val="24"/>
              </w:rPr>
            </w:pPr>
          </w:p>
        </w:tc>
      </w:tr>
    </w:tbl>
    <w:p w14:paraId="57D56B57"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3183C345" w14:textId="77777777" w:rsidR="00000000" w:rsidRPr="0060384B" w:rsidRDefault="00CA5F6F">
      <w:pPr>
        <w:spacing w:line="243" w:lineRule="auto"/>
        <w:ind w:right="120"/>
        <w:rPr>
          <w:rFonts w:ascii="Lato" w:hAnsi="Lato"/>
          <w:color w:val="000000" w:themeColor="text1"/>
          <w:sz w:val="24"/>
          <w:szCs w:val="24"/>
        </w:rPr>
      </w:pPr>
      <w:bookmarkStart w:id="21" w:name="page22"/>
      <w:bookmarkEnd w:id="21"/>
      <w:r w:rsidRPr="0060384B">
        <w:rPr>
          <w:rFonts w:ascii="Lato" w:hAnsi="Lato"/>
          <w:color w:val="000000" w:themeColor="text1"/>
          <w:sz w:val="24"/>
          <w:szCs w:val="24"/>
        </w:rPr>
        <w:lastRenderedPageBreak/>
        <w:t>loci newly associated with Alzheimer</w:t>
      </w:r>
      <w:r w:rsidRPr="0060384B">
        <w:rPr>
          <w:rFonts w:ascii="Lato" w:hAnsi="Lato"/>
          <w:color w:val="000000" w:themeColor="text1"/>
          <w:sz w:val="24"/>
          <w:szCs w:val="24"/>
        </w:rPr>
        <w:t>’s</w:t>
      </w:r>
      <w:r w:rsidRPr="0060384B">
        <w:rPr>
          <w:rFonts w:ascii="Lato" w:hAnsi="Lato"/>
          <w:color w:val="000000" w:themeColor="text1"/>
          <w:sz w:val="24"/>
          <w:szCs w:val="24"/>
        </w:rPr>
        <w:t>—IQCK, ACE, ADAM10, ADAMTS1, and WWOX</w:t>
      </w:r>
      <w:r w:rsidRPr="0060384B">
        <w:rPr>
          <w:rFonts w:ascii="Lato" w:hAnsi="Lato"/>
          <w:color w:val="000000" w:themeColor="text1"/>
          <w:sz w:val="24"/>
          <w:szCs w:val="24"/>
        </w:rPr>
        <w:t>—are understood and examined in conjunction with the functions of the more than 60 loci in the genome that have variants a</w:t>
      </w:r>
      <w:r w:rsidRPr="0060384B">
        <w:rPr>
          <w:rFonts w:ascii="Lato" w:hAnsi="Lato"/>
          <w:color w:val="000000" w:themeColor="text1"/>
          <w:sz w:val="24"/>
          <w:szCs w:val="24"/>
        </w:rPr>
        <w:t>ssociated with the disease, researchers will be in a better position to identify where the genetic hubs of Alzheimer</w:t>
      </w:r>
      <w:r w:rsidRPr="0060384B">
        <w:rPr>
          <w:rFonts w:ascii="Lato" w:hAnsi="Lato"/>
          <w:color w:val="000000" w:themeColor="text1"/>
          <w:sz w:val="24"/>
          <w:szCs w:val="24"/>
        </w:rPr>
        <w:t>’s are clustering. Armed with these findings, they should be able to look more deeply into these genetic hubs to reveal disease mechanisms a</w:t>
      </w:r>
      <w:r w:rsidRPr="0060384B">
        <w:rPr>
          <w:rFonts w:ascii="Lato" w:hAnsi="Lato"/>
          <w:color w:val="000000" w:themeColor="text1"/>
          <w:sz w:val="24"/>
          <w:szCs w:val="24"/>
        </w:rPr>
        <w:t>nd potential drug targets. A key to these discoveries was the sample size, the largest to date for this kind of Alzheimer</w:t>
      </w:r>
      <w:r w:rsidRPr="0060384B">
        <w:rPr>
          <w:rFonts w:ascii="Lato" w:hAnsi="Lato"/>
          <w:color w:val="000000" w:themeColor="text1"/>
          <w:sz w:val="24"/>
          <w:szCs w:val="24"/>
        </w:rPr>
        <w:t>’s study. A large sample is especially important to find rare genes that might be involved with a disease.</w:t>
      </w:r>
    </w:p>
    <w:p w14:paraId="26E6FFAA" w14:textId="77777777" w:rsidR="00000000" w:rsidRPr="0060384B" w:rsidRDefault="00CA5F6F">
      <w:pPr>
        <w:spacing w:line="247" w:lineRule="exact"/>
        <w:rPr>
          <w:rFonts w:ascii="Lato" w:eastAsia="Times New Roman" w:hAnsi="Lato"/>
          <w:color w:val="000000" w:themeColor="text1"/>
          <w:sz w:val="24"/>
          <w:szCs w:val="24"/>
        </w:rPr>
      </w:pPr>
    </w:p>
    <w:p w14:paraId="06EAEF2F" w14:textId="77777777" w:rsidR="00000000" w:rsidRPr="0060384B" w:rsidRDefault="00CA5F6F">
      <w:pPr>
        <w:spacing w:line="0" w:lineRule="atLeast"/>
        <w:jc w:val="center"/>
        <w:rPr>
          <w:rFonts w:ascii="Lato" w:hAnsi="Lato"/>
          <w:b/>
          <w:color w:val="000000" w:themeColor="text1"/>
          <w:sz w:val="24"/>
          <w:szCs w:val="24"/>
        </w:rPr>
      </w:pPr>
      <w:r w:rsidRPr="0060384B">
        <w:rPr>
          <w:rFonts w:ascii="Lato" w:hAnsi="Lato"/>
          <w:b/>
          <w:color w:val="000000" w:themeColor="text1"/>
          <w:sz w:val="24"/>
          <w:szCs w:val="24"/>
        </w:rPr>
        <w:t>Genetic Regions of Interest</w:t>
      </w:r>
      <w:r w:rsidRPr="0060384B">
        <w:rPr>
          <w:rFonts w:ascii="Lato" w:hAnsi="Lato"/>
          <w:b/>
          <w:color w:val="000000" w:themeColor="text1"/>
          <w:sz w:val="24"/>
          <w:szCs w:val="24"/>
        </w:rPr>
        <w:t xml:space="preserve"> in Alzheimer</w:t>
      </w:r>
      <w:r w:rsidRPr="0060384B">
        <w:rPr>
          <w:rFonts w:ascii="Lato" w:hAnsi="Lato"/>
          <w:b/>
          <w:color w:val="000000" w:themeColor="text1"/>
          <w:sz w:val="24"/>
          <w:szCs w:val="24"/>
        </w:rPr>
        <w:t>’s Disease</w:t>
      </w:r>
    </w:p>
    <w:p w14:paraId="7DE68A0E" w14:textId="77777777" w:rsidR="00000000" w:rsidRPr="0060384B" w:rsidRDefault="00CA5F6F">
      <w:pPr>
        <w:spacing w:line="0" w:lineRule="atLeast"/>
        <w:jc w:val="center"/>
        <w:rPr>
          <w:rFonts w:ascii="Lato" w:hAnsi="Lato"/>
          <w:b/>
          <w:color w:val="000000" w:themeColor="text1"/>
          <w:sz w:val="24"/>
          <w:szCs w:val="24"/>
        </w:rPr>
      </w:pPr>
      <w:r w:rsidRPr="0060384B">
        <w:rPr>
          <w:rFonts w:ascii="Lato" w:hAnsi="Lato"/>
          <w:b/>
          <w:color w:val="000000" w:themeColor="text1"/>
          <w:sz w:val="24"/>
          <w:szCs w:val="24"/>
        </w:rPr>
        <w:t>Mechanisms of Action</w:t>
      </w:r>
    </w:p>
    <w:p w14:paraId="104B2CD5" w14:textId="4D18D294" w:rsidR="00000000" w:rsidRPr="0060384B" w:rsidRDefault="00FB45BD">
      <w:pPr>
        <w:spacing w:line="20" w:lineRule="exact"/>
        <w:rPr>
          <w:rFonts w:ascii="Lato" w:eastAsia="Times New Roman" w:hAnsi="Lato"/>
          <w:color w:val="000000" w:themeColor="text1"/>
          <w:sz w:val="24"/>
          <w:szCs w:val="24"/>
        </w:rPr>
      </w:pPr>
      <w:r w:rsidRPr="0060384B">
        <w:rPr>
          <w:rFonts w:ascii="Lato" w:hAnsi="Lato"/>
          <w:b/>
          <w:noProof/>
          <w:color w:val="000000" w:themeColor="text1"/>
          <w:sz w:val="24"/>
          <w:szCs w:val="24"/>
        </w:rPr>
        <w:drawing>
          <wp:anchor distT="0" distB="0" distL="114300" distR="114300" simplePos="0" relativeHeight="251654656" behindDoc="1" locked="0" layoutInCell="1" allowOverlap="1" wp14:anchorId="113A660B" wp14:editId="226BB421">
            <wp:simplePos x="0" y="0"/>
            <wp:positionH relativeFrom="column">
              <wp:posOffset>635</wp:posOffset>
            </wp:positionH>
            <wp:positionV relativeFrom="paragraph">
              <wp:posOffset>193040</wp:posOffset>
            </wp:positionV>
            <wp:extent cx="6116955" cy="3369310"/>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116955" cy="3369310"/>
                    </a:xfrm>
                    <a:prstGeom prst="rect">
                      <a:avLst/>
                    </a:prstGeom>
                    <a:noFill/>
                  </pic:spPr>
                </pic:pic>
              </a:graphicData>
            </a:graphic>
            <wp14:sizeRelH relativeFrom="page">
              <wp14:pctWidth>0</wp14:pctWidth>
            </wp14:sizeRelH>
            <wp14:sizeRelV relativeFrom="page">
              <wp14:pctHeight>0</wp14:pctHeight>
            </wp14:sizeRelV>
          </wp:anchor>
        </w:drawing>
      </w:r>
    </w:p>
    <w:p w14:paraId="2F0390AA" w14:textId="77777777" w:rsidR="00000000" w:rsidRPr="0060384B" w:rsidRDefault="00CA5F6F">
      <w:pPr>
        <w:spacing w:line="200" w:lineRule="exact"/>
        <w:rPr>
          <w:rFonts w:ascii="Lato" w:eastAsia="Times New Roman" w:hAnsi="Lato"/>
          <w:color w:val="000000" w:themeColor="text1"/>
          <w:sz w:val="24"/>
          <w:szCs w:val="24"/>
        </w:rPr>
      </w:pPr>
    </w:p>
    <w:p w14:paraId="36D1A6D2" w14:textId="77777777" w:rsidR="00000000" w:rsidRPr="0060384B" w:rsidRDefault="00CA5F6F">
      <w:pPr>
        <w:spacing w:line="200" w:lineRule="exact"/>
        <w:rPr>
          <w:rFonts w:ascii="Lato" w:eastAsia="Times New Roman" w:hAnsi="Lato"/>
          <w:color w:val="000000" w:themeColor="text1"/>
          <w:sz w:val="24"/>
          <w:szCs w:val="24"/>
        </w:rPr>
      </w:pPr>
    </w:p>
    <w:p w14:paraId="23F990B2" w14:textId="77777777" w:rsidR="00000000" w:rsidRPr="0060384B" w:rsidRDefault="00CA5F6F">
      <w:pPr>
        <w:spacing w:line="200" w:lineRule="exact"/>
        <w:rPr>
          <w:rFonts w:ascii="Lato" w:eastAsia="Times New Roman" w:hAnsi="Lato"/>
          <w:color w:val="000000" w:themeColor="text1"/>
          <w:sz w:val="24"/>
          <w:szCs w:val="24"/>
        </w:rPr>
      </w:pPr>
    </w:p>
    <w:p w14:paraId="3830BE4D" w14:textId="77777777" w:rsidR="00000000" w:rsidRPr="0060384B" w:rsidRDefault="00CA5F6F">
      <w:pPr>
        <w:spacing w:line="200" w:lineRule="exact"/>
        <w:rPr>
          <w:rFonts w:ascii="Lato" w:eastAsia="Times New Roman" w:hAnsi="Lato"/>
          <w:color w:val="000000" w:themeColor="text1"/>
          <w:sz w:val="24"/>
          <w:szCs w:val="24"/>
        </w:rPr>
      </w:pPr>
    </w:p>
    <w:p w14:paraId="41016E4F" w14:textId="77777777" w:rsidR="00000000" w:rsidRPr="0060384B" w:rsidRDefault="00CA5F6F">
      <w:pPr>
        <w:spacing w:line="200" w:lineRule="exact"/>
        <w:rPr>
          <w:rFonts w:ascii="Lato" w:eastAsia="Times New Roman" w:hAnsi="Lato"/>
          <w:color w:val="000000" w:themeColor="text1"/>
          <w:sz w:val="24"/>
          <w:szCs w:val="24"/>
        </w:rPr>
      </w:pPr>
    </w:p>
    <w:p w14:paraId="6EF19A79" w14:textId="77777777" w:rsidR="00000000" w:rsidRPr="0060384B" w:rsidRDefault="00CA5F6F">
      <w:pPr>
        <w:spacing w:line="200" w:lineRule="exact"/>
        <w:rPr>
          <w:rFonts w:ascii="Lato" w:eastAsia="Times New Roman" w:hAnsi="Lato"/>
          <w:color w:val="000000" w:themeColor="text1"/>
          <w:sz w:val="24"/>
          <w:szCs w:val="24"/>
        </w:rPr>
      </w:pPr>
    </w:p>
    <w:p w14:paraId="45C002A0" w14:textId="77777777" w:rsidR="00000000" w:rsidRPr="0060384B" w:rsidRDefault="00CA5F6F">
      <w:pPr>
        <w:spacing w:line="200" w:lineRule="exact"/>
        <w:rPr>
          <w:rFonts w:ascii="Lato" w:eastAsia="Times New Roman" w:hAnsi="Lato"/>
          <w:color w:val="000000" w:themeColor="text1"/>
          <w:sz w:val="24"/>
          <w:szCs w:val="24"/>
        </w:rPr>
      </w:pPr>
    </w:p>
    <w:p w14:paraId="723198E7" w14:textId="77777777" w:rsidR="00000000" w:rsidRPr="0060384B" w:rsidRDefault="00CA5F6F">
      <w:pPr>
        <w:spacing w:line="200" w:lineRule="exact"/>
        <w:rPr>
          <w:rFonts w:ascii="Lato" w:eastAsia="Times New Roman" w:hAnsi="Lato"/>
          <w:color w:val="000000" w:themeColor="text1"/>
          <w:sz w:val="24"/>
          <w:szCs w:val="24"/>
        </w:rPr>
      </w:pPr>
    </w:p>
    <w:p w14:paraId="73C3BB85" w14:textId="77777777" w:rsidR="00000000" w:rsidRPr="0060384B" w:rsidRDefault="00CA5F6F">
      <w:pPr>
        <w:spacing w:line="200" w:lineRule="exact"/>
        <w:rPr>
          <w:rFonts w:ascii="Lato" w:eastAsia="Times New Roman" w:hAnsi="Lato"/>
          <w:color w:val="000000" w:themeColor="text1"/>
          <w:sz w:val="24"/>
          <w:szCs w:val="24"/>
        </w:rPr>
      </w:pPr>
    </w:p>
    <w:p w14:paraId="36FDC2D8" w14:textId="77777777" w:rsidR="00000000" w:rsidRPr="0060384B" w:rsidRDefault="00CA5F6F">
      <w:pPr>
        <w:spacing w:line="200" w:lineRule="exact"/>
        <w:rPr>
          <w:rFonts w:ascii="Lato" w:eastAsia="Times New Roman" w:hAnsi="Lato"/>
          <w:color w:val="000000" w:themeColor="text1"/>
          <w:sz w:val="24"/>
          <w:szCs w:val="24"/>
        </w:rPr>
      </w:pPr>
    </w:p>
    <w:p w14:paraId="4028B71A" w14:textId="77777777" w:rsidR="00000000" w:rsidRPr="0060384B" w:rsidRDefault="00CA5F6F">
      <w:pPr>
        <w:spacing w:line="200" w:lineRule="exact"/>
        <w:rPr>
          <w:rFonts w:ascii="Lato" w:eastAsia="Times New Roman" w:hAnsi="Lato"/>
          <w:color w:val="000000" w:themeColor="text1"/>
          <w:sz w:val="24"/>
          <w:szCs w:val="24"/>
        </w:rPr>
      </w:pPr>
    </w:p>
    <w:p w14:paraId="75054A17" w14:textId="77777777" w:rsidR="00000000" w:rsidRPr="0060384B" w:rsidRDefault="00CA5F6F">
      <w:pPr>
        <w:spacing w:line="200" w:lineRule="exact"/>
        <w:rPr>
          <w:rFonts w:ascii="Lato" w:eastAsia="Times New Roman" w:hAnsi="Lato"/>
          <w:color w:val="000000" w:themeColor="text1"/>
          <w:sz w:val="24"/>
          <w:szCs w:val="24"/>
        </w:rPr>
      </w:pPr>
    </w:p>
    <w:p w14:paraId="66F858E7" w14:textId="77777777" w:rsidR="00000000" w:rsidRPr="0060384B" w:rsidRDefault="00CA5F6F">
      <w:pPr>
        <w:spacing w:line="200" w:lineRule="exact"/>
        <w:rPr>
          <w:rFonts w:ascii="Lato" w:eastAsia="Times New Roman" w:hAnsi="Lato"/>
          <w:color w:val="000000" w:themeColor="text1"/>
          <w:sz w:val="24"/>
          <w:szCs w:val="24"/>
        </w:rPr>
      </w:pPr>
    </w:p>
    <w:p w14:paraId="60777C32" w14:textId="77777777" w:rsidR="00000000" w:rsidRPr="0060384B" w:rsidRDefault="00CA5F6F">
      <w:pPr>
        <w:spacing w:line="200" w:lineRule="exact"/>
        <w:rPr>
          <w:rFonts w:ascii="Lato" w:eastAsia="Times New Roman" w:hAnsi="Lato"/>
          <w:color w:val="000000" w:themeColor="text1"/>
          <w:sz w:val="24"/>
          <w:szCs w:val="24"/>
        </w:rPr>
      </w:pPr>
    </w:p>
    <w:p w14:paraId="62E461AE" w14:textId="77777777" w:rsidR="00000000" w:rsidRPr="0060384B" w:rsidRDefault="00CA5F6F">
      <w:pPr>
        <w:spacing w:line="200" w:lineRule="exact"/>
        <w:rPr>
          <w:rFonts w:ascii="Lato" w:eastAsia="Times New Roman" w:hAnsi="Lato"/>
          <w:color w:val="000000" w:themeColor="text1"/>
          <w:sz w:val="24"/>
          <w:szCs w:val="24"/>
        </w:rPr>
      </w:pPr>
    </w:p>
    <w:p w14:paraId="6E84300B" w14:textId="77777777" w:rsidR="00000000" w:rsidRPr="0060384B" w:rsidRDefault="00CA5F6F">
      <w:pPr>
        <w:spacing w:line="200" w:lineRule="exact"/>
        <w:rPr>
          <w:rFonts w:ascii="Lato" w:eastAsia="Times New Roman" w:hAnsi="Lato"/>
          <w:color w:val="000000" w:themeColor="text1"/>
          <w:sz w:val="24"/>
          <w:szCs w:val="24"/>
        </w:rPr>
      </w:pPr>
    </w:p>
    <w:p w14:paraId="6033FC0C" w14:textId="77777777" w:rsidR="00000000" w:rsidRPr="0060384B" w:rsidRDefault="00CA5F6F">
      <w:pPr>
        <w:spacing w:line="200" w:lineRule="exact"/>
        <w:rPr>
          <w:rFonts w:ascii="Lato" w:eastAsia="Times New Roman" w:hAnsi="Lato"/>
          <w:color w:val="000000" w:themeColor="text1"/>
          <w:sz w:val="24"/>
          <w:szCs w:val="24"/>
        </w:rPr>
      </w:pPr>
    </w:p>
    <w:p w14:paraId="4559417C" w14:textId="77777777" w:rsidR="00000000" w:rsidRPr="0060384B" w:rsidRDefault="00CA5F6F">
      <w:pPr>
        <w:spacing w:line="200" w:lineRule="exact"/>
        <w:rPr>
          <w:rFonts w:ascii="Lato" w:eastAsia="Times New Roman" w:hAnsi="Lato"/>
          <w:color w:val="000000" w:themeColor="text1"/>
          <w:sz w:val="24"/>
          <w:szCs w:val="24"/>
        </w:rPr>
      </w:pPr>
    </w:p>
    <w:p w14:paraId="0C3205D2" w14:textId="77777777" w:rsidR="00000000" w:rsidRPr="0060384B" w:rsidRDefault="00CA5F6F">
      <w:pPr>
        <w:spacing w:line="200" w:lineRule="exact"/>
        <w:rPr>
          <w:rFonts w:ascii="Lato" w:eastAsia="Times New Roman" w:hAnsi="Lato"/>
          <w:color w:val="000000" w:themeColor="text1"/>
          <w:sz w:val="24"/>
          <w:szCs w:val="24"/>
        </w:rPr>
      </w:pPr>
    </w:p>
    <w:p w14:paraId="7615FF9C" w14:textId="77777777" w:rsidR="00000000" w:rsidRPr="0060384B" w:rsidRDefault="00CA5F6F">
      <w:pPr>
        <w:spacing w:line="200" w:lineRule="exact"/>
        <w:rPr>
          <w:rFonts w:ascii="Lato" w:eastAsia="Times New Roman" w:hAnsi="Lato"/>
          <w:color w:val="000000" w:themeColor="text1"/>
          <w:sz w:val="24"/>
          <w:szCs w:val="24"/>
        </w:rPr>
      </w:pPr>
    </w:p>
    <w:p w14:paraId="44FBF7F6" w14:textId="77777777" w:rsidR="00000000" w:rsidRPr="0060384B" w:rsidRDefault="00CA5F6F">
      <w:pPr>
        <w:spacing w:line="200" w:lineRule="exact"/>
        <w:rPr>
          <w:rFonts w:ascii="Lato" w:eastAsia="Times New Roman" w:hAnsi="Lato"/>
          <w:color w:val="000000" w:themeColor="text1"/>
          <w:sz w:val="24"/>
          <w:szCs w:val="24"/>
        </w:rPr>
      </w:pPr>
    </w:p>
    <w:p w14:paraId="11646E9D" w14:textId="77777777" w:rsidR="00000000" w:rsidRPr="0060384B" w:rsidRDefault="00CA5F6F">
      <w:pPr>
        <w:spacing w:line="200" w:lineRule="exact"/>
        <w:rPr>
          <w:rFonts w:ascii="Lato" w:eastAsia="Times New Roman" w:hAnsi="Lato"/>
          <w:color w:val="000000" w:themeColor="text1"/>
          <w:sz w:val="24"/>
          <w:szCs w:val="24"/>
        </w:rPr>
      </w:pPr>
    </w:p>
    <w:p w14:paraId="54F43322" w14:textId="77777777" w:rsidR="00000000" w:rsidRPr="0060384B" w:rsidRDefault="00CA5F6F">
      <w:pPr>
        <w:spacing w:line="200" w:lineRule="exact"/>
        <w:rPr>
          <w:rFonts w:ascii="Lato" w:eastAsia="Times New Roman" w:hAnsi="Lato"/>
          <w:color w:val="000000" w:themeColor="text1"/>
          <w:sz w:val="24"/>
          <w:szCs w:val="24"/>
        </w:rPr>
      </w:pPr>
    </w:p>
    <w:p w14:paraId="375A7EBC" w14:textId="77777777" w:rsidR="00000000" w:rsidRPr="0060384B" w:rsidRDefault="00CA5F6F">
      <w:pPr>
        <w:spacing w:line="200" w:lineRule="exact"/>
        <w:rPr>
          <w:rFonts w:ascii="Lato" w:eastAsia="Times New Roman" w:hAnsi="Lato"/>
          <w:color w:val="000000" w:themeColor="text1"/>
          <w:sz w:val="24"/>
          <w:szCs w:val="24"/>
        </w:rPr>
      </w:pPr>
    </w:p>
    <w:p w14:paraId="25BCD4E8" w14:textId="77777777" w:rsidR="00000000" w:rsidRPr="0060384B" w:rsidRDefault="00CA5F6F">
      <w:pPr>
        <w:spacing w:line="200" w:lineRule="exact"/>
        <w:rPr>
          <w:rFonts w:ascii="Lato" w:eastAsia="Times New Roman" w:hAnsi="Lato"/>
          <w:color w:val="000000" w:themeColor="text1"/>
          <w:sz w:val="24"/>
          <w:szCs w:val="24"/>
        </w:rPr>
      </w:pPr>
    </w:p>
    <w:p w14:paraId="58407D41" w14:textId="77777777" w:rsidR="00000000" w:rsidRPr="0060384B" w:rsidRDefault="00CA5F6F">
      <w:pPr>
        <w:spacing w:line="200" w:lineRule="exact"/>
        <w:rPr>
          <w:rFonts w:ascii="Lato" w:eastAsia="Times New Roman" w:hAnsi="Lato"/>
          <w:color w:val="000000" w:themeColor="text1"/>
          <w:sz w:val="24"/>
          <w:szCs w:val="24"/>
        </w:rPr>
      </w:pPr>
    </w:p>
    <w:p w14:paraId="3D121090" w14:textId="77777777" w:rsidR="00000000" w:rsidRPr="0060384B" w:rsidRDefault="00CA5F6F">
      <w:pPr>
        <w:spacing w:line="200" w:lineRule="exact"/>
        <w:rPr>
          <w:rFonts w:ascii="Lato" w:eastAsia="Times New Roman" w:hAnsi="Lato"/>
          <w:color w:val="000000" w:themeColor="text1"/>
          <w:sz w:val="24"/>
          <w:szCs w:val="24"/>
        </w:rPr>
      </w:pPr>
    </w:p>
    <w:p w14:paraId="79123801" w14:textId="77777777" w:rsidR="00000000" w:rsidRPr="0060384B" w:rsidRDefault="00CA5F6F">
      <w:pPr>
        <w:spacing w:line="200" w:lineRule="exact"/>
        <w:rPr>
          <w:rFonts w:ascii="Lato" w:eastAsia="Times New Roman" w:hAnsi="Lato"/>
          <w:color w:val="000000" w:themeColor="text1"/>
          <w:sz w:val="24"/>
          <w:szCs w:val="24"/>
        </w:rPr>
      </w:pPr>
    </w:p>
    <w:p w14:paraId="4AFB7A72" w14:textId="77777777" w:rsidR="00000000" w:rsidRPr="0060384B" w:rsidRDefault="00CA5F6F">
      <w:pPr>
        <w:spacing w:line="254" w:lineRule="exact"/>
        <w:rPr>
          <w:rFonts w:ascii="Lato" w:eastAsia="Times New Roman" w:hAnsi="Lato"/>
          <w:color w:val="000000" w:themeColor="text1"/>
          <w:sz w:val="24"/>
          <w:szCs w:val="24"/>
        </w:rPr>
      </w:pPr>
    </w:p>
    <w:p w14:paraId="2C953976" w14:textId="77777777" w:rsidR="00000000" w:rsidRPr="0060384B" w:rsidRDefault="00CA5F6F">
      <w:pPr>
        <w:spacing w:line="242" w:lineRule="auto"/>
        <w:ind w:right="100"/>
        <w:jc w:val="both"/>
        <w:rPr>
          <w:rFonts w:ascii="Lato" w:hAnsi="Lato"/>
          <w:color w:val="000000" w:themeColor="text1"/>
          <w:sz w:val="24"/>
          <w:szCs w:val="24"/>
        </w:rPr>
      </w:pPr>
      <w:r w:rsidRPr="0060384B">
        <w:rPr>
          <w:rFonts w:ascii="Lato" w:hAnsi="Lato"/>
          <w:color w:val="000000" w:themeColor="text1"/>
          <w:sz w:val="24"/>
          <w:szCs w:val="24"/>
        </w:rPr>
        <w:t>This chart shows genetic loci (regions of interest) for Alzheimer</w:t>
      </w:r>
      <w:r w:rsidRPr="0060384B">
        <w:rPr>
          <w:rFonts w:ascii="Lato" w:hAnsi="Lato"/>
          <w:color w:val="000000" w:themeColor="text1"/>
          <w:sz w:val="24"/>
          <w:szCs w:val="24"/>
        </w:rPr>
        <w:t xml:space="preserve">’s disease discovered through 2018. The numbers in the bars indicate the number of genetic regions of interest for </w:t>
      </w:r>
      <w:r w:rsidRPr="0060384B">
        <w:rPr>
          <w:rFonts w:ascii="Lato" w:hAnsi="Lato"/>
          <w:color w:val="000000" w:themeColor="text1"/>
          <w:sz w:val="24"/>
          <w:szCs w:val="24"/>
        </w:rPr>
        <w:t xml:space="preserve">specific mechanisms of action. There are 21 regions of interest for the mechanism of action called endocytosis and cellular protein trafficking, 15 regions of interest for the mechanism of action innate immune/brain inflammatory response genes, and so on. </w:t>
      </w:r>
      <w:r w:rsidRPr="0060384B">
        <w:rPr>
          <w:rFonts w:ascii="Lato" w:hAnsi="Lato"/>
          <w:color w:val="000000" w:themeColor="text1"/>
          <w:sz w:val="24"/>
          <w:szCs w:val="24"/>
        </w:rPr>
        <w:t>APP is amyloid precursor protein. A</w:t>
      </w:r>
      <w:r w:rsidRPr="0060384B">
        <w:rPr>
          <w:rFonts w:cs="Calibri"/>
          <w:color w:val="000000" w:themeColor="text1"/>
          <w:sz w:val="24"/>
          <w:szCs w:val="24"/>
        </w:rPr>
        <w:t>β</w:t>
      </w:r>
      <w:r w:rsidRPr="0060384B">
        <w:rPr>
          <w:rFonts w:ascii="Lato" w:hAnsi="Lato"/>
          <w:color w:val="000000" w:themeColor="text1"/>
          <w:sz w:val="24"/>
          <w:szCs w:val="24"/>
        </w:rPr>
        <w:t xml:space="preserve"> is amyloid-beta.</w:t>
      </w:r>
    </w:p>
    <w:p w14:paraId="73CA39BB" w14:textId="77777777" w:rsidR="00000000" w:rsidRPr="0060384B" w:rsidRDefault="00CA5F6F">
      <w:pPr>
        <w:spacing w:line="263" w:lineRule="exact"/>
        <w:rPr>
          <w:rFonts w:ascii="Lato" w:eastAsia="Times New Roman" w:hAnsi="Lato"/>
          <w:color w:val="000000" w:themeColor="text1"/>
          <w:sz w:val="24"/>
          <w:szCs w:val="24"/>
        </w:rPr>
      </w:pPr>
    </w:p>
    <w:p w14:paraId="3015C148" w14:textId="77777777" w:rsidR="00000000" w:rsidRPr="0060384B" w:rsidRDefault="00CA5F6F">
      <w:pPr>
        <w:spacing w:line="0" w:lineRule="atLeast"/>
        <w:rPr>
          <w:rFonts w:ascii="Lato" w:hAnsi="Lato"/>
          <w:color w:val="000000" w:themeColor="text1"/>
          <w:sz w:val="24"/>
          <w:szCs w:val="24"/>
        </w:rPr>
      </w:pPr>
      <w:r w:rsidRPr="0060384B">
        <w:rPr>
          <w:rFonts w:ascii="Lato" w:hAnsi="Lato"/>
          <w:b/>
          <w:color w:val="000000" w:themeColor="text1"/>
          <w:sz w:val="24"/>
          <w:szCs w:val="24"/>
        </w:rPr>
        <w:t xml:space="preserve">Genetic risk variants and amyloid brain changes at stages of disease. </w:t>
      </w:r>
      <w:r w:rsidRPr="0060384B">
        <w:rPr>
          <w:rFonts w:ascii="Lato" w:hAnsi="Lato"/>
          <w:color w:val="000000" w:themeColor="text1"/>
          <w:sz w:val="24"/>
          <w:szCs w:val="24"/>
        </w:rPr>
        <w:t>A recent analysis</w:t>
      </w:r>
    </w:p>
    <w:p w14:paraId="4DA4B4DB" w14:textId="77777777" w:rsidR="00000000" w:rsidRPr="0060384B" w:rsidRDefault="00CA5F6F">
      <w:pPr>
        <w:spacing w:line="3" w:lineRule="exact"/>
        <w:rPr>
          <w:rFonts w:ascii="Lato" w:eastAsia="Times New Roman" w:hAnsi="Lato"/>
          <w:color w:val="000000" w:themeColor="text1"/>
          <w:sz w:val="24"/>
          <w:szCs w:val="24"/>
        </w:rPr>
      </w:pPr>
    </w:p>
    <w:p w14:paraId="42BB1D42" w14:textId="77777777" w:rsidR="00000000" w:rsidRPr="0060384B" w:rsidRDefault="00CA5F6F">
      <w:pPr>
        <w:spacing w:line="242" w:lineRule="auto"/>
        <w:ind w:right="40"/>
        <w:rPr>
          <w:rFonts w:ascii="Lato" w:hAnsi="Lato"/>
          <w:color w:val="000000" w:themeColor="text1"/>
          <w:sz w:val="24"/>
          <w:szCs w:val="24"/>
        </w:rPr>
      </w:pPr>
      <w:r w:rsidRPr="0060384B">
        <w:rPr>
          <w:rFonts w:ascii="Lato" w:hAnsi="Lato"/>
          <w:color w:val="000000" w:themeColor="text1"/>
          <w:sz w:val="24"/>
          <w:szCs w:val="24"/>
        </w:rPr>
        <w:t>(</w:t>
      </w:r>
      <w:hyperlink r:id="rId55" w:history="1">
        <w:r w:rsidRPr="0060384B">
          <w:rPr>
            <w:rFonts w:ascii="Lato" w:hAnsi="Lato"/>
            <w:color w:val="000000" w:themeColor="text1"/>
            <w:sz w:val="24"/>
            <w:szCs w:val="24"/>
          </w:rPr>
          <w:t>Apostolova et al., 2018</w:t>
        </w:r>
      </w:hyperlink>
      <w:r w:rsidRPr="0060384B">
        <w:rPr>
          <w:rFonts w:ascii="Lato" w:hAnsi="Lato"/>
          <w:color w:val="000000" w:themeColor="text1"/>
          <w:sz w:val="24"/>
          <w:szCs w:val="24"/>
        </w:rPr>
        <w:t>) examined associations bet</w:t>
      </w:r>
      <w:r w:rsidRPr="0060384B">
        <w:rPr>
          <w:rFonts w:ascii="Lato" w:hAnsi="Lato"/>
          <w:color w:val="000000" w:themeColor="text1"/>
          <w:sz w:val="24"/>
          <w:szCs w:val="24"/>
        </w:rPr>
        <w:t>ween the top 20 Alzheimer</w:t>
      </w:r>
      <w:r w:rsidRPr="0060384B">
        <w:rPr>
          <w:rFonts w:ascii="Lato" w:hAnsi="Lato"/>
          <w:color w:val="000000" w:themeColor="text1"/>
          <w:sz w:val="24"/>
          <w:szCs w:val="24"/>
        </w:rPr>
        <w:t xml:space="preserve">’s genetic risk variants, as well as other variants previously associated with amyloid deposition, and amyloid levels measured by brain imaging. The study of 977 participants (average age, 74 years) from the NIA-supported </w:t>
      </w:r>
      <w:hyperlink r:id="rId56" w:history="1">
        <w:r w:rsidRPr="0060384B">
          <w:rPr>
            <w:rFonts w:ascii="Lato" w:hAnsi="Lato"/>
            <w:color w:val="000000" w:themeColor="text1"/>
            <w:sz w:val="24"/>
            <w:szCs w:val="24"/>
          </w:rPr>
          <w:t>Alzheimer</w:t>
        </w:r>
        <w:r w:rsidRPr="0060384B">
          <w:rPr>
            <w:rFonts w:ascii="Lato" w:hAnsi="Lato"/>
            <w:color w:val="000000" w:themeColor="text1"/>
            <w:sz w:val="24"/>
            <w:szCs w:val="24"/>
          </w:rPr>
          <w:t>’s Disease Neuroimaging Initiative</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xml:space="preserve">showed that after </w:t>
      </w:r>
      <w:r w:rsidRPr="0060384B">
        <w:rPr>
          <w:rFonts w:ascii="Lato" w:hAnsi="Lato"/>
          <w:color w:val="000000" w:themeColor="text1"/>
          <w:sz w:val="24"/>
          <w:szCs w:val="24"/>
        </w:rPr>
        <w:t>APOE4</w:t>
      </w:r>
      <w:r w:rsidRPr="0060384B">
        <w:rPr>
          <w:rFonts w:ascii="Lato" w:hAnsi="Lato"/>
          <w:color w:val="000000" w:themeColor="text1"/>
          <w:sz w:val="24"/>
          <w:szCs w:val="24"/>
        </w:rPr>
        <w:t xml:space="preserve">, the gene with the strongest association with amyloid deposits was </w:t>
      </w:r>
      <w:r w:rsidRPr="0060384B">
        <w:rPr>
          <w:rFonts w:ascii="Lato" w:hAnsi="Lato"/>
          <w:color w:val="000000" w:themeColor="text1"/>
          <w:sz w:val="24"/>
          <w:szCs w:val="24"/>
        </w:rPr>
        <w:t>ABCA7,</w:t>
      </w:r>
      <w:r w:rsidRPr="0060384B">
        <w:rPr>
          <w:rFonts w:ascii="Lato" w:hAnsi="Lato"/>
          <w:color w:val="000000" w:themeColor="text1"/>
          <w:sz w:val="24"/>
          <w:szCs w:val="24"/>
        </w:rPr>
        <w:t xml:space="preserve"> especially in the asymp</w:t>
      </w:r>
      <w:r w:rsidRPr="0060384B">
        <w:rPr>
          <w:rFonts w:ascii="Lato" w:hAnsi="Lato"/>
          <w:color w:val="000000" w:themeColor="text1"/>
          <w:sz w:val="24"/>
          <w:szCs w:val="24"/>
        </w:rPr>
        <w:t xml:space="preserve">tomatic and early symptomatic disease stages. Studies have previously connected </w:t>
      </w:r>
      <w:r w:rsidRPr="0060384B">
        <w:rPr>
          <w:rFonts w:ascii="Lato" w:hAnsi="Lato"/>
          <w:color w:val="000000" w:themeColor="text1"/>
          <w:sz w:val="24"/>
          <w:szCs w:val="24"/>
        </w:rPr>
        <w:t>ABCA7</w:t>
      </w:r>
      <w:r w:rsidRPr="0060384B">
        <w:rPr>
          <w:rFonts w:ascii="Lato" w:hAnsi="Lato"/>
          <w:color w:val="000000" w:themeColor="text1"/>
          <w:sz w:val="24"/>
          <w:szCs w:val="24"/>
        </w:rPr>
        <w:t xml:space="preserve"> with Alzheimer</w:t>
      </w:r>
      <w:r w:rsidRPr="0060384B">
        <w:rPr>
          <w:rFonts w:ascii="Lato" w:hAnsi="Lato"/>
          <w:color w:val="000000" w:themeColor="text1"/>
          <w:sz w:val="24"/>
          <w:szCs w:val="24"/>
        </w:rPr>
        <w:t xml:space="preserve">’s disease processes in the brain; these findings provide further evidence of its role. Research has also shown that African Americans are more likely than </w:t>
      </w:r>
      <w:r w:rsidRPr="0060384B">
        <w:rPr>
          <w:rFonts w:ascii="Lato" w:hAnsi="Lato"/>
          <w:color w:val="000000" w:themeColor="text1"/>
          <w:sz w:val="24"/>
          <w:szCs w:val="24"/>
        </w:rPr>
        <w:t xml:space="preserve">whites to have a variant of the </w:t>
      </w:r>
      <w:r w:rsidRPr="0060384B">
        <w:rPr>
          <w:rFonts w:ascii="Lato" w:hAnsi="Lato"/>
          <w:color w:val="000000" w:themeColor="text1"/>
          <w:sz w:val="24"/>
          <w:szCs w:val="24"/>
        </w:rPr>
        <w:t>ABCA7</w:t>
      </w:r>
      <w:r w:rsidRPr="0060384B">
        <w:rPr>
          <w:rFonts w:ascii="Lato" w:hAnsi="Lato"/>
          <w:color w:val="000000" w:themeColor="text1"/>
          <w:sz w:val="24"/>
          <w:szCs w:val="24"/>
        </w:rPr>
        <w:t xml:space="preserve"> gene, with almost double the risk of developing Alzheimer</w:t>
      </w:r>
      <w:r w:rsidRPr="0060384B">
        <w:rPr>
          <w:rFonts w:ascii="Lato" w:hAnsi="Lato"/>
          <w:color w:val="000000" w:themeColor="text1"/>
          <w:sz w:val="24"/>
          <w:szCs w:val="24"/>
        </w:rPr>
        <w:t>’s. Other</w:t>
      </w:r>
    </w:p>
    <w:p w14:paraId="1F5E55CE" w14:textId="77777777" w:rsidR="00000000" w:rsidRPr="0060384B" w:rsidRDefault="00CA5F6F">
      <w:pPr>
        <w:spacing w:line="242" w:lineRule="auto"/>
        <w:ind w:right="4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010E77BD" w14:textId="77777777" w:rsidR="00000000" w:rsidRPr="0060384B" w:rsidRDefault="00CA5F6F">
      <w:pPr>
        <w:spacing w:line="244"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331283A1" w14:textId="77777777">
        <w:trPr>
          <w:trHeight w:val="245"/>
        </w:trPr>
        <w:tc>
          <w:tcPr>
            <w:tcW w:w="6540" w:type="dxa"/>
            <w:shd w:val="clear" w:color="auto" w:fill="auto"/>
            <w:vAlign w:val="bottom"/>
          </w:tcPr>
          <w:p w14:paraId="23142E1B"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58398E3C"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19</w:t>
            </w:r>
          </w:p>
        </w:tc>
      </w:tr>
      <w:tr w:rsidR="00000000" w:rsidRPr="0060384B" w14:paraId="7BAAE03D" w14:textId="77777777">
        <w:trPr>
          <w:trHeight w:val="258"/>
        </w:trPr>
        <w:tc>
          <w:tcPr>
            <w:tcW w:w="6540" w:type="dxa"/>
            <w:shd w:val="clear" w:color="auto" w:fill="auto"/>
            <w:vAlign w:val="bottom"/>
          </w:tcPr>
          <w:p w14:paraId="685081F7"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7396CFB2" w14:textId="77777777" w:rsidR="00000000" w:rsidRPr="0060384B" w:rsidRDefault="00CA5F6F">
            <w:pPr>
              <w:spacing w:line="0" w:lineRule="atLeast"/>
              <w:rPr>
                <w:rFonts w:ascii="Lato" w:eastAsia="Times New Roman" w:hAnsi="Lato"/>
                <w:color w:val="000000" w:themeColor="text1"/>
                <w:sz w:val="24"/>
                <w:szCs w:val="24"/>
              </w:rPr>
            </w:pPr>
          </w:p>
        </w:tc>
      </w:tr>
    </w:tbl>
    <w:p w14:paraId="656978AC"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1A4749B6" w14:textId="77777777" w:rsidR="00000000" w:rsidRPr="0060384B" w:rsidRDefault="00CA5F6F">
      <w:pPr>
        <w:spacing w:line="258" w:lineRule="auto"/>
        <w:ind w:right="100"/>
        <w:rPr>
          <w:rFonts w:ascii="Lato" w:hAnsi="Lato"/>
          <w:color w:val="000000" w:themeColor="text1"/>
          <w:sz w:val="24"/>
          <w:szCs w:val="24"/>
        </w:rPr>
      </w:pPr>
      <w:bookmarkStart w:id="22" w:name="page23"/>
      <w:bookmarkEnd w:id="22"/>
      <w:r w:rsidRPr="0060384B">
        <w:rPr>
          <w:rFonts w:ascii="Lato" w:hAnsi="Lato"/>
          <w:color w:val="000000" w:themeColor="text1"/>
          <w:sz w:val="24"/>
          <w:szCs w:val="24"/>
        </w:rPr>
        <w:lastRenderedPageBreak/>
        <w:t>Alzheimer</w:t>
      </w:r>
      <w:r w:rsidRPr="0060384B">
        <w:rPr>
          <w:rFonts w:ascii="Lato" w:hAnsi="Lato"/>
          <w:color w:val="000000" w:themeColor="text1"/>
          <w:sz w:val="24"/>
          <w:szCs w:val="24"/>
        </w:rPr>
        <w:t>’s disease risk genes found to be associated with amyloid buildup</w:t>
      </w:r>
      <w:r w:rsidRPr="0060384B">
        <w:rPr>
          <w:rFonts w:ascii="Lato" w:hAnsi="Lato"/>
          <w:color w:val="000000" w:themeColor="text1"/>
          <w:sz w:val="24"/>
          <w:szCs w:val="24"/>
        </w:rPr>
        <w:t xml:space="preserve"> at different disease stages include </w:t>
      </w:r>
      <w:r w:rsidRPr="0060384B">
        <w:rPr>
          <w:rFonts w:ascii="Lato" w:hAnsi="Lato"/>
          <w:color w:val="000000" w:themeColor="text1"/>
          <w:sz w:val="24"/>
          <w:szCs w:val="24"/>
        </w:rPr>
        <w:t>FERMT2,</w:t>
      </w:r>
      <w:r w:rsidRPr="0060384B">
        <w:rPr>
          <w:rFonts w:ascii="Lato" w:hAnsi="Lato"/>
          <w:color w:val="000000" w:themeColor="text1"/>
          <w:sz w:val="24"/>
          <w:szCs w:val="24"/>
        </w:rPr>
        <w:t xml:space="preserve"> which was most pronounced in people with mild cognitive impairment (MCI); </w:t>
      </w:r>
      <w:r w:rsidRPr="0060384B">
        <w:rPr>
          <w:rFonts w:ascii="Lato" w:hAnsi="Lato"/>
          <w:color w:val="000000" w:themeColor="text1"/>
          <w:sz w:val="24"/>
          <w:szCs w:val="24"/>
        </w:rPr>
        <w:t>SORL1</w:t>
      </w:r>
      <w:r w:rsidRPr="0060384B">
        <w:rPr>
          <w:rFonts w:ascii="Lato" w:hAnsi="Lato"/>
          <w:color w:val="000000" w:themeColor="text1"/>
          <w:sz w:val="24"/>
          <w:szCs w:val="24"/>
        </w:rPr>
        <w:t xml:space="preserve"> and </w:t>
      </w:r>
      <w:r w:rsidRPr="0060384B">
        <w:rPr>
          <w:rFonts w:ascii="Lato" w:hAnsi="Lato"/>
          <w:color w:val="000000" w:themeColor="text1"/>
          <w:sz w:val="24"/>
          <w:szCs w:val="24"/>
        </w:rPr>
        <w:t>EPHA1</w:t>
      </w:r>
      <w:r w:rsidRPr="0060384B">
        <w:rPr>
          <w:rFonts w:ascii="Lato" w:hAnsi="Lato"/>
          <w:color w:val="000000" w:themeColor="text1"/>
          <w:sz w:val="24"/>
          <w:szCs w:val="24"/>
        </w:rPr>
        <w:t xml:space="preserve">, which were associated with both the MCI and dementia stages; and </w:t>
      </w:r>
      <w:r w:rsidRPr="0060384B">
        <w:rPr>
          <w:rFonts w:ascii="Lato" w:hAnsi="Lato"/>
          <w:color w:val="000000" w:themeColor="text1"/>
          <w:sz w:val="24"/>
          <w:szCs w:val="24"/>
        </w:rPr>
        <w:t>CLU</w:t>
      </w:r>
      <w:r w:rsidRPr="0060384B">
        <w:rPr>
          <w:rFonts w:ascii="Lato" w:hAnsi="Lato"/>
          <w:color w:val="000000" w:themeColor="text1"/>
          <w:sz w:val="24"/>
          <w:szCs w:val="24"/>
        </w:rPr>
        <w:t>,</w:t>
      </w:r>
      <w:r w:rsidRPr="0060384B">
        <w:rPr>
          <w:rFonts w:ascii="Lato" w:hAnsi="Lato"/>
          <w:color w:val="000000" w:themeColor="text1"/>
          <w:sz w:val="24"/>
          <w:szCs w:val="24"/>
        </w:rPr>
        <w:t xml:space="preserve"> DSG2</w:t>
      </w:r>
      <w:r w:rsidRPr="0060384B">
        <w:rPr>
          <w:rFonts w:ascii="Lato" w:hAnsi="Lato"/>
          <w:color w:val="000000" w:themeColor="text1"/>
          <w:sz w:val="24"/>
          <w:szCs w:val="24"/>
        </w:rPr>
        <w:t>, and</w:t>
      </w:r>
      <w:r w:rsidRPr="0060384B">
        <w:rPr>
          <w:rFonts w:ascii="Lato" w:hAnsi="Lato"/>
          <w:color w:val="000000" w:themeColor="text1"/>
          <w:sz w:val="24"/>
          <w:szCs w:val="24"/>
        </w:rPr>
        <w:t xml:space="preserve"> ZCWPWI</w:t>
      </w:r>
      <w:r w:rsidRPr="0060384B">
        <w:rPr>
          <w:rFonts w:ascii="Lato" w:hAnsi="Lato"/>
          <w:color w:val="000000" w:themeColor="text1"/>
          <w:sz w:val="24"/>
          <w:szCs w:val="24"/>
        </w:rPr>
        <w:t>, which were linked to the dementi</w:t>
      </w:r>
      <w:r w:rsidRPr="0060384B">
        <w:rPr>
          <w:rFonts w:ascii="Lato" w:hAnsi="Lato"/>
          <w:color w:val="000000" w:themeColor="text1"/>
          <w:sz w:val="24"/>
          <w:szCs w:val="24"/>
        </w:rPr>
        <w:t>a stage. Results suggest genetic</w:t>
      </w:r>
      <w:r w:rsidRPr="0060384B">
        <w:rPr>
          <w:rFonts w:ascii="Lato" w:hAnsi="Lato"/>
          <w:color w:val="000000" w:themeColor="text1"/>
          <w:sz w:val="24"/>
          <w:szCs w:val="24"/>
        </w:rPr>
        <w:t xml:space="preserve"> </w:t>
      </w:r>
      <w:r w:rsidRPr="0060384B">
        <w:rPr>
          <w:rFonts w:ascii="Lato" w:hAnsi="Lato"/>
          <w:color w:val="000000" w:themeColor="text1"/>
          <w:sz w:val="24"/>
          <w:szCs w:val="24"/>
        </w:rPr>
        <w:t>variants might affect Alzheimer</w:t>
      </w:r>
      <w:r w:rsidRPr="0060384B">
        <w:rPr>
          <w:rFonts w:ascii="Lato" w:hAnsi="Lato"/>
          <w:color w:val="000000" w:themeColor="text1"/>
          <w:sz w:val="24"/>
          <w:szCs w:val="24"/>
        </w:rPr>
        <w:t>’s disease processes differently across disease stages.</w:t>
      </w:r>
    </w:p>
    <w:p w14:paraId="3BE37BD2" w14:textId="77777777" w:rsidR="00000000" w:rsidRPr="0060384B" w:rsidRDefault="00CA5F6F">
      <w:pPr>
        <w:spacing w:line="236" w:lineRule="exact"/>
        <w:rPr>
          <w:rFonts w:ascii="Lato" w:eastAsia="Times New Roman" w:hAnsi="Lato"/>
          <w:color w:val="000000" w:themeColor="text1"/>
          <w:sz w:val="24"/>
          <w:szCs w:val="24"/>
        </w:rPr>
      </w:pPr>
    </w:p>
    <w:p w14:paraId="211203AE"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Exploring specific genes, researchers recently reported:</w:t>
      </w:r>
    </w:p>
    <w:p w14:paraId="4B23DC43" w14:textId="77777777" w:rsidR="00000000" w:rsidRPr="0060384B" w:rsidRDefault="00CA5F6F">
      <w:pPr>
        <w:spacing w:line="278" w:lineRule="exact"/>
        <w:rPr>
          <w:rFonts w:ascii="Lato" w:eastAsia="Times New Roman" w:hAnsi="Lato"/>
          <w:color w:val="000000" w:themeColor="text1"/>
          <w:sz w:val="24"/>
          <w:szCs w:val="24"/>
        </w:rPr>
      </w:pPr>
    </w:p>
    <w:p w14:paraId="39C5DD11" w14:textId="77777777" w:rsidR="00000000" w:rsidRPr="0060384B" w:rsidRDefault="00CA5F6F">
      <w:pPr>
        <w:spacing w:line="241" w:lineRule="auto"/>
        <w:rPr>
          <w:rFonts w:ascii="Lato" w:hAnsi="Lato"/>
          <w:color w:val="000000" w:themeColor="text1"/>
          <w:sz w:val="24"/>
          <w:szCs w:val="24"/>
        </w:rPr>
      </w:pPr>
      <w:r w:rsidRPr="0060384B">
        <w:rPr>
          <w:rFonts w:ascii="Lato" w:hAnsi="Lato"/>
          <w:b/>
          <w:color w:val="000000" w:themeColor="text1"/>
          <w:sz w:val="24"/>
          <w:szCs w:val="24"/>
        </w:rPr>
        <w:t>Genetic factors modify the impact of serum triglycerides on Alzheimer</w:t>
      </w:r>
      <w:r w:rsidRPr="0060384B">
        <w:rPr>
          <w:rFonts w:ascii="Lato" w:hAnsi="Lato"/>
          <w:b/>
          <w:color w:val="000000" w:themeColor="text1"/>
          <w:sz w:val="24"/>
          <w:szCs w:val="24"/>
        </w:rPr>
        <w:t>’s risk.</w:t>
      </w:r>
      <w:r w:rsidRPr="0060384B">
        <w:rPr>
          <w:rFonts w:ascii="Lato" w:hAnsi="Lato"/>
          <w:b/>
          <w:color w:val="000000" w:themeColor="text1"/>
          <w:sz w:val="24"/>
          <w:szCs w:val="24"/>
        </w:rPr>
        <w:t xml:space="preserve"> </w:t>
      </w:r>
      <w:r w:rsidRPr="0060384B">
        <w:rPr>
          <w:rFonts w:ascii="Lato" w:hAnsi="Lato"/>
          <w:color w:val="000000" w:themeColor="text1"/>
          <w:sz w:val="24"/>
          <w:szCs w:val="24"/>
        </w:rPr>
        <w:t>Some</w:t>
      </w:r>
      <w:r w:rsidRPr="0060384B">
        <w:rPr>
          <w:rFonts w:ascii="Lato" w:hAnsi="Lato"/>
          <w:b/>
          <w:color w:val="000000" w:themeColor="text1"/>
          <w:sz w:val="24"/>
          <w:szCs w:val="24"/>
        </w:rPr>
        <w:t xml:space="preserve"> </w:t>
      </w:r>
      <w:r w:rsidRPr="0060384B">
        <w:rPr>
          <w:rFonts w:ascii="Lato" w:hAnsi="Lato"/>
          <w:color w:val="000000" w:themeColor="text1"/>
          <w:sz w:val="24"/>
          <w:szCs w:val="24"/>
        </w:rPr>
        <w:t>epidemiological studies have found links between high plasma lipid levels and greater risk of developing Alzheimer</w:t>
      </w:r>
      <w:r w:rsidRPr="0060384B">
        <w:rPr>
          <w:rFonts w:ascii="Lato" w:hAnsi="Lato"/>
          <w:color w:val="000000" w:themeColor="text1"/>
          <w:sz w:val="24"/>
          <w:szCs w:val="24"/>
        </w:rPr>
        <w:t>’s, but others have not. According to new findings from NIH-funded research, these inconsistencies might be explained by genetic differe</w:t>
      </w:r>
      <w:r w:rsidRPr="0060384B">
        <w:rPr>
          <w:rFonts w:ascii="Lato" w:hAnsi="Lato"/>
          <w:color w:val="000000" w:themeColor="text1"/>
          <w:sz w:val="24"/>
          <w:szCs w:val="24"/>
        </w:rPr>
        <w:t xml:space="preserve">nces across different study populations </w:t>
      </w:r>
      <w:hyperlink r:id="rId57" w:history="1">
        <w:r w:rsidRPr="0060384B">
          <w:rPr>
            <w:rFonts w:ascii="Lato" w:hAnsi="Lato"/>
            <w:color w:val="000000" w:themeColor="text1"/>
            <w:sz w:val="24"/>
            <w:szCs w:val="24"/>
          </w:rPr>
          <w:t>(</w:t>
        </w:r>
        <w:r w:rsidRPr="0060384B">
          <w:rPr>
            <w:rFonts w:ascii="Lato" w:hAnsi="Lato"/>
            <w:color w:val="000000" w:themeColor="text1"/>
            <w:sz w:val="24"/>
            <w:szCs w:val="24"/>
          </w:rPr>
          <w:t>Peloso et al., 2018</w:t>
        </w:r>
      </w:hyperlink>
      <w:r w:rsidRPr="0060384B">
        <w:rPr>
          <w:rFonts w:ascii="Lato" w:hAnsi="Lato"/>
          <w:color w:val="000000" w:themeColor="text1"/>
          <w:sz w:val="24"/>
          <w:szCs w:val="24"/>
        </w:rPr>
        <w:t>). This latest study looked at the interaction between genetic risk factors and midlife plasma lipid levels (LDL-C, HDL-C, and triglyce</w:t>
      </w:r>
      <w:r w:rsidRPr="0060384B">
        <w:rPr>
          <w:rFonts w:ascii="Lato" w:hAnsi="Lato"/>
          <w:color w:val="000000" w:themeColor="text1"/>
          <w:sz w:val="24"/>
          <w:szCs w:val="24"/>
        </w:rPr>
        <w:t>rides) on Alzheimer</w:t>
      </w:r>
      <w:r w:rsidRPr="0060384B">
        <w:rPr>
          <w:rFonts w:ascii="Lato" w:hAnsi="Lato"/>
          <w:color w:val="000000" w:themeColor="text1"/>
          <w:sz w:val="24"/>
          <w:szCs w:val="24"/>
        </w:rPr>
        <w:t>’s risk in 150 patients and 2,882 controls in the Framingham Heart study. They found a significant interaction between Genetic Risk Score, calculated based on 20 Alzheimer</w:t>
      </w:r>
      <w:r w:rsidRPr="0060384B">
        <w:rPr>
          <w:rFonts w:ascii="Lato" w:hAnsi="Lato"/>
          <w:color w:val="000000" w:themeColor="text1"/>
          <w:sz w:val="24"/>
          <w:szCs w:val="24"/>
        </w:rPr>
        <w:t xml:space="preserve">’s disease single </w:t>
      </w:r>
      <w:r w:rsidRPr="0060384B">
        <w:rPr>
          <w:rFonts w:ascii="Lato" w:hAnsi="Lato"/>
          <w:color w:val="000000" w:themeColor="text1"/>
          <w:sz w:val="24"/>
          <w:szCs w:val="24"/>
        </w:rPr>
        <w:t xml:space="preserve">nucleotide polymorphisms (SNPs) plus APOE </w:t>
      </w:r>
      <w:r w:rsidRPr="0060384B">
        <w:rPr>
          <w:rFonts w:cs="Calibri"/>
          <w:color w:val="000000" w:themeColor="text1"/>
          <w:sz w:val="24"/>
          <w:szCs w:val="24"/>
        </w:rPr>
        <w:t>ε</w:t>
      </w:r>
      <w:r w:rsidRPr="0060384B">
        <w:rPr>
          <w:rFonts w:ascii="Lato" w:hAnsi="Lato"/>
          <w:color w:val="000000" w:themeColor="text1"/>
          <w:sz w:val="24"/>
          <w:szCs w:val="24"/>
        </w:rPr>
        <w:t>4 gen</w:t>
      </w:r>
      <w:r w:rsidRPr="0060384B">
        <w:rPr>
          <w:rFonts w:ascii="Lato" w:hAnsi="Lato"/>
          <w:color w:val="000000" w:themeColor="text1"/>
          <w:sz w:val="24"/>
          <w:szCs w:val="24"/>
        </w:rPr>
        <w:t>otype</w:t>
      </w:r>
      <w:r w:rsidRPr="0060384B">
        <w:rPr>
          <w:rFonts w:ascii="Lato" w:hAnsi="Lato"/>
          <w:color w:val="000000" w:themeColor="text1"/>
          <w:sz w:val="24"/>
          <w:szCs w:val="24"/>
        </w:rPr>
        <w:t>, and serum triglyceride levels on the</w:t>
      </w:r>
      <w:r w:rsidRPr="0060384B">
        <w:rPr>
          <w:rFonts w:ascii="Lato" w:hAnsi="Lato"/>
          <w:color w:val="000000" w:themeColor="text1"/>
          <w:sz w:val="24"/>
          <w:szCs w:val="24"/>
        </w:rPr>
        <w:t xml:space="preserve"> </w:t>
      </w:r>
      <w:r w:rsidRPr="0060384B">
        <w:rPr>
          <w:rFonts w:ascii="Lato" w:hAnsi="Lato"/>
          <w:color w:val="000000" w:themeColor="text1"/>
          <w:sz w:val="24"/>
          <w:szCs w:val="24"/>
        </w:rPr>
        <w:t>risk of developing clinical Alzheimer</w:t>
      </w:r>
      <w:r w:rsidRPr="0060384B">
        <w:rPr>
          <w:rFonts w:ascii="Lato" w:hAnsi="Lato"/>
          <w:color w:val="000000" w:themeColor="text1"/>
          <w:sz w:val="24"/>
          <w:szCs w:val="24"/>
        </w:rPr>
        <w:t>’s. They saw no interaction between Genetic Risk Score and LDL-C or HDL-C levels. When the team analyzed individual SNPs, they identified two whose impact on Alzheimer</w:t>
      </w:r>
      <w:r w:rsidRPr="0060384B">
        <w:rPr>
          <w:rFonts w:ascii="Lato" w:hAnsi="Lato"/>
          <w:color w:val="000000" w:themeColor="text1"/>
          <w:sz w:val="24"/>
          <w:szCs w:val="24"/>
        </w:rPr>
        <w:t xml:space="preserve">’s risk </w:t>
      </w:r>
      <w:r w:rsidRPr="0060384B">
        <w:rPr>
          <w:rFonts w:ascii="Lato" w:hAnsi="Lato"/>
          <w:color w:val="000000" w:themeColor="text1"/>
          <w:sz w:val="24"/>
          <w:szCs w:val="24"/>
        </w:rPr>
        <w:t>was significantly modified by serum triglyceride levels: APOE4 and a SNP located near the gene for the sortilin-related receptor (SORL1), a neuronal apolipoprotein E receptor. If confirmed, this information could advance investigation of preventive strateg</w:t>
      </w:r>
      <w:r w:rsidRPr="0060384B">
        <w:rPr>
          <w:rFonts w:ascii="Lato" w:hAnsi="Lato"/>
          <w:color w:val="000000" w:themeColor="text1"/>
          <w:sz w:val="24"/>
          <w:szCs w:val="24"/>
        </w:rPr>
        <w:t>ies targeting serum triglyceride levels in individuals at higher genetic risk of developing Alzheimer</w:t>
      </w:r>
      <w:r w:rsidRPr="0060384B">
        <w:rPr>
          <w:rFonts w:ascii="Lato" w:hAnsi="Lato"/>
          <w:color w:val="000000" w:themeColor="text1"/>
          <w:sz w:val="24"/>
          <w:szCs w:val="24"/>
        </w:rPr>
        <w:t>’s.</w:t>
      </w:r>
    </w:p>
    <w:p w14:paraId="76BEB023" w14:textId="77777777" w:rsidR="00000000" w:rsidRPr="0060384B" w:rsidRDefault="00CA5F6F">
      <w:pPr>
        <w:spacing w:line="261" w:lineRule="exact"/>
        <w:rPr>
          <w:rFonts w:ascii="Lato" w:eastAsia="Times New Roman" w:hAnsi="Lato"/>
          <w:color w:val="000000" w:themeColor="text1"/>
          <w:sz w:val="24"/>
          <w:szCs w:val="24"/>
        </w:rPr>
      </w:pPr>
    </w:p>
    <w:p w14:paraId="0C781C30" w14:textId="77777777" w:rsidR="00000000" w:rsidRPr="0060384B" w:rsidRDefault="00CA5F6F">
      <w:pPr>
        <w:spacing w:line="241" w:lineRule="auto"/>
        <w:ind w:right="20"/>
        <w:rPr>
          <w:rFonts w:ascii="Lato" w:hAnsi="Lato"/>
          <w:color w:val="000000" w:themeColor="text1"/>
          <w:sz w:val="24"/>
          <w:szCs w:val="24"/>
        </w:rPr>
      </w:pPr>
      <w:r w:rsidRPr="0060384B">
        <w:rPr>
          <w:rFonts w:ascii="Lato" w:hAnsi="Lato"/>
          <w:b/>
          <w:color w:val="000000" w:themeColor="text1"/>
          <w:sz w:val="24"/>
          <w:szCs w:val="24"/>
        </w:rPr>
        <w:t xml:space="preserve">New gene associated with white matter damage/VCID. </w:t>
      </w:r>
      <w:r w:rsidRPr="0060384B">
        <w:rPr>
          <w:rFonts w:ascii="Lato" w:hAnsi="Lato"/>
          <w:color w:val="000000" w:themeColor="text1"/>
          <w:sz w:val="24"/>
          <w:szCs w:val="24"/>
        </w:rPr>
        <w:t>White matter hyperintensities (WMH)</w:t>
      </w:r>
      <w:r w:rsidRPr="0060384B">
        <w:rPr>
          <w:rFonts w:ascii="Lato" w:hAnsi="Lato"/>
          <w:b/>
          <w:color w:val="000000" w:themeColor="text1"/>
          <w:sz w:val="24"/>
          <w:szCs w:val="24"/>
        </w:rPr>
        <w:t xml:space="preserve"> </w:t>
      </w:r>
      <w:r w:rsidRPr="0060384B">
        <w:rPr>
          <w:rFonts w:ascii="Lato" w:hAnsi="Lato"/>
          <w:color w:val="000000" w:themeColor="text1"/>
          <w:sz w:val="24"/>
          <w:szCs w:val="24"/>
        </w:rPr>
        <w:t>are bright spots seen on brain magnetic resonance imaging scans</w:t>
      </w:r>
      <w:r w:rsidRPr="0060384B">
        <w:rPr>
          <w:rFonts w:ascii="Lato" w:hAnsi="Lato"/>
          <w:color w:val="000000" w:themeColor="text1"/>
          <w:sz w:val="24"/>
          <w:szCs w:val="24"/>
        </w:rPr>
        <w:t xml:space="preserve"> that correspond to areas of tissue and cellular damage. WMHs are common among older people, in whom they are associated with cerebral small vessel disease and increased risk of stroke. Susceptibility to developing WMHs has a strong genetic component (55 t</w:t>
      </w:r>
      <w:r w:rsidRPr="0060384B">
        <w:rPr>
          <w:rFonts w:ascii="Lato" w:hAnsi="Lato"/>
          <w:color w:val="000000" w:themeColor="text1"/>
          <w:sz w:val="24"/>
          <w:szCs w:val="24"/>
        </w:rPr>
        <w:t xml:space="preserve">o 80 percent), but the genes underlying this susceptibility remain largely unknown. To search for such genes, NIH-funded scientists </w:t>
      </w:r>
      <w:hyperlink r:id="rId58" w:history="1">
        <w:r w:rsidRPr="0060384B">
          <w:rPr>
            <w:rFonts w:ascii="Lato" w:hAnsi="Lato"/>
            <w:color w:val="000000" w:themeColor="text1"/>
            <w:sz w:val="24"/>
            <w:szCs w:val="24"/>
          </w:rPr>
          <w:t>(</w:t>
        </w:r>
        <w:r w:rsidRPr="0060384B">
          <w:rPr>
            <w:rFonts w:ascii="Lato" w:hAnsi="Lato"/>
            <w:color w:val="000000" w:themeColor="text1"/>
            <w:sz w:val="24"/>
            <w:szCs w:val="24"/>
          </w:rPr>
          <w:t>Jian</w:t>
        </w:r>
      </w:hyperlink>
      <w:r w:rsidRPr="0060384B">
        <w:rPr>
          <w:rFonts w:ascii="Lato" w:hAnsi="Lato"/>
          <w:color w:val="000000" w:themeColor="text1"/>
          <w:sz w:val="24"/>
          <w:szCs w:val="24"/>
        </w:rPr>
        <w:t xml:space="preserve"> </w:t>
      </w:r>
      <w:hyperlink r:id="rId59" w:history="1">
        <w:r w:rsidRPr="0060384B">
          <w:rPr>
            <w:rFonts w:ascii="Lato" w:hAnsi="Lato"/>
            <w:color w:val="000000" w:themeColor="text1"/>
            <w:sz w:val="24"/>
            <w:szCs w:val="24"/>
          </w:rPr>
          <w:t>et al., 2018</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w:t>
      </w:r>
      <w:r w:rsidRPr="0060384B">
        <w:rPr>
          <w:rFonts w:ascii="Lato" w:hAnsi="Lato"/>
          <w:color w:val="000000" w:themeColor="text1"/>
          <w:sz w:val="24"/>
          <w:szCs w:val="24"/>
        </w:rPr>
        <w:t xml:space="preserve"> </w:t>
      </w:r>
      <w:r w:rsidRPr="0060384B">
        <w:rPr>
          <w:rFonts w:ascii="Lato" w:hAnsi="Lato"/>
          <w:color w:val="000000" w:themeColor="text1"/>
          <w:sz w:val="24"/>
          <w:szCs w:val="24"/>
        </w:rPr>
        <w:t>analyzed the genotypes of a diverse group of over 20,000 stroke - and dementia -</w:t>
      </w:r>
      <w:r w:rsidRPr="0060384B">
        <w:rPr>
          <w:rFonts w:ascii="Lato" w:hAnsi="Lato"/>
          <w:color w:val="000000" w:themeColor="text1"/>
          <w:sz w:val="24"/>
          <w:szCs w:val="24"/>
        </w:rPr>
        <w:t xml:space="preserve"> </w:t>
      </w:r>
      <w:r w:rsidRPr="0060384B">
        <w:rPr>
          <w:rFonts w:ascii="Lato" w:hAnsi="Lato"/>
          <w:color w:val="000000" w:themeColor="text1"/>
          <w:sz w:val="24"/>
          <w:szCs w:val="24"/>
        </w:rPr>
        <w:t>free adults from 13 population-based cohort studies. The scientists analyzed about 250,000 SNPs, most of them located in the protein-encoding regions of gen</w:t>
      </w:r>
      <w:r w:rsidRPr="0060384B">
        <w:rPr>
          <w:rFonts w:ascii="Lato" w:hAnsi="Lato"/>
          <w:color w:val="000000" w:themeColor="text1"/>
          <w:sz w:val="24"/>
          <w:szCs w:val="24"/>
        </w:rPr>
        <w:t xml:space="preserve">es. The researchers found significant associations between WMH levels and two relatively rare variants of the gene </w:t>
      </w:r>
      <w:r w:rsidRPr="0060384B">
        <w:rPr>
          <w:rFonts w:ascii="Lato" w:hAnsi="Lato"/>
          <w:color w:val="000000" w:themeColor="text1"/>
          <w:sz w:val="24"/>
          <w:szCs w:val="24"/>
        </w:rPr>
        <w:t>MRPL38</w:t>
      </w:r>
      <w:r w:rsidRPr="0060384B">
        <w:rPr>
          <w:rFonts w:ascii="Lato" w:hAnsi="Lato"/>
          <w:color w:val="000000" w:themeColor="text1"/>
          <w:sz w:val="24"/>
          <w:szCs w:val="24"/>
        </w:rPr>
        <w:t>. The function of</w:t>
      </w:r>
      <w:r w:rsidRPr="0060384B">
        <w:rPr>
          <w:rFonts w:ascii="Lato" w:hAnsi="Lato"/>
          <w:color w:val="000000" w:themeColor="text1"/>
          <w:sz w:val="24"/>
          <w:szCs w:val="24"/>
        </w:rPr>
        <w:t xml:space="preserve"> MRPL38 </w:t>
      </w:r>
      <w:r w:rsidRPr="0060384B">
        <w:rPr>
          <w:rFonts w:ascii="Lato" w:hAnsi="Lato"/>
          <w:color w:val="000000" w:themeColor="text1"/>
          <w:sz w:val="24"/>
          <w:szCs w:val="24"/>
        </w:rPr>
        <w:t>is unknown, but the protein is structurally similar to a family</w:t>
      </w:r>
      <w:r w:rsidRPr="0060384B">
        <w:rPr>
          <w:rFonts w:ascii="Lato" w:hAnsi="Lato"/>
          <w:color w:val="000000" w:themeColor="text1"/>
          <w:sz w:val="24"/>
          <w:szCs w:val="24"/>
        </w:rPr>
        <w:t xml:space="preserve"> </w:t>
      </w:r>
      <w:r w:rsidRPr="0060384B">
        <w:rPr>
          <w:rFonts w:ascii="Lato" w:hAnsi="Lato"/>
          <w:color w:val="000000" w:themeColor="text1"/>
          <w:sz w:val="24"/>
          <w:szCs w:val="24"/>
        </w:rPr>
        <w:t>of proteins called PEBPs (phosphatidylethanola</w:t>
      </w:r>
      <w:r w:rsidRPr="0060384B">
        <w:rPr>
          <w:rFonts w:ascii="Lato" w:hAnsi="Lato"/>
          <w:color w:val="000000" w:themeColor="text1"/>
          <w:sz w:val="24"/>
          <w:szCs w:val="24"/>
        </w:rPr>
        <w:t>mine-binding proteins) that are known to play a role in neural development and that have been implicated in clinical Alzheimer</w:t>
      </w:r>
      <w:r w:rsidRPr="0060384B">
        <w:rPr>
          <w:rFonts w:ascii="Lato" w:hAnsi="Lato"/>
          <w:color w:val="000000" w:themeColor="text1"/>
          <w:sz w:val="24"/>
          <w:szCs w:val="24"/>
        </w:rPr>
        <w:t>’s disease and brain glial cancers. The scientists also confirmed associations of WMH with common variants in three other genes pr</w:t>
      </w:r>
      <w:r w:rsidRPr="0060384B">
        <w:rPr>
          <w:rFonts w:ascii="Lato" w:hAnsi="Lato"/>
          <w:color w:val="000000" w:themeColor="text1"/>
          <w:sz w:val="24"/>
          <w:szCs w:val="24"/>
        </w:rPr>
        <w:t xml:space="preserve">eviously linked to WMH in this population via GWAS analyses: </w:t>
      </w:r>
      <w:r w:rsidRPr="0060384B">
        <w:rPr>
          <w:rFonts w:ascii="Lato" w:hAnsi="Lato"/>
          <w:color w:val="000000" w:themeColor="text1"/>
          <w:sz w:val="24"/>
          <w:szCs w:val="24"/>
        </w:rPr>
        <w:t>TRIM65,</w:t>
      </w:r>
      <w:r w:rsidRPr="0060384B">
        <w:rPr>
          <w:rFonts w:ascii="Lato" w:hAnsi="Lato"/>
          <w:color w:val="000000" w:themeColor="text1"/>
          <w:sz w:val="24"/>
          <w:szCs w:val="24"/>
        </w:rPr>
        <w:t xml:space="preserve"> </w:t>
      </w:r>
      <w:r w:rsidRPr="0060384B">
        <w:rPr>
          <w:rFonts w:ascii="Lato" w:hAnsi="Lato"/>
          <w:color w:val="000000" w:themeColor="text1"/>
          <w:sz w:val="24"/>
          <w:szCs w:val="24"/>
        </w:rPr>
        <w:t xml:space="preserve">FBF1, </w:t>
      </w:r>
      <w:r w:rsidRPr="0060384B">
        <w:rPr>
          <w:rFonts w:ascii="Lato" w:hAnsi="Lato"/>
          <w:color w:val="000000" w:themeColor="text1"/>
          <w:sz w:val="24"/>
          <w:szCs w:val="24"/>
        </w:rPr>
        <w:t>and</w:t>
      </w:r>
      <w:r w:rsidRPr="0060384B">
        <w:rPr>
          <w:rFonts w:ascii="Lato" w:hAnsi="Lato"/>
          <w:color w:val="000000" w:themeColor="text1"/>
          <w:sz w:val="24"/>
          <w:szCs w:val="24"/>
        </w:rPr>
        <w:t xml:space="preserve"> ACOX1</w:t>
      </w:r>
      <w:r w:rsidRPr="0060384B">
        <w:rPr>
          <w:rFonts w:ascii="Lato" w:hAnsi="Lato"/>
          <w:color w:val="000000" w:themeColor="text1"/>
          <w:sz w:val="24"/>
          <w:szCs w:val="24"/>
        </w:rPr>
        <w:t>. This study shows that both common and rare gene variants influence</w:t>
      </w:r>
      <w:r w:rsidRPr="0060384B">
        <w:rPr>
          <w:rFonts w:ascii="Lato" w:hAnsi="Lato"/>
          <w:color w:val="000000" w:themeColor="text1"/>
          <w:sz w:val="24"/>
          <w:szCs w:val="24"/>
        </w:rPr>
        <w:t xml:space="preserve"> </w:t>
      </w:r>
      <w:r w:rsidRPr="0060384B">
        <w:rPr>
          <w:rFonts w:ascii="Lato" w:hAnsi="Lato"/>
          <w:color w:val="000000" w:themeColor="text1"/>
          <w:sz w:val="24"/>
          <w:szCs w:val="24"/>
        </w:rPr>
        <w:t>susceptibility to WMHs and demonstrates the utility of exome chip analysis for discovering rare disease</w:t>
      </w:r>
      <w:r w:rsidRPr="0060384B">
        <w:rPr>
          <w:rFonts w:ascii="Lato" w:hAnsi="Lato"/>
          <w:color w:val="000000" w:themeColor="text1"/>
          <w:sz w:val="24"/>
          <w:szCs w:val="24"/>
        </w:rPr>
        <w:t xml:space="preserve"> variants.</w:t>
      </w:r>
    </w:p>
    <w:p w14:paraId="76DE1F72" w14:textId="77777777" w:rsidR="00000000" w:rsidRPr="0060384B" w:rsidRDefault="00CA5F6F">
      <w:pPr>
        <w:spacing w:line="256" w:lineRule="exact"/>
        <w:rPr>
          <w:rFonts w:ascii="Lato" w:eastAsia="Times New Roman" w:hAnsi="Lato"/>
          <w:color w:val="000000" w:themeColor="text1"/>
          <w:sz w:val="24"/>
          <w:szCs w:val="24"/>
        </w:rPr>
      </w:pPr>
    </w:p>
    <w:p w14:paraId="42695997" w14:textId="77777777" w:rsidR="00000000" w:rsidRPr="0060384B" w:rsidRDefault="00CA5F6F">
      <w:pPr>
        <w:spacing w:line="266" w:lineRule="auto"/>
        <w:ind w:right="120"/>
        <w:rPr>
          <w:rFonts w:ascii="Lato" w:hAnsi="Lato"/>
          <w:color w:val="000000" w:themeColor="text1"/>
          <w:sz w:val="24"/>
          <w:szCs w:val="24"/>
        </w:rPr>
      </w:pPr>
      <w:r w:rsidRPr="0060384B">
        <w:rPr>
          <w:rFonts w:ascii="Lato" w:hAnsi="Lato"/>
          <w:b/>
          <w:color w:val="000000" w:themeColor="text1"/>
          <w:sz w:val="24"/>
          <w:szCs w:val="24"/>
        </w:rPr>
        <w:t xml:space="preserve">Epigenomics of cognitive function. </w:t>
      </w:r>
      <w:r w:rsidRPr="0060384B">
        <w:rPr>
          <w:rFonts w:ascii="Lato" w:hAnsi="Lato"/>
          <w:color w:val="000000" w:themeColor="text1"/>
          <w:sz w:val="24"/>
          <w:szCs w:val="24"/>
        </w:rPr>
        <w:t>Environmental factors can influence cognitive function by</w:t>
      </w:r>
      <w:r w:rsidRPr="0060384B">
        <w:rPr>
          <w:rFonts w:ascii="Lato" w:hAnsi="Lato"/>
          <w:b/>
          <w:color w:val="000000" w:themeColor="text1"/>
          <w:sz w:val="24"/>
          <w:szCs w:val="24"/>
        </w:rPr>
        <w:t xml:space="preserve"> </w:t>
      </w:r>
      <w:r w:rsidRPr="0060384B">
        <w:rPr>
          <w:rFonts w:ascii="Lato" w:hAnsi="Lato"/>
          <w:color w:val="000000" w:themeColor="text1"/>
          <w:sz w:val="24"/>
          <w:szCs w:val="24"/>
        </w:rPr>
        <w:t>inducing chemical changes in the genome, called epigenetic modifications or marks, that cause</w:t>
      </w:r>
    </w:p>
    <w:p w14:paraId="5E9ED563" w14:textId="77777777" w:rsidR="00000000" w:rsidRPr="0060384B" w:rsidRDefault="00CA5F6F">
      <w:pPr>
        <w:spacing w:line="266" w:lineRule="auto"/>
        <w:ind w:right="12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0E6D2783" w14:textId="77777777" w:rsidR="00000000" w:rsidRPr="0060384B" w:rsidRDefault="00CA5F6F">
      <w:pPr>
        <w:spacing w:line="288"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3C8C6D10" w14:textId="77777777">
        <w:trPr>
          <w:trHeight w:val="245"/>
        </w:trPr>
        <w:tc>
          <w:tcPr>
            <w:tcW w:w="6540" w:type="dxa"/>
            <w:shd w:val="clear" w:color="auto" w:fill="auto"/>
            <w:vAlign w:val="bottom"/>
          </w:tcPr>
          <w:p w14:paraId="0C917953"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TOGETHER WE SUCCEED</w:t>
            </w:r>
          </w:p>
        </w:tc>
        <w:tc>
          <w:tcPr>
            <w:tcW w:w="2820" w:type="dxa"/>
            <w:shd w:val="clear" w:color="auto" w:fill="auto"/>
            <w:vAlign w:val="bottom"/>
          </w:tcPr>
          <w:p w14:paraId="43E8297D"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20</w:t>
            </w:r>
          </w:p>
        </w:tc>
      </w:tr>
      <w:tr w:rsidR="00000000" w:rsidRPr="0060384B" w14:paraId="42B67B3D" w14:textId="77777777">
        <w:trPr>
          <w:trHeight w:val="258"/>
        </w:trPr>
        <w:tc>
          <w:tcPr>
            <w:tcW w:w="6540" w:type="dxa"/>
            <w:shd w:val="clear" w:color="auto" w:fill="auto"/>
            <w:vAlign w:val="bottom"/>
          </w:tcPr>
          <w:p w14:paraId="7240D1AE"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 xml:space="preserve">NIH Bypass Budget Proposal for </w:t>
            </w:r>
            <w:r w:rsidRPr="0060384B">
              <w:rPr>
                <w:rFonts w:ascii="Lato" w:hAnsi="Lato"/>
                <w:color w:val="000000" w:themeColor="text1"/>
                <w:sz w:val="24"/>
                <w:szCs w:val="24"/>
              </w:rPr>
              <w:t>Fiscal Year 2021</w:t>
            </w:r>
          </w:p>
        </w:tc>
        <w:tc>
          <w:tcPr>
            <w:tcW w:w="2820" w:type="dxa"/>
            <w:shd w:val="clear" w:color="auto" w:fill="auto"/>
            <w:vAlign w:val="bottom"/>
          </w:tcPr>
          <w:p w14:paraId="3BB8FC5E" w14:textId="77777777" w:rsidR="00000000" w:rsidRPr="0060384B" w:rsidRDefault="00CA5F6F">
            <w:pPr>
              <w:spacing w:line="0" w:lineRule="atLeast"/>
              <w:rPr>
                <w:rFonts w:ascii="Lato" w:eastAsia="Times New Roman" w:hAnsi="Lato"/>
                <w:color w:val="000000" w:themeColor="text1"/>
                <w:sz w:val="24"/>
                <w:szCs w:val="24"/>
              </w:rPr>
            </w:pPr>
          </w:p>
        </w:tc>
      </w:tr>
    </w:tbl>
    <w:p w14:paraId="6DA2ABDF"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14A88C9D" w14:textId="77777777" w:rsidR="00000000" w:rsidRPr="0060384B" w:rsidRDefault="00CA5F6F">
      <w:pPr>
        <w:spacing w:line="242" w:lineRule="auto"/>
        <w:ind w:right="60"/>
        <w:rPr>
          <w:rFonts w:ascii="Lato" w:hAnsi="Lato"/>
          <w:color w:val="000000" w:themeColor="text1"/>
          <w:sz w:val="24"/>
          <w:szCs w:val="24"/>
        </w:rPr>
      </w:pPr>
      <w:bookmarkStart w:id="23" w:name="page24"/>
      <w:bookmarkEnd w:id="23"/>
      <w:r w:rsidRPr="0060384B">
        <w:rPr>
          <w:rFonts w:ascii="Lato" w:hAnsi="Lato"/>
          <w:color w:val="000000" w:themeColor="text1"/>
          <w:sz w:val="24"/>
          <w:szCs w:val="24"/>
        </w:rPr>
        <w:lastRenderedPageBreak/>
        <w:t>heritable alterations in the expression levels of specific genes. An important class of epigenetic marks is DNA methylation, the most common kind of genetic variation in humans. NIH-supported researchers (</w:t>
      </w:r>
      <w:hyperlink r:id="rId60" w:history="1">
        <w:r w:rsidRPr="0060384B">
          <w:rPr>
            <w:rFonts w:ascii="Lato" w:hAnsi="Lato"/>
            <w:color w:val="000000" w:themeColor="text1"/>
            <w:sz w:val="24"/>
            <w:szCs w:val="24"/>
          </w:rPr>
          <w:t>Marioni et al., 2018</w:t>
        </w:r>
      </w:hyperlink>
      <w:r w:rsidRPr="0060384B">
        <w:rPr>
          <w:rFonts w:ascii="Lato" w:hAnsi="Lato"/>
          <w:color w:val="000000" w:themeColor="text1"/>
          <w:sz w:val="24"/>
          <w:szCs w:val="24"/>
        </w:rPr>
        <w:t>) looked for DNA methylation marks in blood samples from 6,809 older adults who had been tested on seven different measures of cognitive function. The scientists identified two genetic loci whose methylatio</w:t>
      </w:r>
      <w:r w:rsidRPr="0060384B">
        <w:rPr>
          <w:rFonts w:ascii="Lato" w:hAnsi="Lato"/>
          <w:color w:val="000000" w:themeColor="text1"/>
          <w:sz w:val="24"/>
          <w:szCs w:val="24"/>
        </w:rPr>
        <w:t xml:space="preserve">n levels correlated significantly with cognitive measures: a locus on chromosome 12 associated with global cognitive function and one near the </w:t>
      </w:r>
      <w:r w:rsidRPr="0060384B">
        <w:rPr>
          <w:rFonts w:ascii="Lato" w:hAnsi="Lato"/>
          <w:color w:val="000000" w:themeColor="text1"/>
          <w:sz w:val="24"/>
          <w:szCs w:val="24"/>
        </w:rPr>
        <w:t>INPP5A</w:t>
      </w:r>
      <w:r w:rsidRPr="0060384B">
        <w:rPr>
          <w:rFonts w:ascii="Lato" w:hAnsi="Lato"/>
          <w:color w:val="000000" w:themeColor="text1"/>
          <w:sz w:val="24"/>
          <w:szCs w:val="24"/>
        </w:rPr>
        <w:t xml:space="preserve"> gene on chromosome 10 associated with verbal fluency. </w:t>
      </w:r>
      <w:r w:rsidRPr="0060384B">
        <w:rPr>
          <w:rFonts w:ascii="Lato" w:hAnsi="Lato"/>
          <w:color w:val="000000" w:themeColor="text1"/>
          <w:sz w:val="24"/>
          <w:szCs w:val="24"/>
        </w:rPr>
        <w:t>INPP5A</w:t>
      </w:r>
      <w:r w:rsidRPr="0060384B">
        <w:rPr>
          <w:rFonts w:ascii="Lato" w:hAnsi="Lato"/>
          <w:color w:val="000000" w:themeColor="text1"/>
          <w:sz w:val="24"/>
          <w:szCs w:val="24"/>
        </w:rPr>
        <w:t xml:space="preserve"> and other members of the </w:t>
      </w:r>
      <w:r w:rsidRPr="0060384B">
        <w:rPr>
          <w:rFonts w:ascii="Lato" w:hAnsi="Lato"/>
          <w:color w:val="000000" w:themeColor="text1"/>
          <w:sz w:val="24"/>
          <w:szCs w:val="24"/>
        </w:rPr>
        <w:t>INPP5</w:t>
      </w:r>
      <w:r w:rsidRPr="0060384B">
        <w:rPr>
          <w:rFonts w:ascii="Lato" w:hAnsi="Lato"/>
          <w:color w:val="000000" w:themeColor="text1"/>
          <w:sz w:val="24"/>
          <w:szCs w:val="24"/>
        </w:rPr>
        <w:t xml:space="preserve"> gene family ha</w:t>
      </w:r>
      <w:r w:rsidRPr="0060384B">
        <w:rPr>
          <w:rFonts w:ascii="Lato" w:hAnsi="Lato"/>
          <w:color w:val="000000" w:themeColor="text1"/>
          <w:sz w:val="24"/>
          <w:szCs w:val="24"/>
        </w:rPr>
        <w:t>ve been linked to neuronal calcium mobilization and neurodegeneration. This study suggests that blood-based DNA methylation signatures can be used to probe the biological mechanisms via which the environment impacts the genome to modulate cognitive functio</w:t>
      </w:r>
      <w:r w:rsidRPr="0060384B">
        <w:rPr>
          <w:rFonts w:ascii="Lato" w:hAnsi="Lato"/>
          <w:color w:val="000000" w:themeColor="text1"/>
          <w:sz w:val="24"/>
          <w:szCs w:val="24"/>
        </w:rPr>
        <w:t>n in health and disease.</w:t>
      </w:r>
    </w:p>
    <w:p w14:paraId="21272D97" w14:textId="77777777" w:rsidR="00000000" w:rsidRPr="0060384B" w:rsidRDefault="00CA5F6F">
      <w:pPr>
        <w:spacing w:line="249" w:lineRule="exact"/>
        <w:rPr>
          <w:rFonts w:ascii="Lato" w:eastAsia="Times New Roman" w:hAnsi="Lato"/>
          <w:color w:val="000000" w:themeColor="text1"/>
          <w:sz w:val="24"/>
          <w:szCs w:val="24"/>
        </w:rPr>
      </w:pPr>
    </w:p>
    <w:p w14:paraId="770CC96D" w14:textId="77777777" w:rsidR="00000000" w:rsidRPr="0060384B" w:rsidRDefault="00CA5F6F">
      <w:pPr>
        <w:spacing w:line="243" w:lineRule="auto"/>
        <w:ind w:right="60"/>
        <w:rPr>
          <w:rFonts w:ascii="Lato" w:hAnsi="Lato"/>
          <w:color w:val="000000" w:themeColor="text1"/>
          <w:sz w:val="24"/>
          <w:szCs w:val="24"/>
        </w:rPr>
      </w:pPr>
      <w:r w:rsidRPr="0060384B">
        <w:rPr>
          <w:rFonts w:ascii="Lato" w:hAnsi="Lato"/>
          <w:b/>
          <w:color w:val="000000" w:themeColor="text1"/>
          <w:sz w:val="24"/>
          <w:szCs w:val="24"/>
        </w:rPr>
        <w:t xml:space="preserve">First GWAS study of risk genes for dementia with Lewy bodies. </w:t>
      </w:r>
      <w:r w:rsidRPr="0060384B">
        <w:rPr>
          <w:rFonts w:ascii="Lato" w:hAnsi="Lato"/>
          <w:color w:val="000000" w:themeColor="text1"/>
          <w:sz w:val="24"/>
          <w:szCs w:val="24"/>
        </w:rPr>
        <w:t>Dementia with Lewy bodies</w:t>
      </w:r>
      <w:r w:rsidRPr="0060384B">
        <w:rPr>
          <w:rFonts w:ascii="Lato" w:hAnsi="Lato"/>
          <w:b/>
          <w:color w:val="000000" w:themeColor="text1"/>
          <w:sz w:val="24"/>
          <w:szCs w:val="24"/>
        </w:rPr>
        <w:t xml:space="preserve"> </w:t>
      </w:r>
      <w:r w:rsidRPr="0060384B">
        <w:rPr>
          <w:rFonts w:ascii="Lato" w:hAnsi="Lato"/>
          <w:color w:val="000000" w:themeColor="text1"/>
          <w:sz w:val="24"/>
          <w:szCs w:val="24"/>
        </w:rPr>
        <w:t>(DLB) is the second most common form of dementia after Alzheimer</w:t>
      </w:r>
      <w:r w:rsidRPr="0060384B">
        <w:rPr>
          <w:rFonts w:ascii="Lato" w:hAnsi="Lato"/>
          <w:color w:val="000000" w:themeColor="text1"/>
          <w:sz w:val="24"/>
          <w:szCs w:val="24"/>
        </w:rPr>
        <w:t>’s disease. People with DLB typically have both Alzheimer</w:t>
      </w:r>
      <w:r w:rsidRPr="0060384B">
        <w:rPr>
          <w:rFonts w:ascii="Lato" w:hAnsi="Lato"/>
          <w:color w:val="000000" w:themeColor="text1"/>
          <w:sz w:val="24"/>
          <w:szCs w:val="24"/>
        </w:rPr>
        <w:t>’s disease-like sympt</w:t>
      </w:r>
      <w:r w:rsidRPr="0060384B">
        <w:rPr>
          <w:rFonts w:ascii="Lato" w:hAnsi="Lato"/>
          <w:color w:val="000000" w:themeColor="text1"/>
          <w:sz w:val="24"/>
          <w:szCs w:val="24"/>
        </w:rPr>
        <w:t>oms (dementia) and Parkinson</w:t>
      </w:r>
      <w:r w:rsidRPr="0060384B">
        <w:rPr>
          <w:rFonts w:ascii="Lato" w:hAnsi="Lato"/>
          <w:color w:val="000000" w:themeColor="text1"/>
          <w:sz w:val="24"/>
          <w:szCs w:val="24"/>
        </w:rPr>
        <w:t>’s disease- like symptoms (motor abnormalities, cognitive fluctuations, and visual hallucinations). Because DLB is relatively rare, its genetics have been difficult to untangle. NIH-funded researchers have now reported on the fi</w:t>
      </w:r>
      <w:r w:rsidRPr="0060384B">
        <w:rPr>
          <w:rFonts w:ascii="Lato" w:hAnsi="Lato"/>
          <w:color w:val="000000" w:themeColor="text1"/>
          <w:sz w:val="24"/>
          <w:szCs w:val="24"/>
        </w:rPr>
        <w:t xml:space="preserve">rst large-scale GWAS of DLB </w:t>
      </w:r>
      <w:hyperlink r:id="rId61" w:history="1">
        <w:r w:rsidRPr="0060384B">
          <w:rPr>
            <w:rFonts w:ascii="Lato" w:hAnsi="Lato"/>
            <w:color w:val="000000" w:themeColor="text1"/>
            <w:sz w:val="24"/>
            <w:szCs w:val="24"/>
          </w:rPr>
          <w:t>(</w:t>
        </w:r>
        <w:r w:rsidRPr="0060384B">
          <w:rPr>
            <w:rFonts w:ascii="Lato" w:hAnsi="Lato"/>
            <w:color w:val="000000" w:themeColor="text1"/>
            <w:sz w:val="24"/>
            <w:szCs w:val="24"/>
          </w:rPr>
          <w:t>Guerreiro et al., 2018</w:t>
        </w:r>
      </w:hyperlink>
      <w:r w:rsidRPr="0060384B">
        <w:rPr>
          <w:rFonts w:ascii="Lato" w:hAnsi="Lato"/>
          <w:color w:val="000000" w:themeColor="text1"/>
          <w:sz w:val="24"/>
          <w:szCs w:val="24"/>
        </w:rPr>
        <w:t>). The study involved 1,743 people with DLB and 4,454 controls of European ancestry from 22 centers across 10 countries in Europe, North America</w:t>
      </w:r>
      <w:r w:rsidRPr="0060384B">
        <w:rPr>
          <w:rFonts w:ascii="Lato" w:hAnsi="Lato"/>
          <w:color w:val="000000" w:themeColor="text1"/>
          <w:sz w:val="24"/>
          <w:szCs w:val="24"/>
        </w:rPr>
        <w:t>, and Australia. Researchers analyzed over 8 million SNPs in two separate analyses.</w:t>
      </w:r>
    </w:p>
    <w:p w14:paraId="4098570E" w14:textId="77777777" w:rsidR="00000000" w:rsidRPr="0060384B" w:rsidRDefault="00CA5F6F">
      <w:pPr>
        <w:spacing w:line="252" w:lineRule="exact"/>
        <w:rPr>
          <w:rFonts w:ascii="Lato" w:eastAsia="Times New Roman" w:hAnsi="Lato"/>
          <w:color w:val="000000" w:themeColor="text1"/>
          <w:sz w:val="24"/>
          <w:szCs w:val="24"/>
        </w:rPr>
      </w:pPr>
    </w:p>
    <w:p w14:paraId="2F5082B0" w14:textId="77777777" w:rsidR="00000000" w:rsidRPr="0060384B" w:rsidRDefault="00CA5F6F">
      <w:pPr>
        <w:spacing w:line="242" w:lineRule="auto"/>
        <w:ind w:right="140"/>
        <w:rPr>
          <w:rFonts w:ascii="Lato" w:hAnsi="Lato"/>
          <w:color w:val="000000" w:themeColor="text1"/>
          <w:sz w:val="24"/>
          <w:szCs w:val="24"/>
        </w:rPr>
      </w:pPr>
      <w:r w:rsidRPr="0060384B">
        <w:rPr>
          <w:rFonts w:ascii="Lato" w:hAnsi="Lato"/>
          <w:color w:val="000000" w:themeColor="text1"/>
          <w:sz w:val="24"/>
          <w:szCs w:val="24"/>
        </w:rPr>
        <w:t xml:space="preserve">The DNA sequence variants most strongly associated with DLB were in the genes for ApoE, alpha- synuclein </w:t>
      </w:r>
      <w:r w:rsidRPr="0060384B">
        <w:rPr>
          <w:rFonts w:ascii="Lato" w:hAnsi="Lato"/>
          <w:color w:val="000000" w:themeColor="text1"/>
          <w:sz w:val="24"/>
          <w:szCs w:val="24"/>
        </w:rPr>
        <w:t>(SNCA),</w:t>
      </w:r>
      <w:r w:rsidRPr="0060384B">
        <w:rPr>
          <w:rFonts w:ascii="Lato" w:hAnsi="Lato"/>
          <w:color w:val="000000" w:themeColor="text1"/>
          <w:sz w:val="24"/>
          <w:szCs w:val="24"/>
        </w:rPr>
        <w:t xml:space="preserve"> and beta -glucocerebrosidase </w:t>
      </w:r>
      <w:r w:rsidRPr="0060384B">
        <w:rPr>
          <w:rFonts w:ascii="Lato" w:hAnsi="Lato"/>
          <w:color w:val="000000" w:themeColor="text1"/>
          <w:sz w:val="24"/>
          <w:szCs w:val="24"/>
        </w:rPr>
        <w:t>(GBA).</w:t>
      </w:r>
      <w:r w:rsidRPr="0060384B">
        <w:rPr>
          <w:rFonts w:ascii="Lato" w:hAnsi="Lato"/>
          <w:color w:val="000000" w:themeColor="text1"/>
          <w:sz w:val="24"/>
          <w:szCs w:val="24"/>
        </w:rPr>
        <w:t xml:space="preserve"> ApoE is the strongest </w:t>
      </w:r>
      <w:r w:rsidRPr="0060384B">
        <w:rPr>
          <w:rFonts w:ascii="Lato" w:hAnsi="Lato"/>
          <w:color w:val="000000" w:themeColor="text1"/>
          <w:sz w:val="24"/>
          <w:szCs w:val="24"/>
        </w:rPr>
        <w:t>genetic risk factor for Alzheimer</w:t>
      </w:r>
      <w:r w:rsidRPr="0060384B">
        <w:rPr>
          <w:rFonts w:ascii="Lato" w:hAnsi="Lato"/>
          <w:color w:val="000000" w:themeColor="text1"/>
          <w:sz w:val="24"/>
          <w:szCs w:val="24"/>
        </w:rPr>
        <w:t xml:space="preserve">’s, and </w:t>
      </w:r>
      <w:r w:rsidRPr="0060384B">
        <w:rPr>
          <w:rFonts w:ascii="Lato" w:hAnsi="Lato"/>
          <w:color w:val="000000" w:themeColor="text1"/>
          <w:sz w:val="24"/>
          <w:szCs w:val="24"/>
        </w:rPr>
        <w:t>SNCA</w:t>
      </w:r>
      <w:r w:rsidRPr="0060384B">
        <w:rPr>
          <w:rFonts w:ascii="Lato" w:hAnsi="Lato"/>
          <w:color w:val="000000" w:themeColor="text1"/>
          <w:sz w:val="24"/>
          <w:szCs w:val="24"/>
        </w:rPr>
        <w:t xml:space="preserve"> and </w:t>
      </w:r>
      <w:r w:rsidRPr="0060384B">
        <w:rPr>
          <w:rFonts w:ascii="Lato" w:hAnsi="Lato"/>
          <w:color w:val="000000" w:themeColor="text1"/>
          <w:sz w:val="24"/>
          <w:szCs w:val="24"/>
        </w:rPr>
        <w:t>GBA</w:t>
      </w:r>
      <w:r w:rsidRPr="0060384B">
        <w:rPr>
          <w:rFonts w:ascii="Lato" w:hAnsi="Lato"/>
          <w:color w:val="000000" w:themeColor="text1"/>
          <w:sz w:val="24"/>
          <w:szCs w:val="24"/>
        </w:rPr>
        <w:t xml:space="preserve"> were previously identified as risk factors for Parkinson</w:t>
      </w:r>
      <w:r w:rsidRPr="0060384B">
        <w:rPr>
          <w:rFonts w:ascii="Lato" w:hAnsi="Lato"/>
          <w:color w:val="000000" w:themeColor="text1"/>
          <w:sz w:val="24"/>
          <w:szCs w:val="24"/>
        </w:rPr>
        <w:t xml:space="preserve">’s disease. The </w:t>
      </w:r>
      <w:r w:rsidRPr="0060384B">
        <w:rPr>
          <w:rFonts w:ascii="Lato" w:hAnsi="Lato"/>
          <w:color w:val="000000" w:themeColor="text1"/>
          <w:sz w:val="24"/>
          <w:szCs w:val="24"/>
        </w:rPr>
        <w:t>SNCA</w:t>
      </w:r>
      <w:r w:rsidRPr="0060384B">
        <w:rPr>
          <w:rFonts w:ascii="Lato" w:hAnsi="Lato"/>
          <w:color w:val="000000" w:themeColor="text1"/>
          <w:sz w:val="24"/>
          <w:szCs w:val="24"/>
        </w:rPr>
        <w:t xml:space="preserve"> variants associated with DLB were different than those previously associated with Parkinson</w:t>
      </w:r>
      <w:r w:rsidRPr="0060384B">
        <w:rPr>
          <w:rFonts w:ascii="Lato" w:hAnsi="Lato"/>
          <w:color w:val="000000" w:themeColor="text1"/>
          <w:sz w:val="24"/>
          <w:szCs w:val="24"/>
        </w:rPr>
        <w:t xml:space="preserve">’s, consistent with the fact that </w:t>
      </w:r>
      <w:r w:rsidRPr="0060384B">
        <w:rPr>
          <w:rFonts w:ascii="Lato" w:hAnsi="Lato"/>
          <w:color w:val="000000" w:themeColor="text1"/>
          <w:sz w:val="24"/>
          <w:szCs w:val="24"/>
        </w:rPr>
        <w:t>alpha-synuclein pathology affects different brain regions in DLB than it does in Parkinson</w:t>
      </w:r>
      <w:r w:rsidRPr="0060384B">
        <w:rPr>
          <w:rFonts w:ascii="Lato" w:hAnsi="Lato"/>
          <w:color w:val="000000" w:themeColor="text1"/>
          <w:sz w:val="24"/>
          <w:szCs w:val="24"/>
        </w:rPr>
        <w:t xml:space="preserve">’s. Variants in a third gene, </w:t>
      </w:r>
      <w:r w:rsidRPr="0060384B">
        <w:rPr>
          <w:rFonts w:ascii="Lato" w:hAnsi="Lato"/>
          <w:color w:val="000000" w:themeColor="text1"/>
          <w:sz w:val="24"/>
          <w:szCs w:val="24"/>
        </w:rPr>
        <w:t xml:space="preserve">CNTN1, </w:t>
      </w:r>
      <w:r w:rsidRPr="0060384B">
        <w:rPr>
          <w:rFonts w:ascii="Lato" w:hAnsi="Lato"/>
          <w:color w:val="000000" w:themeColor="text1"/>
          <w:sz w:val="24"/>
          <w:szCs w:val="24"/>
        </w:rPr>
        <w:t>came close to statistical significance.</w:t>
      </w:r>
      <w:r w:rsidRPr="0060384B">
        <w:rPr>
          <w:rFonts w:ascii="Lato" w:hAnsi="Lato"/>
          <w:color w:val="000000" w:themeColor="text1"/>
          <w:sz w:val="24"/>
          <w:szCs w:val="24"/>
        </w:rPr>
        <w:t xml:space="preserve"> CNTN1 </w:t>
      </w:r>
      <w:r w:rsidRPr="0060384B">
        <w:rPr>
          <w:rFonts w:ascii="Lato" w:hAnsi="Lato"/>
          <w:color w:val="000000" w:themeColor="text1"/>
          <w:sz w:val="24"/>
          <w:szCs w:val="24"/>
        </w:rPr>
        <w:t>is a neuronal cell membrane protein with</w:t>
      </w:r>
      <w:r w:rsidRPr="0060384B">
        <w:rPr>
          <w:rFonts w:ascii="Lato" w:hAnsi="Lato"/>
          <w:color w:val="000000" w:themeColor="text1"/>
          <w:sz w:val="24"/>
          <w:szCs w:val="24"/>
        </w:rPr>
        <w:t xml:space="preserve"> </w:t>
      </w:r>
      <w:r w:rsidRPr="0060384B">
        <w:rPr>
          <w:rFonts w:ascii="Lato" w:hAnsi="Lato"/>
          <w:color w:val="000000" w:themeColor="text1"/>
          <w:sz w:val="24"/>
          <w:szCs w:val="24"/>
        </w:rPr>
        <w:t>important roles in neural and neuromuscula</w:t>
      </w:r>
      <w:r w:rsidRPr="0060384B">
        <w:rPr>
          <w:rFonts w:ascii="Lato" w:hAnsi="Lato"/>
          <w:color w:val="000000" w:themeColor="text1"/>
          <w:sz w:val="24"/>
          <w:szCs w:val="24"/>
        </w:rPr>
        <w:t>r development and is mutated in a familial form of lethal congenital myopathy.</w:t>
      </w:r>
    </w:p>
    <w:p w14:paraId="3EB2622B" w14:textId="77777777" w:rsidR="00000000" w:rsidRPr="0060384B" w:rsidRDefault="00CA5F6F">
      <w:pPr>
        <w:spacing w:line="257" w:lineRule="exact"/>
        <w:rPr>
          <w:rFonts w:ascii="Lato" w:eastAsia="Times New Roman" w:hAnsi="Lato"/>
          <w:color w:val="000000" w:themeColor="text1"/>
          <w:sz w:val="24"/>
          <w:szCs w:val="24"/>
        </w:rPr>
      </w:pPr>
    </w:p>
    <w:p w14:paraId="5C6CE95B" w14:textId="77777777" w:rsidR="00000000" w:rsidRPr="0060384B" w:rsidRDefault="00CA5F6F">
      <w:pPr>
        <w:spacing w:line="247" w:lineRule="auto"/>
        <w:ind w:right="280"/>
        <w:rPr>
          <w:rFonts w:ascii="Lato" w:hAnsi="Lato"/>
          <w:color w:val="000000" w:themeColor="text1"/>
          <w:sz w:val="24"/>
          <w:szCs w:val="24"/>
        </w:rPr>
      </w:pPr>
      <w:r w:rsidRPr="0060384B">
        <w:rPr>
          <w:rFonts w:ascii="Lato" w:hAnsi="Lato"/>
          <w:color w:val="000000" w:themeColor="text1"/>
          <w:sz w:val="24"/>
          <w:szCs w:val="24"/>
        </w:rPr>
        <w:t>These results suggest that DLB shares certain biological pathways with Alzheimer</w:t>
      </w:r>
      <w:r w:rsidRPr="0060384B">
        <w:rPr>
          <w:rFonts w:ascii="Lato" w:hAnsi="Lato"/>
          <w:color w:val="000000" w:themeColor="text1"/>
          <w:sz w:val="24"/>
          <w:szCs w:val="24"/>
        </w:rPr>
        <w:t>’s and Parkinson</w:t>
      </w:r>
      <w:r w:rsidRPr="0060384B">
        <w:rPr>
          <w:rFonts w:ascii="Lato" w:hAnsi="Lato"/>
          <w:color w:val="000000" w:themeColor="text1"/>
          <w:sz w:val="24"/>
          <w:szCs w:val="24"/>
        </w:rPr>
        <w:t>’s diseases, but also involves unique pathways, additional components of which a</w:t>
      </w:r>
      <w:r w:rsidRPr="0060384B">
        <w:rPr>
          <w:rFonts w:ascii="Lato" w:hAnsi="Lato"/>
          <w:color w:val="000000" w:themeColor="text1"/>
          <w:sz w:val="24"/>
          <w:szCs w:val="24"/>
        </w:rPr>
        <w:t>re likely to be revealed by future genetic studies. This study lays an important foundation for understanding the biological basis of DLB.</w:t>
      </w:r>
    </w:p>
    <w:p w14:paraId="59412AD0" w14:textId="77777777" w:rsidR="00000000" w:rsidRPr="0060384B" w:rsidRDefault="00CA5F6F">
      <w:pPr>
        <w:spacing w:line="239" w:lineRule="exact"/>
        <w:rPr>
          <w:rFonts w:ascii="Lato" w:eastAsia="Times New Roman" w:hAnsi="Lato"/>
          <w:color w:val="000000" w:themeColor="text1"/>
          <w:sz w:val="24"/>
          <w:szCs w:val="24"/>
        </w:rPr>
      </w:pPr>
    </w:p>
    <w:p w14:paraId="341456D6"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Integrating Epidemiological and Biomarker Studies to Assess Risk, Prevalence</w:t>
      </w:r>
    </w:p>
    <w:p w14:paraId="0B543174" w14:textId="77777777" w:rsidR="00000000" w:rsidRPr="0060384B" w:rsidRDefault="00CA5F6F">
      <w:pPr>
        <w:spacing w:line="287" w:lineRule="exact"/>
        <w:rPr>
          <w:rFonts w:ascii="Lato" w:eastAsia="Times New Roman" w:hAnsi="Lato"/>
          <w:color w:val="000000" w:themeColor="text1"/>
          <w:sz w:val="24"/>
          <w:szCs w:val="24"/>
        </w:rPr>
      </w:pPr>
    </w:p>
    <w:p w14:paraId="37F9DD39" w14:textId="77777777" w:rsidR="00000000" w:rsidRPr="0060384B" w:rsidRDefault="00CA5F6F">
      <w:pPr>
        <w:spacing w:line="255" w:lineRule="auto"/>
        <w:ind w:right="60"/>
        <w:rPr>
          <w:rFonts w:ascii="Lato" w:hAnsi="Lato"/>
          <w:color w:val="000000" w:themeColor="text1"/>
          <w:sz w:val="24"/>
          <w:szCs w:val="24"/>
        </w:rPr>
      </w:pPr>
      <w:r w:rsidRPr="0060384B">
        <w:rPr>
          <w:rFonts w:ascii="Lato" w:hAnsi="Lato"/>
          <w:color w:val="000000" w:themeColor="text1"/>
          <w:sz w:val="24"/>
          <w:szCs w:val="24"/>
        </w:rPr>
        <w:t>NIH-funded scientists reported the fir</w:t>
      </w:r>
      <w:r w:rsidRPr="0060384B">
        <w:rPr>
          <w:rFonts w:ascii="Lato" w:hAnsi="Lato"/>
          <w:color w:val="000000" w:themeColor="text1"/>
          <w:sz w:val="24"/>
          <w:szCs w:val="24"/>
        </w:rPr>
        <w:t>st-ever estimates of lifetime and 10-year risks of developing Alzheimer</w:t>
      </w:r>
      <w:r w:rsidRPr="0060384B">
        <w:rPr>
          <w:rFonts w:ascii="Lato" w:hAnsi="Lato"/>
          <w:color w:val="000000" w:themeColor="text1"/>
          <w:sz w:val="24"/>
          <w:szCs w:val="24"/>
        </w:rPr>
        <w:t xml:space="preserve">’s dementia based on age, gender, and biomarker tests for preclinical disease </w:t>
      </w:r>
      <w:hyperlink r:id="rId62" w:history="1">
        <w:r w:rsidRPr="0060384B">
          <w:rPr>
            <w:rFonts w:ascii="Lato" w:hAnsi="Lato"/>
            <w:color w:val="000000" w:themeColor="text1"/>
            <w:sz w:val="24"/>
            <w:szCs w:val="24"/>
          </w:rPr>
          <w:t>(</w:t>
        </w:r>
        <w:r w:rsidRPr="0060384B">
          <w:rPr>
            <w:rFonts w:ascii="Lato" w:hAnsi="Lato"/>
            <w:color w:val="000000" w:themeColor="text1"/>
            <w:sz w:val="24"/>
            <w:szCs w:val="24"/>
          </w:rPr>
          <w:t>Brookmeyer and Abdalla, 2018</w:t>
        </w:r>
      </w:hyperlink>
      <w:r w:rsidRPr="0060384B">
        <w:rPr>
          <w:rFonts w:ascii="Lato" w:hAnsi="Lato"/>
          <w:color w:val="000000" w:themeColor="text1"/>
          <w:sz w:val="24"/>
          <w:szCs w:val="24"/>
        </w:rPr>
        <w:t xml:space="preserve">). Lifetime risk </w:t>
      </w:r>
      <w:r w:rsidRPr="0060384B">
        <w:rPr>
          <w:rFonts w:ascii="Lato" w:hAnsi="Lato"/>
          <w:color w:val="000000" w:themeColor="text1"/>
          <w:sz w:val="24"/>
          <w:szCs w:val="24"/>
        </w:rPr>
        <w:t>is the probability that an individual will experience a particular clinical condition before death. The team did a mathematical analysis of several longitudinal epidemiological studies in the United States and Europe, which allowed them to model the Alzhei</w:t>
      </w:r>
      <w:r w:rsidRPr="0060384B">
        <w:rPr>
          <w:rFonts w:ascii="Lato" w:hAnsi="Lato"/>
          <w:color w:val="000000" w:themeColor="text1"/>
          <w:sz w:val="24"/>
          <w:szCs w:val="24"/>
        </w:rPr>
        <w:t>mer</w:t>
      </w:r>
      <w:r w:rsidRPr="0060384B">
        <w:rPr>
          <w:rFonts w:ascii="Lato" w:hAnsi="Lato"/>
          <w:color w:val="000000" w:themeColor="text1"/>
          <w:sz w:val="24"/>
          <w:szCs w:val="24"/>
        </w:rPr>
        <w:t>’s disease process, showing lifetime risks at each age increase by disease state/marker: normal; neurodegeneration alone; amyloidosis (defined by brain amyloid</w:t>
      </w:r>
    </w:p>
    <w:p w14:paraId="07A8A263" w14:textId="77777777" w:rsidR="00000000" w:rsidRPr="0060384B" w:rsidRDefault="00CA5F6F">
      <w:pPr>
        <w:spacing w:line="255" w:lineRule="auto"/>
        <w:ind w:right="6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6B6A58CC" w14:textId="77777777" w:rsidR="00000000" w:rsidRPr="0060384B" w:rsidRDefault="00CA5F6F">
      <w:pPr>
        <w:spacing w:line="274"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7ABFF803" w14:textId="77777777">
        <w:trPr>
          <w:trHeight w:val="245"/>
        </w:trPr>
        <w:tc>
          <w:tcPr>
            <w:tcW w:w="6540" w:type="dxa"/>
            <w:shd w:val="clear" w:color="auto" w:fill="auto"/>
            <w:vAlign w:val="bottom"/>
          </w:tcPr>
          <w:p w14:paraId="69DD8A16"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7307511F"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21</w:t>
            </w:r>
          </w:p>
        </w:tc>
      </w:tr>
      <w:tr w:rsidR="00000000" w:rsidRPr="0060384B" w14:paraId="66C4ABFF" w14:textId="77777777">
        <w:trPr>
          <w:trHeight w:val="258"/>
        </w:trPr>
        <w:tc>
          <w:tcPr>
            <w:tcW w:w="6540" w:type="dxa"/>
            <w:shd w:val="clear" w:color="auto" w:fill="auto"/>
            <w:vAlign w:val="bottom"/>
          </w:tcPr>
          <w:p w14:paraId="319A7EB5"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0EFBA3B9" w14:textId="77777777" w:rsidR="00000000" w:rsidRPr="0060384B" w:rsidRDefault="00CA5F6F">
            <w:pPr>
              <w:spacing w:line="0" w:lineRule="atLeast"/>
              <w:rPr>
                <w:rFonts w:ascii="Lato" w:eastAsia="Times New Roman" w:hAnsi="Lato"/>
                <w:color w:val="000000" w:themeColor="text1"/>
                <w:sz w:val="24"/>
                <w:szCs w:val="24"/>
              </w:rPr>
            </w:pPr>
          </w:p>
        </w:tc>
      </w:tr>
    </w:tbl>
    <w:p w14:paraId="220753E5"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0E2A2E25" w14:textId="77777777" w:rsidR="00000000" w:rsidRPr="0060384B" w:rsidRDefault="00CA5F6F">
      <w:pPr>
        <w:spacing w:line="251" w:lineRule="auto"/>
        <w:ind w:right="1120"/>
        <w:rPr>
          <w:rFonts w:ascii="Lato" w:hAnsi="Lato"/>
          <w:color w:val="000000" w:themeColor="text1"/>
          <w:sz w:val="24"/>
          <w:szCs w:val="24"/>
        </w:rPr>
      </w:pPr>
      <w:bookmarkStart w:id="24" w:name="page25"/>
      <w:bookmarkEnd w:id="24"/>
      <w:r w:rsidRPr="0060384B">
        <w:rPr>
          <w:rFonts w:ascii="Lato" w:hAnsi="Lato"/>
          <w:color w:val="000000" w:themeColor="text1"/>
          <w:sz w:val="24"/>
          <w:szCs w:val="24"/>
        </w:rPr>
        <w:lastRenderedPageBreak/>
        <w:t>identified by po</w:t>
      </w:r>
      <w:r w:rsidRPr="0060384B">
        <w:rPr>
          <w:rFonts w:ascii="Lato" w:hAnsi="Lato"/>
          <w:color w:val="000000" w:themeColor="text1"/>
          <w:sz w:val="24"/>
          <w:szCs w:val="24"/>
        </w:rPr>
        <w:t>sitron emission tomography) or amyloid-beta alone; amyloidosis and neurodegeneration; MCI with neurodegeneration; and MCI with amyloidosis and neurodegeneration.</w:t>
      </w:r>
    </w:p>
    <w:p w14:paraId="0338EC87" w14:textId="77777777" w:rsidR="00000000" w:rsidRPr="0060384B" w:rsidRDefault="00CA5F6F">
      <w:pPr>
        <w:spacing w:line="240" w:lineRule="exact"/>
        <w:rPr>
          <w:rFonts w:ascii="Lato" w:eastAsia="Times New Roman" w:hAnsi="Lato"/>
          <w:color w:val="000000" w:themeColor="text1"/>
          <w:sz w:val="24"/>
          <w:szCs w:val="24"/>
        </w:rPr>
      </w:pPr>
    </w:p>
    <w:p w14:paraId="39D6BB87" w14:textId="77777777" w:rsidR="00000000" w:rsidRPr="0060384B" w:rsidRDefault="00CA5F6F">
      <w:pPr>
        <w:spacing w:line="244" w:lineRule="auto"/>
        <w:ind w:right="140"/>
        <w:rPr>
          <w:rFonts w:ascii="Lato" w:hAnsi="Lato"/>
          <w:color w:val="000000" w:themeColor="text1"/>
          <w:sz w:val="24"/>
          <w:szCs w:val="24"/>
        </w:rPr>
      </w:pPr>
      <w:r w:rsidRPr="0060384B">
        <w:rPr>
          <w:rFonts w:ascii="Lato" w:hAnsi="Lato"/>
          <w:color w:val="000000" w:themeColor="text1"/>
          <w:sz w:val="24"/>
          <w:szCs w:val="24"/>
        </w:rPr>
        <w:t>The models showed that the preclinical period of Alzheimer</w:t>
      </w:r>
      <w:r w:rsidRPr="0060384B">
        <w:rPr>
          <w:rFonts w:ascii="Lato" w:hAnsi="Lato"/>
          <w:color w:val="000000" w:themeColor="text1"/>
          <w:sz w:val="24"/>
          <w:szCs w:val="24"/>
        </w:rPr>
        <w:t>’s disease is very long and variabl</w:t>
      </w:r>
      <w:r w:rsidRPr="0060384B">
        <w:rPr>
          <w:rFonts w:ascii="Lato" w:hAnsi="Lato"/>
          <w:color w:val="000000" w:themeColor="text1"/>
          <w:sz w:val="24"/>
          <w:szCs w:val="24"/>
        </w:rPr>
        <w:t>e, and lifetime risks of Alzheimer</w:t>
      </w:r>
      <w:r w:rsidRPr="0060384B">
        <w:rPr>
          <w:rFonts w:ascii="Lato" w:hAnsi="Lato"/>
          <w:color w:val="000000" w:themeColor="text1"/>
          <w:sz w:val="24"/>
          <w:szCs w:val="24"/>
        </w:rPr>
        <w:t>’s dementia differed considerably by age, gender, and the preclinical or clinical disease state of the individual. For example, the lifetime risks for a female with only amyloidosis were 8.4 percent for a 90-year old and 2</w:t>
      </w:r>
      <w:r w:rsidRPr="0060384B">
        <w:rPr>
          <w:rFonts w:ascii="Lato" w:hAnsi="Lato"/>
          <w:color w:val="000000" w:themeColor="text1"/>
          <w:sz w:val="24"/>
          <w:szCs w:val="24"/>
        </w:rPr>
        <w:t>9.3 percent for a 65- year old. People younger than 85 years with MCI, amyloidosis, and neurodegeneration were shown to have lifetime risks greater than 50 percent.</w:t>
      </w:r>
    </w:p>
    <w:p w14:paraId="7DE504A1" w14:textId="77777777" w:rsidR="00000000" w:rsidRPr="0060384B" w:rsidRDefault="00CA5F6F">
      <w:pPr>
        <w:spacing w:line="250" w:lineRule="exact"/>
        <w:rPr>
          <w:rFonts w:ascii="Lato" w:eastAsia="Times New Roman" w:hAnsi="Lato"/>
          <w:color w:val="000000" w:themeColor="text1"/>
          <w:sz w:val="24"/>
          <w:szCs w:val="24"/>
        </w:rPr>
      </w:pPr>
    </w:p>
    <w:p w14:paraId="55EF9C7B" w14:textId="77777777" w:rsidR="00000000" w:rsidRPr="0060384B" w:rsidRDefault="00CA5F6F">
      <w:pPr>
        <w:spacing w:line="247" w:lineRule="auto"/>
        <w:ind w:right="280"/>
        <w:rPr>
          <w:rFonts w:ascii="Lato" w:hAnsi="Lato"/>
          <w:color w:val="000000" w:themeColor="text1"/>
          <w:sz w:val="24"/>
          <w:szCs w:val="24"/>
        </w:rPr>
      </w:pPr>
      <w:r w:rsidRPr="0060384B">
        <w:rPr>
          <w:rFonts w:ascii="Lato" w:hAnsi="Lato"/>
          <w:color w:val="000000" w:themeColor="text1"/>
          <w:sz w:val="24"/>
          <w:szCs w:val="24"/>
        </w:rPr>
        <w:t>Overall, the scientists found, most people showing preclinical signs of Alzheimer</w:t>
      </w:r>
      <w:r w:rsidRPr="0060384B">
        <w:rPr>
          <w:rFonts w:ascii="Lato" w:hAnsi="Lato"/>
          <w:color w:val="000000" w:themeColor="text1"/>
          <w:sz w:val="24"/>
          <w:szCs w:val="24"/>
        </w:rPr>
        <w:t>’s will n</w:t>
      </w:r>
      <w:r w:rsidRPr="0060384B">
        <w:rPr>
          <w:rFonts w:ascii="Lato" w:hAnsi="Lato"/>
          <w:color w:val="000000" w:themeColor="text1"/>
          <w:sz w:val="24"/>
          <w:szCs w:val="24"/>
        </w:rPr>
        <w:t>ot develop Alzheimer</w:t>
      </w:r>
      <w:r w:rsidRPr="0060384B">
        <w:rPr>
          <w:rFonts w:ascii="Lato" w:hAnsi="Lato"/>
          <w:color w:val="000000" w:themeColor="text1"/>
          <w:sz w:val="24"/>
          <w:szCs w:val="24"/>
        </w:rPr>
        <w:t>’s dementia in their lifetimes. The researchers noted that such lifetime risk calculations could be helpful in deciding if an Alzheimer</w:t>
      </w:r>
      <w:r w:rsidRPr="0060384B">
        <w:rPr>
          <w:rFonts w:ascii="Lato" w:hAnsi="Lato"/>
          <w:color w:val="000000" w:themeColor="text1"/>
          <w:sz w:val="24"/>
          <w:szCs w:val="24"/>
        </w:rPr>
        <w:t>’s biomarker screening would provide clinically useful information for a given patient.</w:t>
      </w:r>
    </w:p>
    <w:p w14:paraId="64530E99" w14:textId="77777777" w:rsidR="00000000" w:rsidRPr="0060384B" w:rsidRDefault="00CA5F6F">
      <w:pPr>
        <w:spacing w:line="239" w:lineRule="exact"/>
        <w:rPr>
          <w:rFonts w:ascii="Lato" w:eastAsia="Times New Roman" w:hAnsi="Lato"/>
          <w:color w:val="000000" w:themeColor="text1"/>
          <w:sz w:val="24"/>
          <w:szCs w:val="24"/>
        </w:rPr>
      </w:pPr>
    </w:p>
    <w:p w14:paraId="6163DD58" w14:textId="77777777" w:rsidR="00000000" w:rsidRPr="0060384B" w:rsidRDefault="00CA5F6F">
      <w:pPr>
        <w:spacing w:line="271" w:lineRule="auto"/>
        <w:ind w:right="980"/>
        <w:rPr>
          <w:rFonts w:ascii="Lato" w:hAnsi="Lato"/>
          <w:b/>
          <w:color w:val="000000" w:themeColor="text1"/>
          <w:sz w:val="24"/>
          <w:szCs w:val="24"/>
        </w:rPr>
      </w:pPr>
      <w:r w:rsidRPr="0060384B">
        <w:rPr>
          <w:rFonts w:ascii="Lato" w:hAnsi="Lato"/>
          <w:b/>
          <w:color w:val="000000" w:themeColor="text1"/>
          <w:sz w:val="24"/>
          <w:szCs w:val="24"/>
        </w:rPr>
        <w:t>Looking Ahea</w:t>
      </w:r>
      <w:r w:rsidRPr="0060384B">
        <w:rPr>
          <w:rFonts w:ascii="Lato" w:hAnsi="Lato"/>
          <w:b/>
          <w:color w:val="000000" w:themeColor="text1"/>
          <w:sz w:val="24"/>
          <w:szCs w:val="24"/>
        </w:rPr>
        <w:t>d: Strengthening the Population, Epidemiological Research of the Future</w:t>
      </w:r>
    </w:p>
    <w:p w14:paraId="4F2F6A09" w14:textId="77777777" w:rsidR="00000000" w:rsidRPr="0060384B" w:rsidRDefault="00CA5F6F">
      <w:pPr>
        <w:spacing w:line="198" w:lineRule="exact"/>
        <w:rPr>
          <w:rFonts w:ascii="Lato" w:eastAsia="Times New Roman" w:hAnsi="Lato"/>
          <w:color w:val="000000" w:themeColor="text1"/>
          <w:sz w:val="24"/>
          <w:szCs w:val="24"/>
        </w:rPr>
      </w:pPr>
    </w:p>
    <w:p w14:paraId="6903B8C7" w14:textId="77777777" w:rsidR="00000000" w:rsidRPr="0060384B" w:rsidRDefault="00CA5F6F">
      <w:pPr>
        <w:spacing w:line="252" w:lineRule="auto"/>
        <w:ind w:right="160"/>
        <w:jc w:val="both"/>
        <w:rPr>
          <w:rFonts w:ascii="Lato" w:hAnsi="Lato"/>
          <w:color w:val="000000" w:themeColor="text1"/>
          <w:sz w:val="24"/>
          <w:szCs w:val="24"/>
        </w:rPr>
      </w:pPr>
      <w:r w:rsidRPr="0060384B">
        <w:rPr>
          <w:rFonts w:ascii="Lato" w:hAnsi="Lato"/>
          <w:color w:val="000000" w:themeColor="text1"/>
          <w:sz w:val="24"/>
          <w:szCs w:val="24"/>
        </w:rPr>
        <w:t>Epidemiological research will continue to inform what we know about Alzheimer</w:t>
      </w:r>
      <w:r w:rsidRPr="0060384B">
        <w:rPr>
          <w:rFonts w:ascii="Lato" w:hAnsi="Lato"/>
          <w:color w:val="000000" w:themeColor="text1"/>
          <w:sz w:val="24"/>
          <w:szCs w:val="24"/>
        </w:rPr>
        <w:t xml:space="preserve">’s and related dementias on population and subpopulation levels. NIH has funded research programs in this </w:t>
      </w:r>
      <w:r w:rsidRPr="0060384B">
        <w:rPr>
          <w:rFonts w:ascii="Lato" w:hAnsi="Lato"/>
          <w:color w:val="000000" w:themeColor="text1"/>
          <w:sz w:val="24"/>
          <w:szCs w:val="24"/>
        </w:rPr>
        <w:t>area.</w:t>
      </w:r>
    </w:p>
    <w:p w14:paraId="4ED49E82" w14:textId="77777777" w:rsidR="00000000" w:rsidRPr="0060384B" w:rsidRDefault="00CA5F6F">
      <w:pPr>
        <w:spacing w:line="75" w:lineRule="exact"/>
        <w:rPr>
          <w:rFonts w:ascii="Lato" w:eastAsia="Times New Roman" w:hAnsi="Lato"/>
          <w:color w:val="000000" w:themeColor="text1"/>
          <w:sz w:val="24"/>
          <w:szCs w:val="24"/>
        </w:rPr>
      </w:pPr>
    </w:p>
    <w:p w14:paraId="4DD1B080" w14:textId="77777777" w:rsidR="00000000" w:rsidRPr="0060384B" w:rsidRDefault="00CA5F6F">
      <w:pPr>
        <w:spacing w:line="242" w:lineRule="auto"/>
        <w:ind w:right="20"/>
        <w:rPr>
          <w:rFonts w:ascii="Lato" w:hAnsi="Lato"/>
          <w:color w:val="000000" w:themeColor="text1"/>
          <w:sz w:val="24"/>
          <w:szCs w:val="24"/>
        </w:rPr>
      </w:pPr>
      <w:r w:rsidRPr="0060384B">
        <w:rPr>
          <w:rFonts w:ascii="Lato" w:hAnsi="Lato"/>
          <w:b/>
          <w:color w:val="000000" w:themeColor="text1"/>
          <w:sz w:val="24"/>
          <w:szCs w:val="24"/>
        </w:rPr>
        <w:t xml:space="preserve">Taking a U.S., global view to tracking dementia. </w:t>
      </w:r>
      <w:r w:rsidRPr="0060384B">
        <w:rPr>
          <w:rFonts w:ascii="Lato" w:hAnsi="Lato"/>
          <w:color w:val="000000" w:themeColor="text1"/>
          <w:sz w:val="24"/>
          <w:szCs w:val="24"/>
        </w:rPr>
        <w:t>The Health and Retirement Study: Harmonized</w:t>
      </w:r>
      <w:r w:rsidRPr="0060384B">
        <w:rPr>
          <w:rFonts w:ascii="Lato" w:hAnsi="Lato"/>
          <w:b/>
          <w:color w:val="000000" w:themeColor="text1"/>
          <w:sz w:val="24"/>
          <w:szCs w:val="24"/>
        </w:rPr>
        <w:t xml:space="preserve"> </w:t>
      </w:r>
      <w:r w:rsidRPr="0060384B">
        <w:rPr>
          <w:rFonts w:ascii="Lato" w:hAnsi="Lato"/>
          <w:color w:val="000000" w:themeColor="text1"/>
          <w:sz w:val="24"/>
          <w:szCs w:val="24"/>
        </w:rPr>
        <w:t>Cognitive Assessment Protocol (HCAP) initiative is an innovative approach to assessing trends in cognitive function and aging in the United States and world</w:t>
      </w:r>
      <w:r w:rsidRPr="0060384B">
        <w:rPr>
          <w:rFonts w:ascii="Lato" w:hAnsi="Lato"/>
          <w:color w:val="000000" w:themeColor="text1"/>
          <w:sz w:val="24"/>
          <w:szCs w:val="24"/>
        </w:rPr>
        <w:t>wide. The primary aim of the HRS, funded by NIA and the Social Security Administration, is to collect and distribute multidisciplinary data for research on aging. To provide the research community with new and richer data to study the prevalence, predictor</w:t>
      </w:r>
      <w:r w:rsidRPr="0060384B">
        <w:rPr>
          <w:rFonts w:ascii="Lato" w:hAnsi="Lato"/>
          <w:color w:val="000000" w:themeColor="text1"/>
          <w:sz w:val="24"/>
          <w:szCs w:val="24"/>
        </w:rPr>
        <w:t>s, and outcomes of cognitive impairment and dementia, NIH first supported HCAP during the HRS</w:t>
      </w:r>
      <w:r w:rsidRPr="0060384B">
        <w:rPr>
          <w:rFonts w:ascii="Lato" w:hAnsi="Lato"/>
          <w:color w:val="000000" w:themeColor="text1"/>
          <w:sz w:val="24"/>
          <w:szCs w:val="24"/>
        </w:rPr>
        <w:t>’ 2016 field period, in which investigators administered a supplemental in-home, 1-hour battery of cognitive tests to about 3,200 randomly selected HRS respondents</w:t>
      </w:r>
      <w:r w:rsidRPr="0060384B">
        <w:rPr>
          <w:rFonts w:ascii="Lato" w:hAnsi="Lato"/>
          <w:color w:val="000000" w:themeColor="text1"/>
          <w:sz w:val="24"/>
          <w:szCs w:val="24"/>
        </w:rPr>
        <w:t xml:space="preserve"> age 65 and older, along with a 20-minute informant interview. The </w:t>
      </w:r>
      <w:hyperlink r:id="rId63" w:history="1">
        <w:r w:rsidRPr="0060384B">
          <w:rPr>
            <w:rFonts w:ascii="Lato" w:hAnsi="Lato"/>
            <w:color w:val="000000" w:themeColor="text1"/>
            <w:sz w:val="24"/>
            <w:szCs w:val="24"/>
          </w:rPr>
          <w:t>data from that 2016 assessment</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have now been made publicly available to the scientific community, and analyses ar</w:t>
      </w:r>
      <w:r w:rsidRPr="0060384B">
        <w:rPr>
          <w:rFonts w:ascii="Lato" w:hAnsi="Lato"/>
          <w:color w:val="000000" w:themeColor="text1"/>
          <w:sz w:val="24"/>
          <w:szCs w:val="24"/>
        </w:rPr>
        <w:t>e underway.</w:t>
      </w:r>
    </w:p>
    <w:p w14:paraId="006CFF16" w14:textId="77777777" w:rsidR="00000000" w:rsidRPr="0060384B" w:rsidRDefault="00CA5F6F">
      <w:pPr>
        <w:spacing w:line="255" w:lineRule="exact"/>
        <w:rPr>
          <w:rFonts w:ascii="Lato" w:eastAsia="Times New Roman" w:hAnsi="Lato"/>
          <w:color w:val="000000" w:themeColor="text1"/>
          <w:sz w:val="24"/>
          <w:szCs w:val="24"/>
        </w:rPr>
      </w:pPr>
    </w:p>
    <w:p w14:paraId="7082A7A3" w14:textId="77777777" w:rsidR="00000000" w:rsidRPr="0060384B" w:rsidRDefault="00CA5F6F">
      <w:pPr>
        <w:spacing w:line="258" w:lineRule="auto"/>
        <w:ind w:right="80"/>
        <w:rPr>
          <w:rFonts w:ascii="Lato" w:hAnsi="Lato"/>
          <w:color w:val="000000" w:themeColor="text1"/>
          <w:sz w:val="24"/>
          <w:szCs w:val="24"/>
        </w:rPr>
      </w:pPr>
      <w:hyperlink r:id="rId64" w:history="1">
        <w:r w:rsidRPr="0060384B">
          <w:rPr>
            <w:rFonts w:ascii="Lato" w:hAnsi="Lato"/>
            <w:color w:val="000000" w:themeColor="text1"/>
            <w:sz w:val="24"/>
            <w:szCs w:val="24"/>
          </w:rPr>
          <w:t>HCAP 2020,</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a</w:t>
      </w:r>
      <w:r w:rsidRPr="0060384B">
        <w:rPr>
          <w:rFonts w:ascii="Lato" w:hAnsi="Lato"/>
          <w:color w:val="000000" w:themeColor="text1"/>
          <w:sz w:val="24"/>
          <w:szCs w:val="24"/>
        </w:rPr>
        <w:t xml:space="preserve"> </w:t>
      </w:r>
      <w:r w:rsidRPr="0060384B">
        <w:rPr>
          <w:rFonts w:ascii="Lato" w:hAnsi="Lato"/>
          <w:color w:val="000000" w:themeColor="text1"/>
          <w:sz w:val="24"/>
          <w:szCs w:val="24"/>
        </w:rPr>
        <w:t>follow-up to the original, is now being planned. Researchers will readminister the</w:t>
      </w:r>
      <w:r w:rsidRPr="0060384B">
        <w:rPr>
          <w:rFonts w:ascii="Lato" w:hAnsi="Lato"/>
          <w:color w:val="000000" w:themeColor="text1"/>
          <w:sz w:val="24"/>
          <w:szCs w:val="24"/>
        </w:rPr>
        <w:t xml:space="preserve"> </w:t>
      </w:r>
      <w:r w:rsidRPr="0060384B">
        <w:rPr>
          <w:rFonts w:ascii="Lato" w:hAnsi="Lato"/>
          <w:color w:val="000000" w:themeColor="text1"/>
          <w:sz w:val="24"/>
          <w:szCs w:val="24"/>
        </w:rPr>
        <w:t>same in-home cognitive assessment and seek a</w:t>
      </w:r>
      <w:r w:rsidRPr="0060384B">
        <w:rPr>
          <w:rFonts w:ascii="Lato" w:hAnsi="Lato"/>
          <w:color w:val="000000" w:themeColor="text1"/>
          <w:sz w:val="24"/>
          <w:szCs w:val="24"/>
        </w:rPr>
        <w:t>n informant report from all surviving members of the original HCAP sample and from a new random sample of those age 65 to 68 in 2020. HCAP 2020 will provide extensive new data to better assess trajectories of cognitive decline among older U.S. adults, incl</w:t>
      </w:r>
      <w:r w:rsidRPr="0060384B">
        <w:rPr>
          <w:rFonts w:ascii="Lato" w:hAnsi="Lato"/>
          <w:color w:val="000000" w:themeColor="text1"/>
          <w:sz w:val="24"/>
          <w:szCs w:val="24"/>
        </w:rPr>
        <w:t>uding the incidence of new cognitive impairment and dementia.</w:t>
      </w:r>
    </w:p>
    <w:p w14:paraId="5F65FE57" w14:textId="77777777" w:rsidR="00000000" w:rsidRPr="0060384B" w:rsidRDefault="00CA5F6F">
      <w:pPr>
        <w:spacing w:line="236" w:lineRule="exact"/>
        <w:rPr>
          <w:rFonts w:ascii="Lato" w:eastAsia="Times New Roman" w:hAnsi="Lato"/>
          <w:color w:val="000000" w:themeColor="text1"/>
          <w:sz w:val="24"/>
          <w:szCs w:val="24"/>
        </w:rPr>
      </w:pPr>
    </w:p>
    <w:p w14:paraId="66DB4B29" w14:textId="77777777" w:rsidR="00000000" w:rsidRPr="0060384B" w:rsidRDefault="00CA5F6F">
      <w:pPr>
        <w:spacing w:line="247" w:lineRule="auto"/>
        <w:ind w:right="240"/>
        <w:rPr>
          <w:rFonts w:ascii="Lato" w:hAnsi="Lato"/>
          <w:color w:val="000000" w:themeColor="text1"/>
          <w:sz w:val="24"/>
          <w:szCs w:val="24"/>
        </w:rPr>
      </w:pPr>
      <w:r w:rsidRPr="0060384B">
        <w:rPr>
          <w:rFonts w:ascii="Lato" w:hAnsi="Lato"/>
          <w:color w:val="000000" w:themeColor="text1"/>
          <w:sz w:val="24"/>
          <w:szCs w:val="24"/>
        </w:rPr>
        <w:t>These data afford an unprecedented opportunity to more clearly describe trends in the incidence and prevalence of dementia around the world. HCAP is also being administered in other developed a</w:t>
      </w:r>
      <w:r w:rsidRPr="0060384B">
        <w:rPr>
          <w:rFonts w:ascii="Lato" w:hAnsi="Lato"/>
          <w:color w:val="000000" w:themeColor="text1"/>
          <w:sz w:val="24"/>
          <w:szCs w:val="24"/>
        </w:rPr>
        <w:t>nd developing countries, where HRS-like representative population surveys are conducted, including in China, England, India, Mexico, South Africa, and parts of the</w:t>
      </w:r>
    </w:p>
    <w:p w14:paraId="05DF51E5" w14:textId="77777777" w:rsidR="00000000" w:rsidRPr="0060384B" w:rsidRDefault="00CA5F6F">
      <w:pPr>
        <w:spacing w:line="247" w:lineRule="auto"/>
        <w:ind w:right="24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6355642E" w14:textId="77777777" w:rsidR="00000000" w:rsidRPr="0060384B" w:rsidRDefault="00CA5F6F">
      <w:pPr>
        <w:spacing w:line="200" w:lineRule="exact"/>
        <w:rPr>
          <w:rFonts w:ascii="Lato" w:eastAsia="Times New Roman" w:hAnsi="Lato"/>
          <w:color w:val="000000" w:themeColor="text1"/>
          <w:sz w:val="24"/>
          <w:szCs w:val="24"/>
        </w:rPr>
      </w:pPr>
    </w:p>
    <w:p w14:paraId="5DF11612" w14:textId="77777777" w:rsidR="00000000" w:rsidRPr="0060384B" w:rsidRDefault="00CA5F6F">
      <w:pPr>
        <w:spacing w:line="200" w:lineRule="exact"/>
        <w:rPr>
          <w:rFonts w:ascii="Lato" w:eastAsia="Times New Roman" w:hAnsi="Lato"/>
          <w:color w:val="000000" w:themeColor="text1"/>
          <w:sz w:val="24"/>
          <w:szCs w:val="24"/>
        </w:rPr>
      </w:pPr>
    </w:p>
    <w:p w14:paraId="04E896D2" w14:textId="77777777" w:rsidR="00000000" w:rsidRPr="0060384B" w:rsidRDefault="00CA5F6F">
      <w:pPr>
        <w:spacing w:line="308"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5842B927" w14:textId="77777777">
        <w:trPr>
          <w:trHeight w:val="245"/>
        </w:trPr>
        <w:tc>
          <w:tcPr>
            <w:tcW w:w="6540" w:type="dxa"/>
            <w:shd w:val="clear" w:color="auto" w:fill="auto"/>
            <w:vAlign w:val="bottom"/>
          </w:tcPr>
          <w:p w14:paraId="69EEA771"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039A79E3"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22</w:t>
            </w:r>
          </w:p>
        </w:tc>
      </w:tr>
      <w:tr w:rsidR="00000000" w:rsidRPr="0060384B" w14:paraId="16D0F55C" w14:textId="77777777">
        <w:trPr>
          <w:trHeight w:val="258"/>
        </w:trPr>
        <w:tc>
          <w:tcPr>
            <w:tcW w:w="6540" w:type="dxa"/>
            <w:shd w:val="clear" w:color="auto" w:fill="auto"/>
            <w:vAlign w:val="bottom"/>
          </w:tcPr>
          <w:p w14:paraId="12C5F625"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NIH Bypass Budget Proposal for Fiscal Year 2021</w:t>
            </w:r>
          </w:p>
        </w:tc>
        <w:tc>
          <w:tcPr>
            <w:tcW w:w="2820" w:type="dxa"/>
            <w:shd w:val="clear" w:color="auto" w:fill="auto"/>
            <w:vAlign w:val="bottom"/>
          </w:tcPr>
          <w:p w14:paraId="4F80AF46" w14:textId="77777777" w:rsidR="00000000" w:rsidRPr="0060384B" w:rsidRDefault="00CA5F6F">
            <w:pPr>
              <w:spacing w:line="0" w:lineRule="atLeast"/>
              <w:rPr>
                <w:rFonts w:ascii="Lato" w:eastAsia="Times New Roman" w:hAnsi="Lato"/>
                <w:color w:val="000000" w:themeColor="text1"/>
                <w:sz w:val="24"/>
                <w:szCs w:val="24"/>
              </w:rPr>
            </w:pPr>
          </w:p>
        </w:tc>
      </w:tr>
    </w:tbl>
    <w:p w14:paraId="69619799"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6001A5DE" w14:textId="77777777" w:rsidR="00000000" w:rsidRPr="0060384B" w:rsidRDefault="00CA5F6F">
      <w:pPr>
        <w:spacing w:line="262" w:lineRule="auto"/>
        <w:ind w:right="840"/>
        <w:rPr>
          <w:rFonts w:ascii="Lato" w:hAnsi="Lato"/>
          <w:color w:val="000000" w:themeColor="text1"/>
          <w:sz w:val="24"/>
          <w:szCs w:val="24"/>
        </w:rPr>
      </w:pPr>
      <w:bookmarkStart w:id="25" w:name="page26"/>
      <w:bookmarkEnd w:id="25"/>
      <w:r w:rsidRPr="0060384B">
        <w:rPr>
          <w:rFonts w:ascii="Lato" w:hAnsi="Lato"/>
          <w:color w:val="000000" w:themeColor="text1"/>
          <w:sz w:val="24"/>
          <w:szCs w:val="24"/>
        </w:rPr>
        <w:lastRenderedPageBreak/>
        <w:t>European Unio</w:t>
      </w:r>
      <w:r w:rsidRPr="0060384B">
        <w:rPr>
          <w:rFonts w:ascii="Lato" w:hAnsi="Lato"/>
          <w:color w:val="000000" w:themeColor="text1"/>
          <w:sz w:val="24"/>
          <w:szCs w:val="24"/>
        </w:rPr>
        <w:t>n. In most of these studies, important biomarker data, including DNA for genotyping and future sequencing, is also being collected.</w:t>
      </w:r>
    </w:p>
    <w:p w14:paraId="3A4514F5" w14:textId="77777777" w:rsidR="00000000" w:rsidRPr="0060384B" w:rsidRDefault="00CA5F6F">
      <w:pPr>
        <w:spacing w:line="224" w:lineRule="exact"/>
        <w:rPr>
          <w:rFonts w:ascii="Lato" w:eastAsia="Times New Roman" w:hAnsi="Lato"/>
          <w:color w:val="000000" w:themeColor="text1"/>
          <w:sz w:val="24"/>
          <w:szCs w:val="24"/>
        </w:rPr>
      </w:pPr>
    </w:p>
    <w:p w14:paraId="0741D6A5" w14:textId="77777777" w:rsidR="00000000" w:rsidRPr="0060384B" w:rsidRDefault="00CA5F6F">
      <w:pPr>
        <w:spacing w:line="242" w:lineRule="auto"/>
        <w:rPr>
          <w:rFonts w:ascii="Lato" w:hAnsi="Lato"/>
          <w:color w:val="000000" w:themeColor="text1"/>
          <w:sz w:val="24"/>
          <w:szCs w:val="24"/>
        </w:rPr>
      </w:pPr>
      <w:r w:rsidRPr="0060384B">
        <w:rPr>
          <w:rFonts w:ascii="Lato" w:hAnsi="Lato"/>
          <w:b/>
          <w:color w:val="000000" w:themeColor="text1"/>
          <w:sz w:val="24"/>
          <w:szCs w:val="24"/>
        </w:rPr>
        <w:t xml:space="preserve">Understanding the cardiovascular and cerebrovascular risks for dementia. </w:t>
      </w:r>
      <w:r w:rsidRPr="0060384B">
        <w:rPr>
          <w:rFonts w:ascii="Lato" w:hAnsi="Lato"/>
          <w:color w:val="000000" w:themeColor="text1"/>
          <w:sz w:val="24"/>
          <w:szCs w:val="24"/>
        </w:rPr>
        <w:t>NIH supports the</w:t>
      </w:r>
      <w:r w:rsidRPr="0060384B">
        <w:rPr>
          <w:rFonts w:ascii="Lato" w:hAnsi="Lato"/>
          <w:b/>
          <w:color w:val="000000" w:themeColor="text1"/>
          <w:sz w:val="24"/>
          <w:szCs w:val="24"/>
        </w:rPr>
        <w:t xml:space="preserve"> </w:t>
      </w:r>
      <w:hyperlink r:id="rId65" w:history="1">
        <w:r w:rsidRPr="0060384B">
          <w:rPr>
            <w:rFonts w:ascii="Lato" w:hAnsi="Lato"/>
            <w:color w:val="000000" w:themeColor="text1"/>
            <w:sz w:val="24"/>
            <w:szCs w:val="24"/>
          </w:rPr>
          <w:t xml:space="preserve">Reasons for Geographic and Racial Differences in Stroke </w:t>
        </w:r>
      </w:hyperlink>
      <w:r w:rsidRPr="0060384B">
        <w:rPr>
          <w:rFonts w:ascii="Lato" w:hAnsi="Lato"/>
          <w:color w:val="000000" w:themeColor="text1"/>
          <w:sz w:val="24"/>
          <w:szCs w:val="24"/>
        </w:rPr>
        <w:t xml:space="preserve">(REGARDS) study and the </w:t>
      </w:r>
      <w:hyperlink r:id="rId66" w:history="1">
        <w:r w:rsidRPr="0060384B">
          <w:rPr>
            <w:rFonts w:ascii="Lato" w:hAnsi="Lato"/>
            <w:color w:val="000000" w:themeColor="text1"/>
            <w:sz w:val="24"/>
            <w:szCs w:val="24"/>
          </w:rPr>
          <w:t>Northern</w:t>
        </w:r>
      </w:hyperlink>
      <w:r w:rsidRPr="0060384B">
        <w:rPr>
          <w:rFonts w:ascii="Lato" w:hAnsi="Lato"/>
          <w:color w:val="000000" w:themeColor="text1"/>
          <w:sz w:val="24"/>
          <w:szCs w:val="24"/>
        </w:rPr>
        <w:t xml:space="preserve"> </w:t>
      </w:r>
      <w:hyperlink r:id="rId67" w:history="1">
        <w:r w:rsidRPr="0060384B">
          <w:rPr>
            <w:rFonts w:ascii="Lato" w:hAnsi="Lato"/>
            <w:color w:val="000000" w:themeColor="text1"/>
            <w:sz w:val="24"/>
            <w:szCs w:val="24"/>
          </w:rPr>
          <w:t xml:space="preserve">Manhattan Study </w:t>
        </w:r>
      </w:hyperlink>
      <w:r w:rsidRPr="0060384B">
        <w:rPr>
          <w:rFonts w:ascii="Lato" w:hAnsi="Lato"/>
          <w:color w:val="000000" w:themeColor="text1"/>
          <w:sz w:val="24"/>
          <w:szCs w:val="24"/>
        </w:rPr>
        <w:t>(NOMAS) to improve our understandin</w:t>
      </w:r>
      <w:r w:rsidRPr="0060384B">
        <w:rPr>
          <w:rFonts w:ascii="Lato" w:hAnsi="Lato"/>
          <w:color w:val="000000" w:themeColor="text1"/>
          <w:sz w:val="24"/>
          <w:szCs w:val="24"/>
        </w:rPr>
        <w:t>g of geographic and racial disparities in cardiovascular and cerebrovascular risk factors that lead to cognitive impairment and dementia. Scientists will be able to turn to these studies to address emerging evidence related to the role of midlife cardiovas</w:t>
      </w:r>
      <w:r w:rsidRPr="0060384B">
        <w:rPr>
          <w:rFonts w:ascii="Lato" w:hAnsi="Lato"/>
          <w:color w:val="000000" w:themeColor="text1"/>
          <w:sz w:val="24"/>
          <w:szCs w:val="24"/>
        </w:rPr>
        <w:t>cular and cerebrovascular health in cognitive outcomes, with the research focus of these long-standing cohort studies of black and Hispanic participants recently having been expanded to include investigation of health disparities in risk factors for dement</w:t>
      </w:r>
      <w:r w:rsidRPr="0060384B">
        <w:rPr>
          <w:rFonts w:ascii="Lato" w:hAnsi="Lato"/>
          <w:color w:val="000000" w:themeColor="text1"/>
          <w:sz w:val="24"/>
          <w:szCs w:val="24"/>
        </w:rPr>
        <w:t>ia and how they relate to stroke risk factors.</w:t>
      </w:r>
    </w:p>
    <w:p w14:paraId="03D4310A" w14:textId="77777777" w:rsidR="00000000" w:rsidRPr="0060384B" w:rsidRDefault="00CA5F6F">
      <w:pPr>
        <w:spacing w:line="260" w:lineRule="exact"/>
        <w:rPr>
          <w:rFonts w:ascii="Lato" w:hAnsi="Lato"/>
          <w:color w:val="000000" w:themeColor="text1"/>
          <w:sz w:val="24"/>
          <w:szCs w:val="24"/>
        </w:rPr>
      </w:pPr>
    </w:p>
    <w:p w14:paraId="7E6A0FD7" w14:textId="77777777" w:rsidR="00000000" w:rsidRPr="0060384B" w:rsidRDefault="00CA5F6F">
      <w:pPr>
        <w:spacing w:line="251" w:lineRule="auto"/>
        <w:ind w:right="140"/>
        <w:rPr>
          <w:rFonts w:ascii="Lato" w:hAnsi="Lato"/>
          <w:color w:val="000000" w:themeColor="text1"/>
          <w:sz w:val="24"/>
          <w:szCs w:val="24"/>
        </w:rPr>
      </w:pPr>
      <w:r w:rsidRPr="0060384B">
        <w:rPr>
          <w:rFonts w:ascii="Lato" w:hAnsi="Lato"/>
          <w:color w:val="000000" w:themeColor="text1"/>
          <w:sz w:val="24"/>
          <w:szCs w:val="24"/>
        </w:rPr>
        <w:t xml:space="preserve">Learn more about research implementation milestones and progress in this area at </w:t>
      </w:r>
      <w:hyperlink r:id="rId68" w:history="1">
        <w:r w:rsidRPr="0060384B">
          <w:rPr>
            <w:rFonts w:ascii="Lato" w:hAnsi="Lato"/>
            <w:color w:val="000000" w:themeColor="text1"/>
            <w:sz w:val="24"/>
            <w:szCs w:val="24"/>
          </w:rPr>
          <w:t>www.nia</w:t>
        </w:r>
        <w:r w:rsidRPr="0060384B">
          <w:rPr>
            <w:rFonts w:ascii="Lato" w:hAnsi="Lato"/>
            <w:color w:val="000000" w:themeColor="text1"/>
            <w:sz w:val="24"/>
            <w:szCs w:val="24"/>
          </w:rPr>
          <w:t>.nih.gov/research/milestones/focus-area/population-studies-epidemiology-precision-</w:t>
        </w:r>
      </w:hyperlink>
      <w:hyperlink r:id="rId69" w:history="1">
        <w:r w:rsidRPr="0060384B">
          <w:rPr>
            <w:rFonts w:ascii="Lato" w:hAnsi="Lato"/>
            <w:color w:val="000000" w:themeColor="text1"/>
            <w:sz w:val="24"/>
            <w:szCs w:val="24"/>
          </w:rPr>
          <w:t>medicine</w:t>
        </w:r>
        <w:r w:rsidRPr="0060384B">
          <w:rPr>
            <w:rFonts w:ascii="Lato" w:hAnsi="Lato"/>
            <w:color w:val="000000" w:themeColor="text1"/>
            <w:sz w:val="24"/>
            <w:szCs w:val="24"/>
          </w:rPr>
          <w:t>.</w:t>
        </w:r>
      </w:hyperlink>
    </w:p>
    <w:p w14:paraId="45EEA8AF" w14:textId="77777777" w:rsidR="00000000" w:rsidRPr="0060384B" w:rsidRDefault="00CA5F6F">
      <w:pPr>
        <w:spacing w:line="251" w:lineRule="auto"/>
        <w:ind w:right="14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6FCA2BE5" w14:textId="77777777" w:rsidR="00000000" w:rsidRPr="0060384B" w:rsidRDefault="00CA5F6F">
      <w:pPr>
        <w:spacing w:line="200" w:lineRule="exact"/>
        <w:rPr>
          <w:rFonts w:ascii="Lato" w:eastAsia="Times New Roman" w:hAnsi="Lato"/>
          <w:color w:val="000000" w:themeColor="text1"/>
          <w:sz w:val="24"/>
          <w:szCs w:val="24"/>
        </w:rPr>
      </w:pPr>
    </w:p>
    <w:p w14:paraId="3A02E6BB" w14:textId="77777777" w:rsidR="00000000" w:rsidRPr="0060384B" w:rsidRDefault="00CA5F6F">
      <w:pPr>
        <w:spacing w:line="200" w:lineRule="exact"/>
        <w:rPr>
          <w:rFonts w:ascii="Lato" w:eastAsia="Times New Roman" w:hAnsi="Lato"/>
          <w:color w:val="000000" w:themeColor="text1"/>
          <w:sz w:val="24"/>
          <w:szCs w:val="24"/>
        </w:rPr>
      </w:pPr>
    </w:p>
    <w:p w14:paraId="1C5A5533" w14:textId="77777777" w:rsidR="00000000" w:rsidRPr="0060384B" w:rsidRDefault="00CA5F6F">
      <w:pPr>
        <w:spacing w:line="200" w:lineRule="exact"/>
        <w:rPr>
          <w:rFonts w:ascii="Lato" w:eastAsia="Times New Roman" w:hAnsi="Lato"/>
          <w:color w:val="000000" w:themeColor="text1"/>
          <w:sz w:val="24"/>
          <w:szCs w:val="24"/>
        </w:rPr>
      </w:pPr>
    </w:p>
    <w:p w14:paraId="50834105" w14:textId="77777777" w:rsidR="00000000" w:rsidRPr="0060384B" w:rsidRDefault="00CA5F6F">
      <w:pPr>
        <w:spacing w:line="200" w:lineRule="exact"/>
        <w:rPr>
          <w:rFonts w:ascii="Lato" w:eastAsia="Times New Roman" w:hAnsi="Lato"/>
          <w:color w:val="000000" w:themeColor="text1"/>
          <w:sz w:val="24"/>
          <w:szCs w:val="24"/>
        </w:rPr>
      </w:pPr>
    </w:p>
    <w:p w14:paraId="56623F32" w14:textId="77777777" w:rsidR="00000000" w:rsidRPr="0060384B" w:rsidRDefault="00CA5F6F">
      <w:pPr>
        <w:spacing w:line="200" w:lineRule="exact"/>
        <w:rPr>
          <w:rFonts w:ascii="Lato" w:eastAsia="Times New Roman" w:hAnsi="Lato"/>
          <w:color w:val="000000" w:themeColor="text1"/>
          <w:sz w:val="24"/>
          <w:szCs w:val="24"/>
        </w:rPr>
      </w:pPr>
    </w:p>
    <w:p w14:paraId="121F4DF7" w14:textId="77777777" w:rsidR="00000000" w:rsidRPr="0060384B" w:rsidRDefault="00CA5F6F">
      <w:pPr>
        <w:spacing w:line="200" w:lineRule="exact"/>
        <w:rPr>
          <w:rFonts w:ascii="Lato" w:eastAsia="Times New Roman" w:hAnsi="Lato"/>
          <w:color w:val="000000" w:themeColor="text1"/>
          <w:sz w:val="24"/>
          <w:szCs w:val="24"/>
        </w:rPr>
      </w:pPr>
    </w:p>
    <w:p w14:paraId="55FEA651" w14:textId="77777777" w:rsidR="00000000" w:rsidRPr="0060384B" w:rsidRDefault="00CA5F6F">
      <w:pPr>
        <w:spacing w:line="200" w:lineRule="exact"/>
        <w:rPr>
          <w:rFonts w:ascii="Lato" w:eastAsia="Times New Roman" w:hAnsi="Lato"/>
          <w:color w:val="000000" w:themeColor="text1"/>
          <w:sz w:val="24"/>
          <w:szCs w:val="24"/>
        </w:rPr>
      </w:pPr>
    </w:p>
    <w:p w14:paraId="253F4400" w14:textId="77777777" w:rsidR="00000000" w:rsidRPr="0060384B" w:rsidRDefault="00CA5F6F">
      <w:pPr>
        <w:spacing w:line="200" w:lineRule="exact"/>
        <w:rPr>
          <w:rFonts w:ascii="Lato" w:eastAsia="Times New Roman" w:hAnsi="Lato"/>
          <w:color w:val="000000" w:themeColor="text1"/>
          <w:sz w:val="24"/>
          <w:szCs w:val="24"/>
        </w:rPr>
      </w:pPr>
    </w:p>
    <w:p w14:paraId="07206DEC" w14:textId="77777777" w:rsidR="00000000" w:rsidRPr="0060384B" w:rsidRDefault="00CA5F6F">
      <w:pPr>
        <w:spacing w:line="200" w:lineRule="exact"/>
        <w:rPr>
          <w:rFonts w:ascii="Lato" w:eastAsia="Times New Roman" w:hAnsi="Lato"/>
          <w:color w:val="000000" w:themeColor="text1"/>
          <w:sz w:val="24"/>
          <w:szCs w:val="24"/>
        </w:rPr>
      </w:pPr>
    </w:p>
    <w:p w14:paraId="0225B9E0" w14:textId="77777777" w:rsidR="00000000" w:rsidRPr="0060384B" w:rsidRDefault="00CA5F6F">
      <w:pPr>
        <w:spacing w:line="200" w:lineRule="exact"/>
        <w:rPr>
          <w:rFonts w:ascii="Lato" w:eastAsia="Times New Roman" w:hAnsi="Lato"/>
          <w:color w:val="000000" w:themeColor="text1"/>
          <w:sz w:val="24"/>
          <w:szCs w:val="24"/>
        </w:rPr>
      </w:pPr>
    </w:p>
    <w:p w14:paraId="7C587042" w14:textId="77777777" w:rsidR="00000000" w:rsidRPr="0060384B" w:rsidRDefault="00CA5F6F">
      <w:pPr>
        <w:spacing w:line="200" w:lineRule="exact"/>
        <w:rPr>
          <w:rFonts w:ascii="Lato" w:eastAsia="Times New Roman" w:hAnsi="Lato"/>
          <w:color w:val="000000" w:themeColor="text1"/>
          <w:sz w:val="24"/>
          <w:szCs w:val="24"/>
        </w:rPr>
      </w:pPr>
    </w:p>
    <w:p w14:paraId="67D7826C" w14:textId="77777777" w:rsidR="00000000" w:rsidRPr="0060384B" w:rsidRDefault="00CA5F6F">
      <w:pPr>
        <w:spacing w:line="200" w:lineRule="exact"/>
        <w:rPr>
          <w:rFonts w:ascii="Lato" w:eastAsia="Times New Roman" w:hAnsi="Lato"/>
          <w:color w:val="000000" w:themeColor="text1"/>
          <w:sz w:val="24"/>
          <w:szCs w:val="24"/>
        </w:rPr>
      </w:pPr>
    </w:p>
    <w:p w14:paraId="51B3501C" w14:textId="77777777" w:rsidR="00000000" w:rsidRPr="0060384B" w:rsidRDefault="00CA5F6F">
      <w:pPr>
        <w:spacing w:line="200" w:lineRule="exact"/>
        <w:rPr>
          <w:rFonts w:ascii="Lato" w:eastAsia="Times New Roman" w:hAnsi="Lato"/>
          <w:color w:val="000000" w:themeColor="text1"/>
          <w:sz w:val="24"/>
          <w:szCs w:val="24"/>
        </w:rPr>
      </w:pPr>
    </w:p>
    <w:p w14:paraId="67152B12" w14:textId="77777777" w:rsidR="00000000" w:rsidRPr="0060384B" w:rsidRDefault="00CA5F6F">
      <w:pPr>
        <w:spacing w:line="200" w:lineRule="exact"/>
        <w:rPr>
          <w:rFonts w:ascii="Lato" w:eastAsia="Times New Roman" w:hAnsi="Lato"/>
          <w:color w:val="000000" w:themeColor="text1"/>
          <w:sz w:val="24"/>
          <w:szCs w:val="24"/>
        </w:rPr>
      </w:pPr>
    </w:p>
    <w:p w14:paraId="322236C5" w14:textId="77777777" w:rsidR="00000000" w:rsidRPr="0060384B" w:rsidRDefault="00CA5F6F">
      <w:pPr>
        <w:spacing w:line="200" w:lineRule="exact"/>
        <w:rPr>
          <w:rFonts w:ascii="Lato" w:eastAsia="Times New Roman" w:hAnsi="Lato"/>
          <w:color w:val="000000" w:themeColor="text1"/>
          <w:sz w:val="24"/>
          <w:szCs w:val="24"/>
        </w:rPr>
      </w:pPr>
    </w:p>
    <w:p w14:paraId="659BE640" w14:textId="77777777" w:rsidR="00000000" w:rsidRPr="0060384B" w:rsidRDefault="00CA5F6F">
      <w:pPr>
        <w:spacing w:line="200" w:lineRule="exact"/>
        <w:rPr>
          <w:rFonts w:ascii="Lato" w:eastAsia="Times New Roman" w:hAnsi="Lato"/>
          <w:color w:val="000000" w:themeColor="text1"/>
          <w:sz w:val="24"/>
          <w:szCs w:val="24"/>
        </w:rPr>
      </w:pPr>
    </w:p>
    <w:p w14:paraId="28DD186B" w14:textId="77777777" w:rsidR="00000000" w:rsidRPr="0060384B" w:rsidRDefault="00CA5F6F">
      <w:pPr>
        <w:spacing w:line="200" w:lineRule="exact"/>
        <w:rPr>
          <w:rFonts w:ascii="Lato" w:eastAsia="Times New Roman" w:hAnsi="Lato"/>
          <w:color w:val="000000" w:themeColor="text1"/>
          <w:sz w:val="24"/>
          <w:szCs w:val="24"/>
        </w:rPr>
      </w:pPr>
    </w:p>
    <w:p w14:paraId="44FE7B51" w14:textId="77777777" w:rsidR="00000000" w:rsidRPr="0060384B" w:rsidRDefault="00CA5F6F">
      <w:pPr>
        <w:spacing w:line="200" w:lineRule="exact"/>
        <w:rPr>
          <w:rFonts w:ascii="Lato" w:eastAsia="Times New Roman" w:hAnsi="Lato"/>
          <w:color w:val="000000" w:themeColor="text1"/>
          <w:sz w:val="24"/>
          <w:szCs w:val="24"/>
        </w:rPr>
      </w:pPr>
    </w:p>
    <w:p w14:paraId="71CD9FF9" w14:textId="77777777" w:rsidR="00000000" w:rsidRPr="0060384B" w:rsidRDefault="00CA5F6F">
      <w:pPr>
        <w:spacing w:line="200" w:lineRule="exact"/>
        <w:rPr>
          <w:rFonts w:ascii="Lato" w:eastAsia="Times New Roman" w:hAnsi="Lato"/>
          <w:color w:val="000000" w:themeColor="text1"/>
          <w:sz w:val="24"/>
          <w:szCs w:val="24"/>
        </w:rPr>
      </w:pPr>
    </w:p>
    <w:p w14:paraId="787F1395" w14:textId="77777777" w:rsidR="00000000" w:rsidRPr="0060384B" w:rsidRDefault="00CA5F6F">
      <w:pPr>
        <w:spacing w:line="200" w:lineRule="exact"/>
        <w:rPr>
          <w:rFonts w:ascii="Lato" w:eastAsia="Times New Roman" w:hAnsi="Lato"/>
          <w:color w:val="000000" w:themeColor="text1"/>
          <w:sz w:val="24"/>
          <w:szCs w:val="24"/>
        </w:rPr>
      </w:pPr>
    </w:p>
    <w:p w14:paraId="3E1F2C59" w14:textId="77777777" w:rsidR="00000000" w:rsidRPr="0060384B" w:rsidRDefault="00CA5F6F">
      <w:pPr>
        <w:spacing w:line="200" w:lineRule="exact"/>
        <w:rPr>
          <w:rFonts w:ascii="Lato" w:eastAsia="Times New Roman" w:hAnsi="Lato"/>
          <w:color w:val="000000" w:themeColor="text1"/>
          <w:sz w:val="24"/>
          <w:szCs w:val="24"/>
        </w:rPr>
      </w:pPr>
    </w:p>
    <w:p w14:paraId="4CF5177E" w14:textId="77777777" w:rsidR="00000000" w:rsidRPr="0060384B" w:rsidRDefault="00CA5F6F">
      <w:pPr>
        <w:spacing w:line="200" w:lineRule="exact"/>
        <w:rPr>
          <w:rFonts w:ascii="Lato" w:eastAsia="Times New Roman" w:hAnsi="Lato"/>
          <w:color w:val="000000" w:themeColor="text1"/>
          <w:sz w:val="24"/>
          <w:szCs w:val="24"/>
        </w:rPr>
      </w:pPr>
    </w:p>
    <w:p w14:paraId="71930959" w14:textId="77777777" w:rsidR="00000000" w:rsidRPr="0060384B" w:rsidRDefault="00CA5F6F">
      <w:pPr>
        <w:spacing w:line="200" w:lineRule="exact"/>
        <w:rPr>
          <w:rFonts w:ascii="Lato" w:eastAsia="Times New Roman" w:hAnsi="Lato"/>
          <w:color w:val="000000" w:themeColor="text1"/>
          <w:sz w:val="24"/>
          <w:szCs w:val="24"/>
        </w:rPr>
      </w:pPr>
    </w:p>
    <w:p w14:paraId="30DA8D99" w14:textId="77777777" w:rsidR="00000000" w:rsidRPr="0060384B" w:rsidRDefault="00CA5F6F">
      <w:pPr>
        <w:spacing w:line="200" w:lineRule="exact"/>
        <w:rPr>
          <w:rFonts w:ascii="Lato" w:eastAsia="Times New Roman" w:hAnsi="Lato"/>
          <w:color w:val="000000" w:themeColor="text1"/>
          <w:sz w:val="24"/>
          <w:szCs w:val="24"/>
        </w:rPr>
      </w:pPr>
    </w:p>
    <w:p w14:paraId="4B770092" w14:textId="77777777" w:rsidR="00000000" w:rsidRPr="0060384B" w:rsidRDefault="00CA5F6F">
      <w:pPr>
        <w:spacing w:line="200" w:lineRule="exact"/>
        <w:rPr>
          <w:rFonts w:ascii="Lato" w:eastAsia="Times New Roman" w:hAnsi="Lato"/>
          <w:color w:val="000000" w:themeColor="text1"/>
          <w:sz w:val="24"/>
          <w:szCs w:val="24"/>
        </w:rPr>
      </w:pPr>
    </w:p>
    <w:p w14:paraId="2F5DC0A6" w14:textId="77777777" w:rsidR="00000000" w:rsidRPr="0060384B" w:rsidRDefault="00CA5F6F">
      <w:pPr>
        <w:spacing w:line="200" w:lineRule="exact"/>
        <w:rPr>
          <w:rFonts w:ascii="Lato" w:eastAsia="Times New Roman" w:hAnsi="Lato"/>
          <w:color w:val="000000" w:themeColor="text1"/>
          <w:sz w:val="24"/>
          <w:szCs w:val="24"/>
        </w:rPr>
      </w:pPr>
    </w:p>
    <w:p w14:paraId="3AB47174" w14:textId="77777777" w:rsidR="00000000" w:rsidRPr="0060384B" w:rsidRDefault="00CA5F6F">
      <w:pPr>
        <w:spacing w:line="200" w:lineRule="exact"/>
        <w:rPr>
          <w:rFonts w:ascii="Lato" w:eastAsia="Times New Roman" w:hAnsi="Lato"/>
          <w:color w:val="000000" w:themeColor="text1"/>
          <w:sz w:val="24"/>
          <w:szCs w:val="24"/>
        </w:rPr>
      </w:pPr>
    </w:p>
    <w:p w14:paraId="37713E1E" w14:textId="77777777" w:rsidR="00000000" w:rsidRPr="0060384B" w:rsidRDefault="00CA5F6F">
      <w:pPr>
        <w:spacing w:line="200" w:lineRule="exact"/>
        <w:rPr>
          <w:rFonts w:ascii="Lato" w:eastAsia="Times New Roman" w:hAnsi="Lato"/>
          <w:color w:val="000000" w:themeColor="text1"/>
          <w:sz w:val="24"/>
          <w:szCs w:val="24"/>
        </w:rPr>
      </w:pPr>
    </w:p>
    <w:p w14:paraId="0E68C99C" w14:textId="77777777" w:rsidR="00000000" w:rsidRPr="0060384B" w:rsidRDefault="00CA5F6F">
      <w:pPr>
        <w:spacing w:line="200" w:lineRule="exact"/>
        <w:rPr>
          <w:rFonts w:ascii="Lato" w:eastAsia="Times New Roman" w:hAnsi="Lato"/>
          <w:color w:val="000000" w:themeColor="text1"/>
          <w:sz w:val="24"/>
          <w:szCs w:val="24"/>
        </w:rPr>
      </w:pPr>
    </w:p>
    <w:p w14:paraId="650B2ECD" w14:textId="77777777" w:rsidR="00000000" w:rsidRPr="0060384B" w:rsidRDefault="00CA5F6F">
      <w:pPr>
        <w:spacing w:line="200" w:lineRule="exact"/>
        <w:rPr>
          <w:rFonts w:ascii="Lato" w:eastAsia="Times New Roman" w:hAnsi="Lato"/>
          <w:color w:val="000000" w:themeColor="text1"/>
          <w:sz w:val="24"/>
          <w:szCs w:val="24"/>
        </w:rPr>
      </w:pPr>
    </w:p>
    <w:p w14:paraId="790F5319" w14:textId="77777777" w:rsidR="00000000" w:rsidRPr="0060384B" w:rsidRDefault="00CA5F6F">
      <w:pPr>
        <w:spacing w:line="200" w:lineRule="exact"/>
        <w:rPr>
          <w:rFonts w:ascii="Lato" w:eastAsia="Times New Roman" w:hAnsi="Lato"/>
          <w:color w:val="000000" w:themeColor="text1"/>
          <w:sz w:val="24"/>
          <w:szCs w:val="24"/>
        </w:rPr>
      </w:pPr>
    </w:p>
    <w:p w14:paraId="5BF3E41C" w14:textId="77777777" w:rsidR="00000000" w:rsidRPr="0060384B" w:rsidRDefault="00CA5F6F">
      <w:pPr>
        <w:spacing w:line="200" w:lineRule="exact"/>
        <w:rPr>
          <w:rFonts w:ascii="Lato" w:eastAsia="Times New Roman" w:hAnsi="Lato"/>
          <w:color w:val="000000" w:themeColor="text1"/>
          <w:sz w:val="24"/>
          <w:szCs w:val="24"/>
        </w:rPr>
      </w:pPr>
    </w:p>
    <w:p w14:paraId="3682F418" w14:textId="77777777" w:rsidR="00000000" w:rsidRPr="0060384B" w:rsidRDefault="00CA5F6F">
      <w:pPr>
        <w:spacing w:line="200" w:lineRule="exact"/>
        <w:rPr>
          <w:rFonts w:ascii="Lato" w:eastAsia="Times New Roman" w:hAnsi="Lato"/>
          <w:color w:val="000000" w:themeColor="text1"/>
          <w:sz w:val="24"/>
          <w:szCs w:val="24"/>
        </w:rPr>
      </w:pPr>
    </w:p>
    <w:p w14:paraId="58DB021A" w14:textId="77777777" w:rsidR="00000000" w:rsidRPr="0060384B" w:rsidRDefault="00CA5F6F">
      <w:pPr>
        <w:spacing w:line="200" w:lineRule="exact"/>
        <w:rPr>
          <w:rFonts w:ascii="Lato" w:eastAsia="Times New Roman" w:hAnsi="Lato"/>
          <w:color w:val="000000" w:themeColor="text1"/>
          <w:sz w:val="24"/>
          <w:szCs w:val="24"/>
        </w:rPr>
      </w:pPr>
    </w:p>
    <w:p w14:paraId="64EC80ED" w14:textId="77777777" w:rsidR="00000000" w:rsidRPr="0060384B" w:rsidRDefault="00CA5F6F">
      <w:pPr>
        <w:spacing w:line="200" w:lineRule="exact"/>
        <w:rPr>
          <w:rFonts w:ascii="Lato" w:eastAsia="Times New Roman" w:hAnsi="Lato"/>
          <w:color w:val="000000" w:themeColor="text1"/>
          <w:sz w:val="24"/>
          <w:szCs w:val="24"/>
        </w:rPr>
      </w:pPr>
    </w:p>
    <w:p w14:paraId="601AEA00" w14:textId="77777777" w:rsidR="00000000" w:rsidRPr="0060384B" w:rsidRDefault="00CA5F6F">
      <w:pPr>
        <w:spacing w:line="200" w:lineRule="exact"/>
        <w:rPr>
          <w:rFonts w:ascii="Lato" w:eastAsia="Times New Roman" w:hAnsi="Lato"/>
          <w:color w:val="000000" w:themeColor="text1"/>
          <w:sz w:val="24"/>
          <w:szCs w:val="24"/>
        </w:rPr>
      </w:pPr>
    </w:p>
    <w:p w14:paraId="038FDD0B" w14:textId="77777777" w:rsidR="00000000" w:rsidRPr="0060384B" w:rsidRDefault="00CA5F6F">
      <w:pPr>
        <w:spacing w:line="200" w:lineRule="exact"/>
        <w:rPr>
          <w:rFonts w:ascii="Lato" w:eastAsia="Times New Roman" w:hAnsi="Lato"/>
          <w:color w:val="000000" w:themeColor="text1"/>
          <w:sz w:val="24"/>
          <w:szCs w:val="24"/>
        </w:rPr>
      </w:pPr>
    </w:p>
    <w:p w14:paraId="411F96B5" w14:textId="77777777" w:rsidR="00000000" w:rsidRPr="0060384B" w:rsidRDefault="00CA5F6F">
      <w:pPr>
        <w:spacing w:line="200" w:lineRule="exact"/>
        <w:rPr>
          <w:rFonts w:ascii="Lato" w:eastAsia="Times New Roman" w:hAnsi="Lato"/>
          <w:color w:val="000000" w:themeColor="text1"/>
          <w:sz w:val="24"/>
          <w:szCs w:val="24"/>
        </w:rPr>
      </w:pPr>
    </w:p>
    <w:p w14:paraId="73E581EE" w14:textId="77777777" w:rsidR="00000000" w:rsidRPr="0060384B" w:rsidRDefault="00CA5F6F">
      <w:pPr>
        <w:spacing w:line="200" w:lineRule="exact"/>
        <w:rPr>
          <w:rFonts w:ascii="Lato" w:eastAsia="Times New Roman" w:hAnsi="Lato"/>
          <w:color w:val="000000" w:themeColor="text1"/>
          <w:sz w:val="24"/>
          <w:szCs w:val="24"/>
        </w:rPr>
      </w:pPr>
    </w:p>
    <w:p w14:paraId="46B6820B" w14:textId="77777777" w:rsidR="00000000" w:rsidRPr="0060384B" w:rsidRDefault="00CA5F6F">
      <w:pPr>
        <w:spacing w:line="200" w:lineRule="exact"/>
        <w:rPr>
          <w:rFonts w:ascii="Lato" w:eastAsia="Times New Roman" w:hAnsi="Lato"/>
          <w:color w:val="000000" w:themeColor="text1"/>
          <w:sz w:val="24"/>
          <w:szCs w:val="24"/>
        </w:rPr>
      </w:pPr>
    </w:p>
    <w:p w14:paraId="62A7C021" w14:textId="77777777" w:rsidR="00000000" w:rsidRPr="0060384B" w:rsidRDefault="00CA5F6F">
      <w:pPr>
        <w:spacing w:line="200" w:lineRule="exact"/>
        <w:rPr>
          <w:rFonts w:ascii="Lato" w:eastAsia="Times New Roman" w:hAnsi="Lato"/>
          <w:color w:val="000000" w:themeColor="text1"/>
          <w:sz w:val="24"/>
          <w:szCs w:val="24"/>
        </w:rPr>
      </w:pPr>
    </w:p>
    <w:p w14:paraId="58828D8D" w14:textId="77777777" w:rsidR="00000000" w:rsidRPr="0060384B" w:rsidRDefault="00CA5F6F">
      <w:pPr>
        <w:spacing w:line="200" w:lineRule="exact"/>
        <w:rPr>
          <w:rFonts w:ascii="Lato" w:eastAsia="Times New Roman" w:hAnsi="Lato"/>
          <w:color w:val="000000" w:themeColor="text1"/>
          <w:sz w:val="24"/>
          <w:szCs w:val="24"/>
        </w:rPr>
      </w:pPr>
    </w:p>
    <w:p w14:paraId="237D32B7" w14:textId="77777777" w:rsidR="00000000" w:rsidRPr="0060384B" w:rsidRDefault="00CA5F6F">
      <w:pPr>
        <w:spacing w:line="200" w:lineRule="exact"/>
        <w:rPr>
          <w:rFonts w:ascii="Lato" w:eastAsia="Times New Roman" w:hAnsi="Lato"/>
          <w:color w:val="000000" w:themeColor="text1"/>
          <w:sz w:val="24"/>
          <w:szCs w:val="24"/>
        </w:rPr>
      </w:pPr>
    </w:p>
    <w:p w14:paraId="150F5DD1" w14:textId="77777777" w:rsidR="00000000" w:rsidRPr="0060384B" w:rsidRDefault="00CA5F6F">
      <w:pPr>
        <w:spacing w:line="200" w:lineRule="exact"/>
        <w:rPr>
          <w:rFonts w:ascii="Lato" w:eastAsia="Times New Roman" w:hAnsi="Lato"/>
          <w:color w:val="000000" w:themeColor="text1"/>
          <w:sz w:val="24"/>
          <w:szCs w:val="24"/>
        </w:rPr>
      </w:pPr>
    </w:p>
    <w:p w14:paraId="098ECB68" w14:textId="77777777" w:rsidR="00000000" w:rsidRPr="0060384B" w:rsidRDefault="00CA5F6F">
      <w:pPr>
        <w:spacing w:line="271"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06303381" w14:textId="77777777">
        <w:trPr>
          <w:trHeight w:val="245"/>
        </w:trPr>
        <w:tc>
          <w:tcPr>
            <w:tcW w:w="6540" w:type="dxa"/>
            <w:shd w:val="clear" w:color="auto" w:fill="auto"/>
            <w:vAlign w:val="bottom"/>
          </w:tcPr>
          <w:p w14:paraId="461E1C43"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0C2F1B1F"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23</w:t>
            </w:r>
          </w:p>
        </w:tc>
      </w:tr>
      <w:tr w:rsidR="00000000" w:rsidRPr="0060384B" w14:paraId="36BDDA21" w14:textId="77777777">
        <w:trPr>
          <w:trHeight w:val="258"/>
        </w:trPr>
        <w:tc>
          <w:tcPr>
            <w:tcW w:w="6540" w:type="dxa"/>
            <w:shd w:val="clear" w:color="auto" w:fill="auto"/>
            <w:vAlign w:val="bottom"/>
          </w:tcPr>
          <w:p w14:paraId="02349B08"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372C3A1A" w14:textId="77777777" w:rsidR="00000000" w:rsidRPr="0060384B" w:rsidRDefault="00CA5F6F">
            <w:pPr>
              <w:spacing w:line="0" w:lineRule="atLeast"/>
              <w:rPr>
                <w:rFonts w:ascii="Lato" w:eastAsia="Times New Roman" w:hAnsi="Lato"/>
                <w:color w:val="000000" w:themeColor="text1"/>
                <w:sz w:val="24"/>
                <w:szCs w:val="24"/>
              </w:rPr>
            </w:pPr>
          </w:p>
        </w:tc>
      </w:tr>
    </w:tbl>
    <w:p w14:paraId="2C65F6EF"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5EBF0B95" w14:textId="77777777" w:rsidR="00000000" w:rsidRPr="0060384B" w:rsidRDefault="00CA5F6F">
      <w:pPr>
        <w:spacing w:line="271" w:lineRule="auto"/>
        <w:ind w:right="1300"/>
        <w:rPr>
          <w:rFonts w:ascii="Lato" w:hAnsi="Lato"/>
          <w:b/>
          <w:color w:val="000000" w:themeColor="text1"/>
          <w:sz w:val="24"/>
          <w:szCs w:val="24"/>
        </w:rPr>
      </w:pPr>
      <w:bookmarkStart w:id="26" w:name="page27"/>
      <w:bookmarkEnd w:id="26"/>
      <w:r w:rsidRPr="0060384B">
        <w:rPr>
          <w:rFonts w:ascii="Lato" w:hAnsi="Lato"/>
          <w:b/>
          <w:color w:val="000000" w:themeColor="text1"/>
          <w:sz w:val="24"/>
          <w:szCs w:val="24"/>
        </w:rPr>
        <w:lastRenderedPageBreak/>
        <w:t>BUILDING INFRASTRUCTURE FOR DATA SHARING AND DRUG DISCOVERY</w:t>
      </w:r>
    </w:p>
    <w:p w14:paraId="622C4E62" w14:textId="77777777" w:rsidR="00000000" w:rsidRPr="0060384B" w:rsidRDefault="00CA5F6F">
      <w:pPr>
        <w:spacing w:line="187" w:lineRule="exact"/>
        <w:rPr>
          <w:rFonts w:ascii="Lato" w:eastAsia="Times New Roman" w:hAnsi="Lato"/>
          <w:color w:val="000000" w:themeColor="text1"/>
          <w:sz w:val="24"/>
          <w:szCs w:val="24"/>
        </w:rPr>
      </w:pPr>
    </w:p>
    <w:p w14:paraId="58C7FE16" w14:textId="77777777" w:rsidR="00000000" w:rsidRPr="0060384B" w:rsidRDefault="00CA5F6F">
      <w:pPr>
        <w:spacing w:line="242" w:lineRule="auto"/>
        <w:ind w:right="4880"/>
        <w:rPr>
          <w:rFonts w:ascii="Lato" w:hAnsi="Lato"/>
          <w:color w:val="000000" w:themeColor="text1"/>
          <w:sz w:val="24"/>
          <w:szCs w:val="24"/>
        </w:rPr>
      </w:pPr>
      <w:r w:rsidRPr="0060384B">
        <w:rPr>
          <w:rFonts w:ascii="Lato" w:hAnsi="Lato"/>
          <w:color w:val="000000" w:themeColor="text1"/>
          <w:sz w:val="24"/>
          <w:szCs w:val="24"/>
        </w:rPr>
        <w:t>Much like the U.S. transportation system builds, maintains, and expands infrastructure to move the Nation forward, s</w:t>
      </w:r>
      <w:r w:rsidRPr="0060384B">
        <w:rPr>
          <w:rFonts w:ascii="Lato" w:hAnsi="Lato"/>
          <w:color w:val="000000" w:themeColor="text1"/>
          <w:sz w:val="24"/>
          <w:szCs w:val="24"/>
        </w:rPr>
        <w:t>o, too, does the Alzheimer</w:t>
      </w:r>
      <w:r w:rsidRPr="0060384B">
        <w:rPr>
          <w:rFonts w:ascii="Lato" w:hAnsi="Lato"/>
          <w:color w:val="000000" w:themeColor="text1"/>
          <w:sz w:val="24"/>
          <w:szCs w:val="24"/>
        </w:rPr>
        <w:t>’s and related dementias research enterprise. Early on, the National Institutes of Health (NIH) recognized that solid, state-of-the-art infrastructure was critical to attain effective interventions for dementia. Those initial proj</w:t>
      </w:r>
      <w:r w:rsidRPr="0060384B">
        <w:rPr>
          <w:rFonts w:ascii="Lato" w:hAnsi="Lato"/>
          <w:color w:val="000000" w:themeColor="text1"/>
          <w:sz w:val="24"/>
          <w:szCs w:val="24"/>
        </w:rPr>
        <w:t>ects were innovative ventures that continue to be highly valued resources for Alzheimer</w:t>
      </w:r>
      <w:r w:rsidRPr="0060384B">
        <w:rPr>
          <w:rFonts w:ascii="Lato" w:hAnsi="Lato"/>
          <w:color w:val="000000" w:themeColor="text1"/>
          <w:sz w:val="24"/>
          <w:szCs w:val="24"/>
        </w:rPr>
        <w:t>’s research.</w:t>
      </w:r>
    </w:p>
    <w:p w14:paraId="0B6B6ED5" w14:textId="6B4FE689" w:rsidR="00000000" w:rsidRPr="0060384B" w:rsidRDefault="00FB45BD">
      <w:pPr>
        <w:spacing w:line="20" w:lineRule="exact"/>
        <w:rPr>
          <w:rFonts w:ascii="Lato" w:eastAsia="Times New Roman" w:hAnsi="Lato"/>
          <w:color w:val="000000" w:themeColor="text1"/>
          <w:sz w:val="24"/>
          <w:szCs w:val="24"/>
        </w:rPr>
      </w:pPr>
      <w:r w:rsidRPr="0060384B">
        <w:rPr>
          <w:rFonts w:ascii="Lato" w:hAnsi="Lato"/>
          <w:noProof/>
          <w:color w:val="000000" w:themeColor="text1"/>
          <w:sz w:val="24"/>
          <w:szCs w:val="24"/>
        </w:rPr>
        <w:drawing>
          <wp:anchor distT="0" distB="0" distL="114300" distR="114300" simplePos="0" relativeHeight="251655680" behindDoc="1" locked="0" layoutInCell="1" allowOverlap="1" wp14:anchorId="0869805A" wp14:editId="634F2F2A">
            <wp:simplePos x="0" y="0"/>
            <wp:positionH relativeFrom="column">
              <wp:posOffset>2965450</wp:posOffset>
            </wp:positionH>
            <wp:positionV relativeFrom="paragraph">
              <wp:posOffset>-2018030</wp:posOffset>
            </wp:positionV>
            <wp:extent cx="3275965" cy="1962150"/>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75965" cy="1962150"/>
                    </a:xfrm>
                    <a:prstGeom prst="rect">
                      <a:avLst/>
                    </a:prstGeom>
                    <a:noFill/>
                  </pic:spPr>
                </pic:pic>
              </a:graphicData>
            </a:graphic>
            <wp14:sizeRelH relativeFrom="page">
              <wp14:pctWidth>0</wp14:pctWidth>
            </wp14:sizeRelH>
            <wp14:sizeRelV relativeFrom="page">
              <wp14:pctHeight>0</wp14:pctHeight>
            </wp14:sizeRelV>
          </wp:anchor>
        </w:drawing>
      </w:r>
    </w:p>
    <w:p w14:paraId="338796E1" w14:textId="77777777" w:rsidR="00000000" w:rsidRPr="0060384B" w:rsidRDefault="00CA5F6F">
      <w:pPr>
        <w:spacing w:line="234" w:lineRule="exact"/>
        <w:rPr>
          <w:rFonts w:ascii="Lato" w:eastAsia="Times New Roman" w:hAnsi="Lato"/>
          <w:color w:val="000000" w:themeColor="text1"/>
          <w:sz w:val="24"/>
          <w:szCs w:val="24"/>
        </w:rPr>
      </w:pPr>
    </w:p>
    <w:p w14:paraId="73B403BC" w14:textId="77777777" w:rsidR="00000000" w:rsidRPr="0060384B" w:rsidRDefault="00CA5F6F">
      <w:pPr>
        <w:spacing w:line="242" w:lineRule="auto"/>
        <w:rPr>
          <w:rFonts w:ascii="Lato" w:hAnsi="Lato"/>
          <w:color w:val="000000" w:themeColor="text1"/>
          <w:sz w:val="24"/>
          <w:szCs w:val="24"/>
        </w:rPr>
      </w:pPr>
      <w:r w:rsidRPr="0060384B">
        <w:rPr>
          <w:rFonts w:ascii="Lato" w:hAnsi="Lato"/>
          <w:color w:val="000000" w:themeColor="text1"/>
          <w:sz w:val="24"/>
          <w:szCs w:val="24"/>
        </w:rPr>
        <w:t xml:space="preserve">In 1984, the first NIA </w:t>
      </w:r>
      <w:hyperlink r:id="rId71" w:history="1">
        <w:r w:rsidRPr="0060384B">
          <w:rPr>
            <w:rFonts w:ascii="Lato" w:hAnsi="Lato"/>
            <w:color w:val="000000" w:themeColor="text1"/>
            <w:sz w:val="24"/>
            <w:szCs w:val="24"/>
          </w:rPr>
          <w:t>Alzheimer</w:t>
        </w:r>
        <w:r w:rsidRPr="0060384B">
          <w:rPr>
            <w:rFonts w:ascii="Lato" w:hAnsi="Lato"/>
            <w:color w:val="000000" w:themeColor="text1"/>
            <w:sz w:val="24"/>
            <w:szCs w:val="24"/>
          </w:rPr>
          <w:t>’s Disease Research Centers</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(ADRCs) were created to develop the field</w:t>
      </w:r>
      <w:r w:rsidRPr="0060384B">
        <w:rPr>
          <w:rFonts w:ascii="Lato" w:hAnsi="Lato"/>
          <w:color w:val="000000" w:themeColor="text1"/>
          <w:sz w:val="24"/>
          <w:szCs w:val="24"/>
        </w:rPr>
        <w:t xml:space="preserve"> by training investigators in an integrated, multidisciplinary setting and collecting clinical and biological data on well-characterized research participants. The Centers program pioneered collaborative data collection and sharing for Alzheimer</w:t>
      </w:r>
      <w:r w:rsidRPr="0060384B">
        <w:rPr>
          <w:rFonts w:ascii="Lato" w:hAnsi="Lato"/>
          <w:color w:val="000000" w:themeColor="text1"/>
          <w:sz w:val="24"/>
          <w:szCs w:val="24"/>
        </w:rPr>
        <w:t>’s research</w:t>
      </w:r>
      <w:r w:rsidRPr="0060384B">
        <w:rPr>
          <w:rFonts w:ascii="Lato" w:hAnsi="Lato"/>
          <w:color w:val="000000" w:themeColor="text1"/>
          <w:sz w:val="24"/>
          <w:szCs w:val="24"/>
        </w:rPr>
        <w:t xml:space="preserve">. The </w:t>
      </w:r>
      <w:hyperlink r:id="rId72" w:history="1">
        <w:r w:rsidRPr="0060384B">
          <w:rPr>
            <w:rFonts w:ascii="Lato" w:hAnsi="Lato"/>
            <w:color w:val="000000" w:themeColor="text1"/>
            <w:sz w:val="24"/>
            <w:szCs w:val="24"/>
          </w:rPr>
          <w:t>National</w:t>
        </w:r>
      </w:hyperlink>
      <w:r w:rsidRPr="0060384B">
        <w:rPr>
          <w:rFonts w:ascii="Lato" w:hAnsi="Lato"/>
          <w:color w:val="000000" w:themeColor="text1"/>
          <w:sz w:val="24"/>
          <w:szCs w:val="24"/>
        </w:rPr>
        <w:t xml:space="preserve"> </w:t>
      </w:r>
      <w:hyperlink r:id="rId73" w:history="1">
        <w:r w:rsidRPr="0060384B">
          <w:rPr>
            <w:rFonts w:ascii="Lato" w:hAnsi="Lato"/>
            <w:color w:val="000000" w:themeColor="text1"/>
            <w:sz w:val="24"/>
            <w:szCs w:val="24"/>
          </w:rPr>
          <w:t>Alzheimer</w:t>
        </w:r>
        <w:r w:rsidRPr="0060384B">
          <w:rPr>
            <w:rFonts w:ascii="Lato" w:hAnsi="Lato"/>
            <w:color w:val="000000" w:themeColor="text1"/>
            <w:sz w:val="24"/>
            <w:szCs w:val="24"/>
          </w:rPr>
          <w:t>’s Coordinating Center</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(NACC)</w:t>
      </w:r>
      <w:r w:rsidRPr="0060384B">
        <w:rPr>
          <w:rFonts w:ascii="Lato" w:hAnsi="Lato"/>
          <w:color w:val="000000" w:themeColor="text1"/>
          <w:sz w:val="24"/>
          <w:szCs w:val="24"/>
        </w:rPr>
        <w:t xml:space="preserve"> </w:t>
      </w:r>
      <w:r w:rsidRPr="0060384B">
        <w:rPr>
          <w:rFonts w:ascii="Lato" w:hAnsi="Lato"/>
          <w:color w:val="000000" w:themeColor="text1"/>
          <w:sz w:val="24"/>
          <w:szCs w:val="24"/>
        </w:rPr>
        <w:t>was establ</w:t>
      </w:r>
      <w:r w:rsidRPr="0060384B">
        <w:rPr>
          <w:rFonts w:ascii="Lato" w:hAnsi="Lato"/>
          <w:color w:val="000000" w:themeColor="text1"/>
          <w:sz w:val="24"/>
          <w:szCs w:val="24"/>
        </w:rPr>
        <w:t>ished in 1999 by NIA to facilitate</w:t>
      </w:r>
      <w:r w:rsidRPr="0060384B">
        <w:rPr>
          <w:rFonts w:ascii="Lato" w:hAnsi="Lato"/>
          <w:color w:val="000000" w:themeColor="text1"/>
          <w:sz w:val="24"/>
          <w:szCs w:val="24"/>
        </w:rPr>
        <w:t xml:space="preserve"> </w:t>
      </w:r>
      <w:r w:rsidRPr="0060384B">
        <w:rPr>
          <w:rFonts w:ascii="Lato" w:hAnsi="Lato"/>
          <w:color w:val="000000" w:themeColor="text1"/>
          <w:sz w:val="24"/>
          <w:szCs w:val="24"/>
        </w:rPr>
        <w:t>collaborative research across the ADRCs. NACC collects and shares clinical and pathological data in a valuable, cumulative record of people enrolled at the ADRCs from the beginning. In 2005, collection of a Uniform Data S</w:t>
      </w:r>
      <w:r w:rsidRPr="0060384B">
        <w:rPr>
          <w:rFonts w:ascii="Lato" w:hAnsi="Lato"/>
          <w:color w:val="000000" w:themeColor="text1"/>
          <w:sz w:val="24"/>
          <w:szCs w:val="24"/>
        </w:rPr>
        <w:t>et began across all Centers. Data from thousands of participants across the country has been collected at NACC and is available to qualified researchers. This data is also now connected with genetic, imaging, and neuropathological data for many participant</w:t>
      </w:r>
      <w:r w:rsidRPr="0060384B">
        <w:rPr>
          <w:rFonts w:ascii="Lato" w:hAnsi="Lato"/>
          <w:color w:val="000000" w:themeColor="text1"/>
          <w:sz w:val="24"/>
          <w:szCs w:val="24"/>
        </w:rPr>
        <w:t>s.</w:t>
      </w:r>
    </w:p>
    <w:p w14:paraId="5C0046DF" w14:textId="77777777" w:rsidR="00000000" w:rsidRPr="0060384B" w:rsidRDefault="00CA5F6F">
      <w:pPr>
        <w:spacing w:line="252" w:lineRule="exact"/>
        <w:rPr>
          <w:rFonts w:ascii="Lato" w:hAnsi="Lato"/>
          <w:color w:val="000000" w:themeColor="text1"/>
          <w:sz w:val="24"/>
          <w:szCs w:val="24"/>
        </w:rPr>
      </w:pPr>
    </w:p>
    <w:p w14:paraId="11ABB15B" w14:textId="77777777" w:rsidR="00000000" w:rsidRPr="0060384B" w:rsidRDefault="00CA5F6F">
      <w:pPr>
        <w:spacing w:line="243" w:lineRule="auto"/>
        <w:ind w:right="120"/>
        <w:rPr>
          <w:rFonts w:ascii="Lato" w:hAnsi="Lato"/>
          <w:color w:val="000000" w:themeColor="text1"/>
          <w:sz w:val="24"/>
          <w:szCs w:val="24"/>
        </w:rPr>
      </w:pPr>
      <w:r w:rsidRPr="0060384B">
        <w:rPr>
          <w:rFonts w:ascii="Lato" w:hAnsi="Lato"/>
          <w:color w:val="000000" w:themeColor="text1"/>
          <w:sz w:val="24"/>
          <w:szCs w:val="24"/>
        </w:rPr>
        <w:t xml:space="preserve">The </w:t>
      </w:r>
      <w:hyperlink r:id="rId74" w:history="1">
        <w:r w:rsidRPr="0060384B">
          <w:rPr>
            <w:rFonts w:ascii="Lato" w:hAnsi="Lato"/>
            <w:color w:val="000000" w:themeColor="text1"/>
            <w:sz w:val="24"/>
            <w:szCs w:val="24"/>
          </w:rPr>
          <w:t>National Centralized Repository for Alzheimer</w:t>
        </w:r>
        <w:r w:rsidRPr="0060384B">
          <w:rPr>
            <w:rFonts w:ascii="Lato" w:hAnsi="Lato"/>
            <w:color w:val="000000" w:themeColor="text1"/>
            <w:sz w:val="24"/>
            <w:szCs w:val="24"/>
          </w:rPr>
          <w:t>’s and Related Dementias</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begun 28 years ago, is a state-of-the-art</w:t>
      </w:r>
      <w:r w:rsidRPr="0060384B">
        <w:rPr>
          <w:rFonts w:ascii="Lato" w:hAnsi="Lato"/>
          <w:color w:val="000000" w:themeColor="text1"/>
          <w:sz w:val="24"/>
          <w:szCs w:val="24"/>
        </w:rPr>
        <w:t xml:space="preserve"> biorepository that collects and shares some 220,000 high-quality, curated biological samples (including plasma, serum, cell lines, peripheral blood mononuclear cells, cerebrospinal fluid, fibroblasts, and induced pluripotent stem cells) connected with oth</w:t>
      </w:r>
      <w:r w:rsidRPr="0060384B">
        <w:rPr>
          <w:rFonts w:ascii="Lato" w:hAnsi="Lato"/>
          <w:color w:val="000000" w:themeColor="text1"/>
          <w:sz w:val="24"/>
          <w:szCs w:val="24"/>
        </w:rPr>
        <w:t>er clinical data on volunteers from a variety of sources, including people enrolled at ADRCs. This repository serves as a valuable resource to help researchers identify genes and other biomarkers contributing to dementia.</w:t>
      </w:r>
    </w:p>
    <w:p w14:paraId="02BFA975" w14:textId="77777777" w:rsidR="00000000" w:rsidRPr="0060384B" w:rsidRDefault="00CA5F6F">
      <w:pPr>
        <w:spacing w:line="254" w:lineRule="exact"/>
        <w:rPr>
          <w:rFonts w:ascii="Lato" w:hAnsi="Lato"/>
          <w:color w:val="000000" w:themeColor="text1"/>
          <w:sz w:val="24"/>
          <w:szCs w:val="24"/>
        </w:rPr>
      </w:pPr>
    </w:p>
    <w:p w14:paraId="0DD4A63A" w14:textId="77777777" w:rsidR="00000000" w:rsidRPr="0060384B" w:rsidRDefault="00CA5F6F">
      <w:pPr>
        <w:spacing w:line="243" w:lineRule="auto"/>
        <w:ind w:right="20"/>
        <w:rPr>
          <w:rFonts w:ascii="Lato" w:hAnsi="Lato"/>
          <w:color w:val="000000" w:themeColor="text1"/>
          <w:sz w:val="24"/>
          <w:szCs w:val="24"/>
        </w:rPr>
      </w:pPr>
      <w:r w:rsidRPr="0060384B">
        <w:rPr>
          <w:rFonts w:ascii="Lato" w:hAnsi="Lato"/>
          <w:color w:val="000000" w:themeColor="text1"/>
          <w:sz w:val="24"/>
          <w:szCs w:val="24"/>
        </w:rPr>
        <w:t xml:space="preserve">The </w:t>
      </w:r>
      <w:hyperlink r:id="rId75" w:history="1">
        <w:r w:rsidRPr="0060384B">
          <w:rPr>
            <w:rFonts w:ascii="Lato" w:hAnsi="Lato"/>
            <w:color w:val="000000" w:themeColor="text1"/>
            <w:sz w:val="24"/>
            <w:szCs w:val="24"/>
          </w:rPr>
          <w:t>Alzheimer</w:t>
        </w:r>
        <w:r w:rsidRPr="0060384B">
          <w:rPr>
            <w:rFonts w:ascii="Lato" w:hAnsi="Lato"/>
            <w:color w:val="000000" w:themeColor="text1"/>
            <w:sz w:val="24"/>
            <w:szCs w:val="24"/>
          </w:rPr>
          <w:t>’s Disease Neuroimaging Initiative</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launched in 2004, built on that infrastructure as the first public-private partnership of its kind in Alzheimer</w:t>
      </w:r>
      <w:r w:rsidRPr="0060384B">
        <w:rPr>
          <w:rFonts w:ascii="Lato" w:hAnsi="Lato"/>
          <w:color w:val="000000" w:themeColor="text1"/>
          <w:sz w:val="24"/>
          <w:szCs w:val="24"/>
        </w:rPr>
        <w:t>’s research, to develop biomarkers for tracking Alzheimer</w:t>
      </w:r>
      <w:r w:rsidRPr="0060384B">
        <w:rPr>
          <w:rFonts w:ascii="Lato" w:hAnsi="Lato"/>
          <w:color w:val="000000" w:themeColor="text1"/>
          <w:sz w:val="24"/>
          <w:szCs w:val="24"/>
        </w:rPr>
        <w:t>’s characteristics in living p</w:t>
      </w:r>
      <w:r w:rsidRPr="0060384B">
        <w:rPr>
          <w:rFonts w:ascii="Lato" w:hAnsi="Lato"/>
          <w:color w:val="000000" w:themeColor="text1"/>
          <w:sz w:val="24"/>
          <w:szCs w:val="24"/>
        </w:rPr>
        <w:t>eople. In the behavioral and social realm, NIA</w:t>
      </w:r>
      <w:r w:rsidRPr="0060384B">
        <w:rPr>
          <w:rFonts w:ascii="Lato" w:hAnsi="Lato"/>
          <w:color w:val="000000" w:themeColor="text1"/>
          <w:sz w:val="24"/>
          <w:szCs w:val="24"/>
        </w:rPr>
        <w:t xml:space="preserve">’s </w:t>
      </w:r>
      <w:hyperlink r:id="rId76" w:history="1">
        <w:r w:rsidRPr="0060384B">
          <w:rPr>
            <w:rFonts w:ascii="Lato" w:hAnsi="Lato"/>
            <w:color w:val="000000" w:themeColor="text1"/>
            <w:sz w:val="24"/>
            <w:szCs w:val="24"/>
          </w:rPr>
          <w:t xml:space="preserve">Edward R. Roybal Centers for Translational Research in the Behavioral </w:t>
        </w:r>
        <w:r w:rsidRPr="0060384B">
          <w:rPr>
            <w:rFonts w:ascii="Lato" w:hAnsi="Lato"/>
            <w:color w:val="000000" w:themeColor="text1"/>
            <w:sz w:val="24"/>
            <w:szCs w:val="24"/>
          </w:rPr>
          <w:t>and Social Sciences of</w:t>
        </w:r>
      </w:hyperlink>
      <w:r w:rsidRPr="0060384B">
        <w:rPr>
          <w:rFonts w:ascii="Lato" w:hAnsi="Lato"/>
          <w:color w:val="000000" w:themeColor="text1"/>
          <w:sz w:val="24"/>
          <w:szCs w:val="24"/>
        </w:rPr>
        <w:t xml:space="preserve"> </w:t>
      </w:r>
      <w:hyperlink r:id="rId77" w:history="1">
        <w:r w:rsidRPr="0060384B">
          <w:rPr>
            <w:rFonts w:ascii="Lato" w:hAnsi="Lato"/>
            <w:color w:val="000000" w:themeColor="text1"/>
            <w:sz w:val="24"/>
            <w:szCs w:val="24"/>
          </w:rPr>
          <w:t>Aging</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and</w:t>
      </w:r>
      <w:r w:rsidRPr="0060384B">
        <w:rPr>
          <w:rFonts w:ascii="Lato" w:hAnsi="Lato"/>
          <w:color w:val="000000" w:themeColor="text1"/>
          <w:sz w:val="24"/>
          <w:szCs w:val="24"/>
        </w:rPr>
        <w:t xml:space="preserve"> </w:t>
      </w:r>
      <w:r w:rsidRPr="0060384B">
        <w:rPr>
          <w:rFonts w:ascii="Lato" w:hAnsi="Lato"/>
          <w:color w:val="000000" w:themeColor="text1"/>
          <w:sz w:val="24"/>
          <w:szCs w:val="24"/>
        </w:rPr>
        <w:t>its</w:t>
      </w:r>
      <w:r w:rsidRPr="0060384B">
        <w:rPr>
          <w:rFonts w:ascii="Lato" w:hAnsi="Lato"/>
          <w:color w:val="000000" w:themeColor="text1"/>
          <w:sz w:val="24"/>
          <w:szCs w:val="24"/>
        </w:rPr>
        <w:t xml:space="preserve"> </w:t>
      </w:r>
      <w:hyperlink r:id="rId78" w:history="1">
        <w:r w:rsidRPr="0060384B">
          <w:rPr>
            <w:rFonts w:ascii="Lato" w:hAnsi="Lato"/>
            <w:color w:val="000000" w:themeColor="text1"/>
            <w:sz w:val="24"/>
            <w:szCs w:val="24"/>
          </w:rPr>
          <w:t>Resource Centers for Minority Aging Research</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(RCMARs)</w:t>
      </w:r>
      <w:r w:rsidRPr="0060384B">
        <w:rPr>
          <w:rFonts w:ascii="Lato" w:hAnsi="Lato"/>
          <w:color w:val="000000" w:themeColor="text1"/>
          <w:sz w:val="24"/>
          <w:szCs w:val="24"/>
        </w:rPr>
        <w:t xml:space="preserve"> </w:t>
      </w:r>
      <w:r w:rsidRPr="0060384B">
        <w:rPr>
          <w:rFonts w:ascii="Lato" w:hAnsi="Lato"/>
          <w:color w:val="000000" w:themeColor="text1"/>
          <w:sz w:val="24"/>
          <w:szCs w:val="24"/>
        </w:rPr>
        <w:t>were established to</w:t>
      </w:r>
      <w:r w:rsidRPr="0060384B">
        <w:rPr>
          <w:rFonts w:ascii="Lato" w:hAnsi="Lato"/>
          <w:color w:val="000000" w:themeColor="text1"/>
          <w:sz w:val="24"/>
          <w:szCs w:val="24"/>
        </w:rPr>
        <w:t xml:space="preserve"> </w:t>
      </w:r>
      <w:r w:rsidRPr="0060384B">
        <w:rPr>
          <w:rFonts w:ascii="Lato" w:hAnsi="Lato"/>
          <w:color w:val="000000" w:themeColor="text1"/>
          <w:sz w:val="24"/>
          <w:szCs w:val="24"/>
        </w:rPr>
        <w:t>study aging in diverse communities, and their expertise is now being applied to dementia research.</w:t>
      </w:r>
    </w:p>
    <w:p w14:paraId="31F9C5CE" w14:textId="77777777" w:rsidR="00000000" w:rsidRPr="0060384B" w:rsidRDefault="00CA5F6F">
      <w:pPr>
        <w:spacing w:line="254" w:lineRule="exact"/>
        <w:rPr>
          <w:rFonts w:ascii="Lato" w:hAnsi="Lato"/>
          <w:color w:val="000000" w:themeColor="text1"/>
          <w:sz w:val="24"/>
          <w:szCs w:val="24"/>
        </w:rPr>
      </w:pPr>
    </w:p>
    <w:p w14:paraId="56264C4C" w14:textId="77777777" w:rsidR="00000000" w:rsidRPr="0060384B" w:rsidRDefault="00CA5F6F">
      <w:pPr>
        <w:spacing w:line="284" w:lineRule="auto"/>
        <w:ind w:right="300"/>
        <w:rPr>
          <w:rFonts w:ascii="Lato" w:hAnsi="Lato"/>
          <w:color w:val="000000" w:themeColor="text1"/>
          <w:sz w:val="24"/>
          <w:szCs w:val="24"/>
        </w:rPr>
      </w:pPr>
      <w:r w:rsidRPr="0060384B">
        <w:rPr>
          <w:rFonts w:ascii="Lato" w:hAnsi="Lato"/>
          <w:color w:val="000000" w:themeColor="text1"/>
          <w:sz w:val="24"/>
          <w:szCs w:val="24"/>
        </w:rPr>
        <w:t>With a focus on the vascular system</w:t>
      </w:r>
      <w:r w:rsidRPr="0060384B">
        <w:rPr>
          <w:rFonts w:ascii="Lato" w:hAnsi="Lato"/>
          <w:color w:val="000000" w:themeColor="text1"/>
          <w:sz w:val="24"/>
          <w:szCs w:val="24"/>
        </w:rPr>
        <w:t>’s role in the development</w:t>
      </w:r>
      <w:r w:rsidRPr="0060384B">
        <w:rPr>
          <w:rFonts w:ascii="Lato" w:hAnsi="Lato"/>
          <w:color w:val="000000" w:themeColor="text1"/>
          <w:sz w:val="24"/>
          <w:szCs w:val="24"/>
        </w:rPr>
        <w:t xml:space="preserve"> of Alzheimer</w:t>
      </w:r>
      <w:r w:rsidRPr="0060384B">
        <w:rPr>
          <w:rFonts w:ascii="Lato" w:hAnsi="Lato"/>
          <w:color w:val="000000" w:themeColor="text1"/>
          <w:sz w:val="24"/>
          <w:szCs w:val="24"/>
        </w:rPr>
        <w:t xml:space="preserve">’s disease, NIH in 2016 launched the </w:t>
      </w:r>
      <w:hyperlink r:id="rId79" w:history="1">
        <w:r w:rsidRPr="0060384B">
          <w:rPr>
            <w:rFonts w:ascii="Lato" w:hAnsi="Lato"/>
            <w:color w:val="000000" w:themeColor="text1"/>
            <w:sz w:val="24"/>
            <w:szCs w:val="24"/>
          </w:rPr>
          <w:t>Molecular Mechanisms of the Vascular Etiology of Alzheimer</w:t>
        </w:r>
        <w:r w:rsidRPr="0060384B">
          <w:rPr>
            <w:rFonts w:ascii="Lato" w:hAnsi="Lato"/>
            <w:color w:val="000000" w:themeColor="text1"/>
            <w:sz w:val="24"/>
            <w:szCs w:val="24"/>
          </w:rPr>
          <w:t>’s Disease</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or</w:t>
      </w:r>
    </w:p>
    <w:p w14:paraId="1649DEFF" w14:textId="77777777" w:rsidR="00000000" w:rsidRPr="0060384B" w:rsidRDefault="00CA5F6F">
      <w:pPr>
        <w:spacing w:line="284" w:lineRule="auto"/>
        <w:ind w:right="300"/>
        <w:rPr>
          <w:rFonts w:ascii="Lato" w:hAnsi="Lato"/>
          <w:color w:val="000000" w:themeColor="text1"/>
          <w:sz w:val="24"/>
          <w:szCs w:val="24"/>
        </w:rPr>
        <w:sectPr w:rsidR="00000000" w:rsidRPr="0060384B">
          <w:pgSz w:w="12240" w:h="15840"/>
          <w:pgMar w:top="1125" w:right="1440" w:bottom="0" w:left="1440" w:header="0" w:footer="0" w:gutter="0"/>
          <w:cols w:space="0" w:equalWidth="0">
            <w:col w:w="9360"/>
          </w:cols>
          <w:docGrid w:linePitch="360"/>
        </w:sectPr>
      </w:pPr>
    </w:p>
    <w:p w14:paraId="2AFC98E1" w14:textId="77777777" w:rsidR="00000000" w:rsidRPr="0060384B" w:rsidRDefault="00CA5F6F">
      <w:pPr>
        <w:spacing w:line="381" w:lineRule="exact"/>
        <w:rPr>
          <w:rFonts w:ascii="Lato"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237A5BE4" w14:textId="77777777">
        <w:trPr>
          <w:trHeight w:val="245"/>
        </w:trPr>
        <w:tc>
          <w:tcPr>
            <w:tcW w:w="6540" w:type="dxa"/>
            <w:shd w:val="clear" w:color="auto" w:fill="auto"/>
            <w:vAlign w:val="bottom"/>
          </w:tcPr>
          <w:p w14:paraId="3781CB14"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095881DB"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24</w:t>
            </w:r>
          </w:p>
        </w:tc>
      </w:tr>
      <w:tr w:rsidR="00000000" w:rsidRPr="0060384B" w14:paraId="4F217D26" w14:textId="77777777">
        <w:trPr>
          <w:trHeight w:val="258"/>
        </w:trPr>
        <w:tc>
          <w:tcPr>
            <w:tcW w:w="6540" w:type="dxa"/>
            <w:shd w:val="clear" w:color="auto" w:fill="auto"/>
            <w:vAlign w:val="bottom"/>
          </w:tcPr>
          <w:p w14:paraId="28240F8C"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0A753FE9" w14:textId="77777777" w:rsidR="00000000" w:rsidRPr="0060384B" w:rsidRDefault="00CA5F6F">
            <w:pPr>
              <w:spacing w:line="0" w:lineRule="atLeast"/>
              <w:rPr>
                <w:rFonts w:ascii="Lato" w:eastAsia="Times New Roman" w:hAnsi="Lato"/>
                <w:color w:val="000000" w:themeColor="text1"/>
                <w:sz w:val="24"/>
                <w:szCs w:val="24"/>
              </w:rPr>
            </w:pPr>
          </w:p>
        </w:tc>
      </w:tr>
    </w:tbl>
    <w:p w14:paraId="52CAFAC9"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25" w:right="1440" w:bottom="0" w:left="1440" w:header="0" w:footer="0" w:gutter="0"/>
          <w:cols w:space="0" w:equalWidth="0">
            <w:col w:w="9360"/>
          </w:cols>
          <w:docGrid w:linePitch="360"/>
        </w:sectPr>
      </w:pPr>
    </w:p>
    <w:p w14:paraId="5003E502" w14:textId="77777777" w:rsidR="00000000" w:rsidRPr="0060384B" w:rsidRDefault="00CA5F6F">
      <w:pPr>
        <w:spacing w:line="222" w:lineRule="auto"/>
        <w:ind w:right="260"/>
        <w:rPr>
          <w:rFonts w:ascii="Lato" w:hAnsi="Lato"/>
          <w:color w:val="000000" w:themeColor="text1"/>
          <w:sz w:val="24"/>
          <w:szCs w:val="24"/>
        </w:rPr>
      </w:pPr>
      <w:bookmarkStart w:id="27" w:name="page28"/>
      <w:bookmarkEnd w:id="27"/>
      <w:r w:rsidRPr="0060384B">
        <w:rPr>
          <w:rFonts w:ascii="Lato" w:hAnsi="Lato"/>
          <w:color w:val="000000" w:themeColor="text1"/>
          <w:sz w:val="24"/>
          <w:szCs w:val="24"/>
        </w:rPr>
        <w:lastRenderedPageBreak/>
        <w:t>M</w:t>
      </w:r>
      <w:r w:rsidRPr="0060384B">
        <w:rPr>
          <w:rFonts w:ascii="Lato" w:hAnsi="Lato"/>
          <w:color w:val="000000" w:themeColor="text1"/>
          <w:sz w:val="24"/>
          <w:szCs w:val="24"/>
          <w:vertAlign w:val="superscript"/>
        </w:rPr>
        <w:t>2</w:t>
      </w:r>
      <w:r w:rsidRPr="0060384B">
        <w:rPr>
          <w:rFonts w:ascii="Lato" w:hAnsi="Lato"/>
          <w:color w:val="000000" w:themeColor="text1"/>
          <w:sz w:val="24"/>
          <w:szCs w:val="24"/>
        </w:rPr>
        <w:t>OVE-AD. This team science effort is working to dissect the complex molecular mechanisms by which vascular risk factors influence Alzheimer</w:t>
      </w:r>
      <w:r w:rsidRPr="0060384B">
        <w:rPr>
          <w:rFonts w:ascii="Lato" w:hAnsi="Lato"/>
          <w:color w:val="000000" w:themeColor="text1"/>
          <w:sz w:val="24"/>
          <w:szCs w:val="24"/>
        </w:rPr>
        <w:t>’s disease and identify new targets for treatment and prevention</w:t>
      </w:r>
      <w:r w:rsidRPr="0060384B">
        <w:rPr>
          <w:rFonts w:ascii="Lato" w:hAnsi="Lato"/>
          <w:color w:val="000000" w:themeColor="text1"/>
          <w:sz w:val="24"/>
          <w:szCs w:val="24"/>
        </w:rPr>
        <w:t>. About nine projects are underway.</w:t>
      </w:r>
    </w:p>
    <w:p w14:paraId="40755E76" w14:textId="77777777" w:rsidR="00000000" w:rsidRPr="0060384B" w:rsidRDefault="00CA5F6F">
      <w:pPr>
        <w:spacing w:line="256" w:lineRule="exact"/>
        <w:rPr>
          <w:rFonts w:ascii="Lato" w:eastAsia="Times New Roman" w:hAnsi="Lato"/>
          <w:color w:val="000000" w:themeColor="text1"/>
          <w:sz w:val="24"/>
          <w:szCs w:val="24"/>
        </w:rPr>
      </w:pPr>
    </w:p>
    <w:p w14:paraId="71B59B72" w14:textId="77777777" w:rsidR="00000000" w:rsidRPr="0060384B" w:rsidRDefault="00CA5F6F">
      <w:pPr>
        <w:spacing w:line="242" w:lineRule="auto"/>
        <w:ind w:right="120"/>
        <w:rPr>
          <w:rFonts w:ascii="Lato" w:hAnsi="Lato"/>
          <w:color w:val="000000" w:themeColor="text1"/>
          <w:sz w:val="24"/>
          <w:szCs w:val="24"/>
        </w:rPr>
      </w:pPr>
      <w:r w:rsidRPr="0060384B">
        <w:rPr>
          <w:rFonts w:ascii="Lato" w:hAnsi="Lato"/>
          <w:color w:val="000000" w:themeColor="text1"/>
          <w:sz w:val="24"/>
          <w:szCs w:val="24"/>
        </w:rPr>
        <w:t>With this remarkable foundation in place, recent growth in federal funding for dementia research has allowed NIH to make additional investments to strengthen the current infrastructure with new, state-of-the- art resour</w:t>
      </w:r>
      <w:r w:rsidRPr="0060384B">
        <w:rPr>
          <w:rFonts w:ascii="Lato" w:hAnsi="Lato"/>
          <w:color w:val="000000" w:themeColor="text1"/>
          <w:sz w:val="24"/>
          <w:szCs w:val="24"/>
        </w:rPr>
        <w:t>ces. The ADRCs and the Alzheimer</w:t>
      </w:r>
      <w:r w:rsidRPr="0060384B">
        <w:rPr>
          <w:rFonts w:ascii="Lato" w:hAnsi="Lato"/>
          <w:color w:val="000000" w:themeColor="text1"/>
          <w:sz w:val="24"/>
          <w:szCs w:val="24"/>
        </w:rPr>
        <w:t>’s Disease Neuroimaging Initiative, for example, are being updated and expanded. NIH is particularly active in supporting new and better ways to promote data sharing and reproducibility, provide research resources, and foste</w:t>
      </w:r>
      <w:r w:rsidRPr="0060384B">
        <w:rPr>
          <w:rFonts w:ascii="Lato" w:hAnsi="Lato"/>
          <w:color w:val="000000" w:themeColor="text1"/>
          <w:sz w:val="24"/>
          <w:szCs w:val="24"/>
        </w:rPr>
        <w:t>r public-private partnerships among a broad range of experts and advocates. Already, investigators can more quickly and effectively work with vast amounts of genetic and molecular data to identify new therapeutic drug and nonpharmacological targets and par</w:t>
      </w:r>
      <w:r w:rsidRPr="0060384B">
        <w:rPr>
          <w:rFonts w:ascii="Lato" w:hAnsi="Lato"/>
          <w:color w:val="000000" w:themeColor="text1"/>
          <w:sz w:val="24"/>
          <w:szCs w:val="24"/>
        </w:rPr>
        <w:t>lay what they learn into the design and testing of potential therapies. These efforts are already reaping benefits, as described below.</w:t>
      </w:r>
    </w:p>
    <w:p w14:paraId="5F1968A9" w14:textId="77777777" w:rsidR="00000000" w:rsidRPr="0060384B" w:rsidRDefault="00CA5F6F">
      <w:pPr>
        <w:spacing w:line="248" w:lineRule="exact"/>
        <w:rPr>
          <w:rFonts w:ascii="Lato" w:eastAsia="Times New Roman" w:hAnsi="Lato"/>
          <w:color w:val="000000" w:themeColor="text1"/>
          <w:sz w:val="24"/>
          <w:szCs w:val="24"/>
        </w:rPr>
      </w:pPr>
    </w:p>
    <w:p w14:paraId="6CD10C29"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Sharing Data in New Ways</w:t>
      </w:r>
    </w:p>
    <w:p w14:paraId="2ACC68E6" w14:textId="77777777" w:rsidR="00000000" w:rsidRPr="0060384B" w:rsidRDefault="00CA5F6F">
      <w:pPr>
        <w:spacing w:line="284" w:lineRule="exact"/>
        <w:rPr>
          <w:rFonts w:ascii="Lato" w:eastAsia="Times New Roman" w:hAnsi="Lato"/>
          <w:color w:val="000000" w:themeColor="text1"/>
          <w:sz w:val="24"/>
          <w:szCs w:val="24"/>
        </w:rPr>
      </w:pPr>
    </w:p>
    <w:p w14:paraId="7EE0F786" w14:textId="77777777" w:rsidR="00000000" w:rsidRPr="0060384B" w:rsidRDefault="00CA5F6F">
      <w:pPr>
        <w:spacing w:line="244" w:lineRule="auto"/>
        <w:ind w:right="100"/>
        <w:rPr>
          <w:rFonts w:ascii="Lato" w:hAnsi="Lato"/>
          <w:color w:val="000000" w:themeColor="text1"/>
          <w:sz w:val="24"/>
          <w:szCs w:val="24"/>
        </w:rPr>
      </w:pPr>
      <w:r w:rsidRPr="0060384B">
        <w:rPr>
          <w:rFonts w:ascii="Lato" w:hAnsi="Lato"/>
          <w:b/>
          <w:color w:val="000000" w:themeColor="text1"/>
          <w:sz w:val="24"/>
          <w:szCs w:val="24"/>
        </w:rPr>
        <w:t>NIA Genetics of Alzheimer</w:t>
      </w:r>
      <w:r w:rsidRPr="0060384B">
        <w:rPr>
          <w:rFonts w:ascii="Lato" w:hAnsi="Lato"/>
          <w:b/>
          <w:color w:val="000000" w:themeColor="text1"/>
          <w:sz w:val="24"/>
          <w:szCs w:val="24"/>
        </w:rPr>
        <w:t xml:space="preserve">’s Disease Data Storage Site (NIAGADS). </w:t>
      </w:r>
      <w:r w:rsidRPr="0060384B">
        <w:rPr>
          <w:rFonts w:ascii="Lato" w:hAnsi="Lato"/>
          <w:color w:val="000000" w:themeColor="text1"/>
          <w:sz w:val="24"/>
          <w:szCs w:val="24"/>
        </w:rPr>
        <w:t>In 2012, with a boost in</w:t>
      </w:r>
      <w:r w:rsidRPr="0060384B">
        <w:rPr>
          <w:rFonts w:ascii="Lato" w:hAnsi="Lato"/>
          <w:b/>
          <w:color w:val="000000" w:themeColor="text1"/>
          <w:sz w:val="24"/>
          <w:szCs w:val="24"/>
        </w:rPr>
        <w:t xml:space="preserve"> </w:t>
      </w:r>
      <w:r w:rsidRPr="0060384B">
        <w:rPr>
          <w:rFonts w:ascii="Lato" w:hAnsi="Lato"/>
          <w:color w:val="000000" w:themeColor="text1"/>
          <w:sz w:val="24"/>
          <w:szCs w:val="24"/>
        </w:rPr>
        <w:t>fun</w:t>
      </w:r>
      <w:r w:rsidRPr="0060384B">
        <w:rPr>
          <w:rFonts w:ascii="Lato" w:hAnsi="Lato"/>
          <w:color w:val="000000" w:themeColor="text1"/>
          <w:sz w:val="24"/>
          <w:szCs w:val="24"/>
        </w:rPr>
        <w:t>ding from NIH directed to Alzheimer</w:t>
      </w:r>
      <w:r w:rsidRPr="0060384B">
        <w:rPr>
          <w:rFonts w:ascii="Lato" w:hAnsi="Lato"/>
          <w:color w:val="000000" w:themeColor="text1"/>
          <w:sz w:val="24"/>
          <w:szCs w:val="24"/>
        </w:rPr>
        <w:t>’s research, the Alzheimer</w:t>
      </w:r>
      <w:r w:rsidRPr="0060384B">
        <w:rPr>
          <w:rFonts w:ascii="Lato" w:hAnsi="Lato"/>
          <w:color w:val="000000" w:themeColor="text1"/>
          <w:sz w:val="24"/>
          <w:szCs w:val="24"/>
        </w:rPr>
        <w:t>’s Disease Sequencing Project (ADSP) was undertaken to sequence and analyze the genomes of large numbers of well-characterized individuals to identify gene variants that increase risk for Alzheim</w:t>
      </w:r>
      <w:r w:rsidRPr="0060384B">
        <w:rPr>
          <w:rFonts w:ascii="Lato" w:hAnsi="Lato"/>
          <w:color w:val="000000" w:themeColor="text1"/>
          <w:sz w:val="24"/>
          <w:szCs w:val="24"/>
        </w:rPr>
        <w:t>er</w:t>
      </w:r>
      <w:r w:rsidRPr="0060384B">
        <w:rPr>
          <w:rFonts w:ascii="Lato" w:hAnsi="Lato"/>
          <w:color w:val="000000" w:themeColor="text1"/>
          <w:sz w:val="24"/>
          <w:szCs w:val="24"/>
        </w:rPr>
        <w:t>’s disease or might offer protection against it. At the same time, NIAGADS, an update of an existing genetics repository supported to organize and store data from NIA-funded epidemiological and genetic studies, became the ADSP Data Coordinating Center.</w:t>
      </w:r>
    </w:p>
    <w:p w14:paraId="1784C3D2" w14:textId="77777777" w:rsidR="00000000" w:rsidRPr="0060384B" w:rsidRDefault="00CA5F6F">
      <w:pPr>
        <w:spacing w:line="249" w:lineRule="exact"/>
        <w:rPr>
          <w:rFonts w:ascii="Lato" w:eastAsia="Times New Roman" w:hAnsi="Lato"/>
          <w:color w:val="000000" w:themeColor="text1"/>
          <w:sz w:val="24"/>
          <w:szCs w:val="24"/>
        </w:rPr>
      </w:pPr>
    </w:p>
    <w:p w14:paraId="5B5917BE" w14:textId="77777777" w:rsidR="00000000" w:rsidRPr="0060384B" w:rsidRDefault="00CA5F6F">
      <w:pPr>
        <w:spacing w:line="242" w:lineRule="auto"/>
        <w:ind w:right="40"/>
        <w:rPr>
          <w:rFonts w:ascii="Lato" w:hAnsi="Lato"/>
          <w:color w:val="000000" w:themeColor="text1"/>
          <w:sz w:val="24"/>
          <w:szCs w:val="24"/>
        </w:rPr>
      </w:pPr>
      <w:r w:rsidRPr="0060384B">
        <w:rPr>
          <w:rFonts w:ascii="Lato" w:hAnsi="Lato"/>
          <w:color w:val="000000" w:themeColor="text1"/>
          <w:sz w:val="24"/>
          <w:szCs w:val="24"/>
        </w:rPr>
        <w:t>Built as a one-stop access portal for Alzheimer</w:t>
      </w:r>
      <w:r w:rsidRPr="0060384B">
        <w:rPr>
          <w:rFonts w:ascii="Lato" w:hAnsi="Lato"/>
          <w:color w:val="000000" w:themeColor="text1"/>
          <w:sz w:val="24"/>
          <w:szCs w:val="24"/>
        </w:rPr>
        <w:t>’s disease genetics in anticipation of a large influx of high-throughput sequencing data</w:t>
      </w:r>
      <w:r w:rsidRPr="0060384B">
        <w:rPr>
          <w:rFonts w:ascii="Lato" w:hAnsi="Lato"/>
          <w:color w:val="000000" w:themeColor="text1"/>
          <w:sz w:val="24"/>
          <w:szCs w:val="24"/>
        </w:rPr>
        <w:t>—vast amounts of genetic data that can be processed quickly with new technologies</w:t>
      </w:r>
      <w:r w:rsidRPr="0060384B">
        <w:rPr>
          <w:rFonts w:ascii="Lato" w:hAnsi="Lato"/>
          <w:color w:val="000000" w:themeColor="text1"/>
          <w:sz w:val="24"/>
          <w:szCs w:val="24"/>
        </w:rPr>
        <w:t>—NIAGADS now hosts 37 human genetics dat</w:t>
      </w:r>
      <w:r w:rsidRPr="0060384B">
        <w:rPr>
          <w:rFonts w:ascii="Lato" w:hAnsi="Lato"/>
          <w:color w:val="000000" w:themeColor="text1"/>
          <w:sz w:val="24"/>
          <w:szCs w:val="24"/>
        </w:rPr>
        <w:t>asets in addition to ADSP data, covering about 38,000 subjects and 24.5 billion genotypes. In July 2018, NIAGADS announced the release of data generated on 5,000 whole genomes and 11,000 whole exomes from a diverse population of individuals. (W</w:t>
      </w:r>
      <w:r w:rsidRPr="0060384B">
        <w:rPr>
          <w:rFonts w:ascii="Lato" w:hAnsi="Lato"/>
          <w:color w:val="000000" w:themeColor="text1"/>
          <w:sz w:val="24"/>
          <w:szCs w:val="24"/>
        </w:rPr>
        <w:t xml:space="preserve">hole genome </w:t>
      </w:r>
      <w:r w:rsidRPr="0060384B">
        <w:rPr>
          <w:rFonts w:ascii="Lato" w:hAnsi="Lato"/>
          <w:color w:val="000000" w:themeColor="text1"/>
          <w:sz w:val="24"/>
          <w:szCs w:val="24"/>
        </w:rPr>
        <w:t>sequencing determines the order of</w:t>
      </w:r>
      <w:r w:rsidRPr="0060384B">
        <w:rPr>
          <w:rFonts w:ascii="Lato" w:hAnsi="Lato"/>
          <w:color w:val="000000" w:themeColor="text1"/>
          <w:sz w:val="24"/>
          <w:szCs w:val="24"/>
        </w:rPr>
        <w:t xml:space="preserve"> </w:t>
      </w:r>
      <w:r w:rsidRPr="0060384B">
        <w:rPr>
          <w:rFonts w:ascii="Lato" w:hAnsi="Lato"/>
          <w:color w:val="000000" w:themeColor="text1"/>
          <w:sz w:val="24"/>
          <w:szCs w:val="24"/>
        </w:rPr>
        <w:t>all 3 billion letters in an individual</w:t>
      </w:r>
      <w:r w:rsidRPr="0060384B">
        <w:rPr>
          <w:rFonts w:ascii="Lato" w:hAnsi="Lato"/>
          <w:color w:val="000000" w:themeColor="text1"/>
          <w:sz w:val="24"/>
          <w:szCs w:val="24"/>
        </w:rPr>
        <w:t>’s genome</w:t>
      </w:r>
      <w:r w:rsidRPr="0060384B">
        <w:rPr>
          <w:rFonts w:ascii="Lato" w:hAnsi="Lato"/>
          <w:color w:val="000000" w:themeColor="text1"/>
          <w:sz w:val="24"/>
          <w:szCs w:val="24"/>
        </w:rPr>
        <w:t>; whole exome sequencing is a genomic technique</w:t>
      </w:r>
      <w:r w:rsidRPr="0060384B">
        <w:rPr>
          <w:rFonts w:ascii="Lato" w:hAnsi="Lato"/>
          <w:color w:val="000000" w:themeColor="text1"/>
          <w:sz w:val="24"/>
          <w:szCs w:val="24"/>
        </w:rPr>
        <w:t xml:space="preserve"> </w:t>
      </w:r>
      <w:r w:rsidRPr="0060384B">
        <w:rPr>
          <w:rFonts w:ascii="Lato" w:hAnsi="Lato"/>
          <w:color w:val="000000" w:themeColor="text1"/>
          <w:sz w:val="24"/>
          <w:szCs w:val="24"/>
        </w:rPr>
        <w:t>for sequencing all of the protein-coding regions of genes in a genome, known as the exome</w:t>
      </w:r>
      <w:r w:rsidRPr="0060384B">
        <w:rPr>
          <w:rFonts w:ascii="Lato" w:eastAsia="Arial" w:hAnsi="Lato"/>
          <w:color w:val="000000" w:themeColor="text1"/>
          <w:sz w:val="24"/>
          <w:szCs w:val="24"/>
        </w:rPr>
        <w:t>.)</w:t>
      </w:r>
      <w:r w:rsidRPr="0060384B">
        <w:rPr>
          <w:rFonts w:ascii="Lato" w:hAnsi="Lato"/>
          <w:color w:val="000000" w:themeColor="text1"/>
          <w:sz w:val="24"/>
          <w:szCs w:val="24"/>
        </w:rPr>
        <w:t xml:space="preserve"> NIAGADS is hosting the harmonized </w:t>
      </w:r>
      <w:r w:rsidRPr="0060384B">
        <w:rPr>
          <w:rFonts w:ascii="Lato" w:hAnsi="Lato"/>
          <w:color w:val="000000" w:themeColor="text1"/>
          <w:sz w:val="24"/>
          <w:szCs w:val="24"/>
        </w:rPr>
        <w:t>ADSP data; NIH</w:t>
      </w:r>
      <w:r w:rsidRPr="0060384B">
        <w:rPr>
          <w:rFonts w:ascii="Lato" w:hAnsi="Lato"/>
          <w:color w:val="000000" w:themeColor="text1"/>
          <w:sz w:val="24"/>
          <w:szCs w:val="24"/>
        </w:rPr>
        <w:t>’s Database for Genotypes and Phenotypes hosts the data from the first phase of the project.</w:t>
      </w:r>
    </w:p>
    <w:p w14:paraId="03F0C6AB" w14:textId="77777777" w:rsidR="00000000" w:rsidRPr="0060384B" w:rsidRDefault="00CA5F6F">
      <w:pPr>
        <w:spacing w:line="257" w:lineRule="exact"/>
        <w:rPr>
          <w:rFonts w:ascii="Lato" w:eastAsia="Times New Roman" w:hAnsi="Lato"/>
          <w:color w:val="000000" w:themeColor="text1"/>
          <w:sz w:val="24"/>
          <w:szCs w:val="24"/>
        </w:rPr>
      </w:pPr>
    </w:p>
    <w:p w14:paraId="47023E26" w14:textId="77777777" w:rsidR="00000000" w:rsidRPr="0060384B" w:rsidRDefault="00CA5F6F">
      <w:pPr>
        <w:spacing w:line="242" w:lineRule="auto"/>
        <w:ind w:right="60"/>
        <w:rPr>
          <w:rFonts w:ascii="Lato" w:hAnsi="Lato"/>
          <w:color w:val="000000" w:themeColor="text1"/>
          <w:sz w:val="24"/>
          <w:szCs w:val="24"/>
        </w:rPr>
      </w:pPr>
      <w:r w:rsidRPr="0060384B">
        <w:rPr>
          <w:rFonts w:ascii="Lato" w:hAnsi="Lato"/>
          <w:color w:val="000000" w:themeColor="text1"/>
          <w:sz w:val="24"/>
          <w:szCs w:val="24"/>
        </w:rPr>
        <w:t>Using data from NIAGADS and other repositories, scientists have been able to expand the number of known genetic risk factors for Alzheimer</w:t>
      </w:r>
      <w:r w:rsidRPr="0060384B">
        <w:rPr>
          <w:rFonts w:ascii="Lato" w:hAnsi="Lato"/>
          <w:color w:val="000000" w:themeColor="text1"/>
          <w:sz w:val="24"/>
          <w:szCs w:val="24"/>
        </w:rPr>
        <w:t>’s disease</w:t>
      </w:r>
      <w:r w:rsidRPr="0060384B">
        <w:rPr>
          <w:rFonts w:ascii="Lato" w:hAnsi="Lato"/>
          <w:color w:val="000000" w:themeColor="text1"/>
          <w:sz w:val="24"/>
          <w:szCs w:val="24"/>
        </w:rPr>
        <w:t>, and several others are under investigation. The international team that recently identified five new risk factor loci for Alzheimer</w:t>
      </w:r>
      <w:r w:rsidRPr="0060384B">
        <w:rPr>
          <w:rFonts w:ascii="Lato" w:hAnsi="Lato"/>
          <w:color w:val="000000" w:themeColor="text1"/>
          <w:sz w:val="24"/>
          <w:szCs w:val="24"/>
        </w:rPr>
        <w:t>’s disease and confirmed 20 known others also reported, for the first time, that mutations in genes specific to tau, a hall</w:t>
      </w:r>
      <w:r w:rsidRPr="0060384B">
        <w:rPr>
          <w:rFonts w:ascii="Lato" w:hAnsi="Lato"/>
          <w:color w:val="000000" w:themeColor="text1"/>
          <w:sz w:val="24"/>
          <w:szCs w:val="24"/>
        </w:rPr>
        <w:t>mark protein of Alzheimer</w:t>
      </w:r>
      <w:r w:rsidRPr="0060384B">
        <w:rPr>
          <w:rFonts w:ascii="Lato" w:hAnsi="Lato"/>
          <w:color w:val="000000" w:themeColor="text1"/>
          <w:sz w:val="24"/>
          <w:szCs w:val="24"/>
        </w:rPr>
        <w:t>’s disease, may play an earlier role in the development of the disease than originally thought. These new findings support developing evidence that groups of genes associated with specific biological processes, such as cell traffic</w:t>
      </w:r>
      <w:r w:rsidRPr="0060384B">
        <w:rPr>
          <w:rFonts w:ascii="Lato" w:hAnsi="Lato"/>
          <w:color w:val="000000" w:themeColor="text1"/>
          <w:sz w:val="24"/>
          <w:szCs w:val="24"/>
        </w:rPr>
        <w:t xml:space="preserve">king, lipid transport, inflammation, and the immune response, are </w:t>
      </w:r>
      <w:r w:rsidRPr="0060384B">
        <w:rPr>
          <w:rFonts w:ascii="Lato" w:hAnsi="Lato"/>
          <w:color w:val="000000" w:themeColor="text1"/>
          <w:sz w:val="24"/>
          <w:szCs w:val="24"/>
        </w:rPr>
        <w:t>“genetic hubs</w:t>
      </w:r>
      <w:r w:rsidRPr="0060384B">
        <w:rPr>
          <w:rFonts w:ascii="Lato" w:hAnsi="Lato"/>
          <w:color w:val="000000" w:themeColor="text1"/>
          <w:sz w:val="24"/>
          <w:szCs w:val="24"/>
        </w:rPr>
        <w:t>” that are an important part of the disease process (</w:t>
      </w:r>
      <w:hyperlink r:id="rId80" w:history="1">
        <w:r w:rsidRPr="0060384B">
          <w:rPr>
            <w:rFonts w:ascii="Lato" w:hAnsi="Lato"/>
            <w:color w:val="000000" w:themeColor="text1"/>
            <w:sz w:val="24"/>
            <w:szCs w:val="24"/>
          </w:rPr>
          <w:t>Kunkle et al., 2019</w:t>
        </w:r>
      </w:hyperlink>
      <w:r w:rsidRPr="0060384B">
        <w:rPr>
          <w:rFonts w:ascii="Lato" w:hAnsi="Lato"/>
          <w:color w:val="000000" w:themeColor="text1"/>
          <w:sz w:val="24"/>
          <w:szCs w:val="24"/>
        </w:rPr>
        <w:t>).</w:t>
      </w:r>
    </w:p>
    <w:p w14:paraId="3C172234" w14:textId="77777777" w:rsidR="00000000" w:rsidRPr="0060384B" w:rsidRDefault="00CA5F6F">
      <w:pPr>
        <w:spacing w:line="242" w:lineRule="auto"/>
        <w:ind w:right="6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5E87FC08" w14:textId="77777777" w:rsidR="00000000" w:rsidRPr="0060384B" w:rsidRDefault="00CA5F6F">
      <w:pPr>
        <w:spacing w:line="200" w:lineRule="exact"/>
        <w:rPr>
          <w:rFonts w:ascii="Lato" w:eastAsia="Times New Roman" w:hAnsi="Lato"/>
          <w:color w:val="000000" w:themeColor="text1"/>
          <w:sz w:val="24"/>
          <w:szCs w:val="24"/>
        </w:rPr>
      </w:pPr>
    </w:p>
    <w:p w14:paraId="21DCA243" w14:textId="77777777" w:rsidR="00000000" w:rsidRPr="0060384B" w:rsidRDefault="00CA5F6F">
      <w:pPr>
        <w:spacing w:line="382"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531A3915" w14:textId="77777777">
        <w:trPr>
          <w:trHeight w:val="245"/>
        </w:trPr>
        <w:tc>
          <w:tcPr>
            <w:tcW w:w="6540" w:type="dxa"/>
            <w:shd w:val="clear" w:color="auto" w:fill="auto"/>
            <w:vAlign w:val="bottom"/>
          </w:tcPr>
          <w:p w14:paraId="2849B8A3"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TOGETHER WE SUCCEED</w:t>
            </w:r>
          </w:p>
        </w:tc>
        <w:tc>
          <w:tcPr>
            <w:tcW w:w="2820" w:type="dxa"/>
            <w:shd w:val="clear" w:color="auto" w:fill="auto"/>
            <w:vAlign w:val="bottom"/>
          </w:tcPr>
          <w:p w14:paraId="2F3D05F4"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25</w:t>
            </w:r>
          </w:p>
        </w:tc>
      </w:tr>
      <w:tr w:rsidR="00000000" w:rsidRPr="0060384B" w14:paraId="54FF7683" w14:textId="77777777">
        <w:trPr>
          <w:trHeight w:val="258"/>
        </w:trPr>
        <w:tc>
          <w:tcPr>
            <w:tcW w:w="6540" w:type="dxa"/>
            <w:shd w:val="clear" w:color="auto" w:fill="auto"/>
            <w:vAlign w:val="bottom"/>
          </w:tcPr>
          <w:p w14:paraId="300CB37F"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w:t>
            </w:r>
            <w:r w:rsidRPr="0060384B">
              <w:rPr>
                <w:rFonts w:ascii="Lato" w:hAnsi="Lato"/>
                <w:color w:val="000000" w:themeColor="text1"/>
                <w:sz w:val="24"/>
                <w:szCs w:val="24"/>
              </w:rPr>
              <w:t>get Proposal for Fiscal Year 2021</w:t>
            </w:r>
          </w:p>
        </w:tc>
        <w:tc>
          <w:tcPr>
            <w:tcW w:w="2820" w:type="dxa"/>
            <w:shd w:val="clear" w:color="auto" w:fill="auto"/>
            <w:vAlign w:val="bottom"/>
          </w:tcPr>
          <w:p w14:paraId="724ED2F2" w14:textId="77777777" w:rsidR="00000000" w:rsidRPr="0060384B" w:rsidRDefault="00CA5F6F">
            <w:pPr>
              <w:spacing w:line="0" w:lineRule="atLeast"/>
              <w:rPr>
                <w:rFonts w:ascii="Lato" w:eastAsia="Times New Roman" w:hAnsi="Lato"/>
                <w:color w:val="000000" w:themeColor="text1"/>
                <w:sz w:val="24"/>
                <w:szCs w:val="24"/>
              </w:rPr>
            </w:pPr>
          </w:p>
        </w:tc>
      </w:tr>
    </w:tbl>
    <w:p w14:paraId="67726F4E"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2C24FCDF" w14:textId="77777777" w:rsidR="00000000" w:rsidRPr="0060384B" w:rsidRDefault="00CA5F6F">
      <w:pPr>
        <w:spacing w:line="250" w:lineRule="auto"/>
        <w:ind w:right="420"/>
        <w:jc w:val="both"/>
        <w:rPr>
          <w:rFonts w:ascii="Lato" w:hAnsi="Lato"/>
          <w:color w:val="000000" w:themeColor="text1"/>
          <w:sz w:val="24"/>
          <w:szCs w:val="24"/>
        </w:rPr>
      </w:pPr>
      <w:bookmarkStart w:id="28" w:name="page29"/>
      <w:bookmarkEnd w:id="28"/>
      <w:r w:rsidRPr="0060384B">
        <w:rPr>
          <w:rFonts w:ascii="Lato" w:hAnsi="Lato"/>
          <w:color w:val="000000" w:themeColor="text1"/>
          <w:sz w:val="24"/>
          <w:szCs w:val="24"/>
        </w:rPr>
        <w:lastRenderedPageBreak/>
        <w:t xml:space="preserve">The </w:t>
      </w:r>
      <w:hyperlink r:id="rId81" w:history="1">
        <w:r w:rsidRPr="0060384B">
          <w:rPr>
            <w:rFonts w:ascii="Lato" w:hAnsi="Lato"/>
            <w:color w:val="000000" w:themeColor="text1"/>
            <w:sz w:val="24"/>
            <w:szCs w:val="24"/>
          </w:rPr>
          <w:t>Genome Center for Alzheimer</w:t>
        </w:r>
        <w:r w:rsidRPr="0060384B">
          <w:rPr>
            <w:rFonts w:ascii="Lato" w:hAnsi="Lato"/>
            <w:color w:val="000000" w:themeColor="text1"/>
            <w:sz w:val="24"/>
            <w:szCs w:val="24"/>
          </w:rPr>
          <w:t>’s Disease</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xml:space="preserve">was funded in 2016 to assemble, check quality control, harmonize, and jointly analyze the genetic and phenotypic data associated with </w:t>
      </w:r>
      <w:r w:rsidRPr="0060384B">
        <w:rPr>
          <w:rFonts w:ascii="Lato" w:hAnsi="Lato"/>
          <w:color w:val="000000" w:themeColor="text1"/>
          <w:sz w:val="24"/>
          <w:szCs w:val="24"/>
        </w:rPr>
        <w:t>the ADSP. Data are provided to NIAGADS for immediate sharing with the research community.</w:t>
      </w:r>
    </w:p>
    <w:p w14:paraId="2205C251" w14:textId="77777777" w:rsidR="00000000" w:rsidRPr="0060384B" w:rsidRDefault="00CA5F6F">
      <w:pPr>
        <w:spacing w:line="1" w:lineRule="exact"/>
        <w:rPr>
          <w:rFonts w:ascii="Lato" w:eastAsia="Times New Roman" w:hAnsi="Lato"/>
          <w:color w:val="000000" w:themeColor="text1"/>
          <w:sz w:val="24"/>
          <w:szCs w:val="24"/>
        </w:rPr>
      </w:pPr>
    </w:p>
    <w:p w14:paraId="51FC65F5" w14:textId="77777777" w:rsidR="00000000" w:rsidRPr="0060384B" w:rsidRDefault="00CA5F6F">
      <w:pPr>
        <w:spacing w:line="251" w:lineRule="auto"/>
        <w:ind w:right="640"/>
        <w:rPr>
          <w:rFonts w:ascii="Lato" w:hAnsi="Lato"/>
          <w:color w:val="000000" w:themeColor="text1"/>
          <w:sz w:val="24"/>
          <w:szCs w:val="24"/>
        </w:rPr>
      </w:pPr>
      <w:r w:rsidRPr="0060384B">
        <w:rPr>
          <w:rFonts w:ascii="Lato" w:hAnsi="Lato"/>
          <w:color w:val="000000" w:themeColor="text1"/>
          <w:sz w:val="24"/>
          <w:szCs w:val="24"/>
        </w:rPr>
        <w:t xml:space="preserve">These efforts include checking for quality and harmonizing data from the </w:t>
      </w:r>
      <w:hyperlink r:id="rId82" w:history="1">
        <w:r w:rsidRPr="0060384B">
          <w:rPr>
            <w:rFonts w:ascii="Lato" w:hAnsi="Lato"/>
            <w:color w:val="000000" w:themeColor="text1"/>
            <w:sz w:val="24"/>
            <w:szCs w:val="24"/>
          </w:rPr>
          <w:t>ADSP Follow- Up</w:t>
        </w:r>
      </w:hyperlink>
      <w:r w:rsidRPr="0060384B">
        <w:rPr>
          <w:rFonts w:ascii="Lato" w:hAnsi="Lato"/>
          <w:color w:val="000000" w:themeColor="text1"/>
          <w:sz w:val="24"/>
          <w:szCs w:val="24"/>
        </w:rPr>
        <w:t xml:space="preserve"> </w:t>
      </w:r>
      <w:hyperlink r:id="rId83" w:history="1">
        <w:r w:rsidRPr="0060384B">
          <w:rPr>
            <w:rFonts w:ascii="Lato" w:hAnsi="Lato"/>
            <w:color w:val="000000" w:themeColor="text1"/>
            <w:sz w:val="24"/>
            <w:szCs w:val="24"/>
          </w:rPr>
          <w:t>Study</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xml:space="preserve">which </w:t>
      </w:r>
      <w:r w:rsidRPr="0060384B">
        <w:rPr>
          <w:rFonts w:ascii="Lato" w:hAnsi="Lato"/>
          <w:color w:val="000000" w:themeColor="text1"/>
          <w:sz w:val="24"/>
          <w:szCs w:val="24"/>
        </w:rPr>
        <w:t xml:space="preserve">contains a wide swath of data, already </w:t>
      </w:r>
      <w:r w:rsidRPr="0060384B">
        <w:rPr>
          <w:rFonts w:ascii="Lato" w:hAnsi="Lato"/>
          <w:color w:val="000000" w:themeColor="text1"/>
          <w:sz w:val="24"/>
          <w:szCs w:val="24"/>
        </w:rPr>
        <w:t>being sequenced, on up to 20,000</w:t>
      </w:r>
      <w:r w:rsidRPr="0060384B">
        <w:rPr>
          <w:rFonts w:ascii="Lato" w:hAnsi="Lato"/>
          <w:color w:val="000000" w:themeColor="text1"/>
          <w:sz w:val="24"/>
          <w:szCs w:val="24"/>
        </w:rPr>
        <w:t xml:space="preserve"> </w:t>
      </w:r>
      <w:r w:rsidRPr="0060384B">
        <w:rPr>
          <w:rFonts w:ascii="Lato" w:hAnsi="Lato"/>
          <w:color w:val="000000" w:themeColor="text1"/>
          <w:sz w:val="24"/>
          <w:szCs w:val="24"/>
        </w:rPr>
        <w:t>ethnically diverse participants.</w:t>
      </w:r>
    </w:p>
    <w:p w14:paraId="5AE03B3F" w14:textId="77777777" w:rsidR="00000000" w:rsidRPr="0060384B" w:rsidRDefault="00CA5F6F">
      <w:pPr>
        <w:spacing w:line="237" w:lineRule="exact"/>
        <w:rPr>
          <w:rFonts w:ascii="Lato" w:eastAsia="Times New Roman" w:hAnsi="Lato"/>
          <w:color w:val="000000" w:themeColor="text1"/>
          <w:sz w:val="24"/>
          <w:szCs w:val="24"/>
        </w:rPr>
      </w:pPr>
    </w:p>
    <w:p w14:paraId="674DD885" w14:textId="77777777" w:rsidR="00000000" w:rsidRPr="0060384B" w:rsidRDefault="00CA5F6F">
      <w:pPr>
        <w:spacing w:line="242" w:lineRule="auto"/>
        <w:ind w:right="20"/>
        <w:rPr>
          <w:rFonts w:ascii="Lato" w:hAnsi="Lato"/>
          <w:color w:val="000000" w:themeColor="text1"/>
          <w:sz w:val="24"/>
          <w:szCs w:val="24"/>
        </w:rPr>
      </w:pPr>
      <w:r w:rsidRPr="0060384B">
        <w:rPr>
          <w:rFonts w:ascii="Lato" w:hAnsi="Lato"/>
          <w:b/>
          <w:color w:val="000000" w:themeColor="text1"/>
          <w:sz w:val="24"/>
          <w:szCs w:val="24"/>
        </w:rPr>
        <w:t xml:space="preserve">AMP-AD develops new tools, greatly expands access. </w:t>
      </w:r>
      <w:r w:rsidRPr="0060384B">
        <w:rPr>
          <w:rFonts w:ascii="Lato" w:hAnsi="Lato"/>
          <w:color w:val="000000" w:themeColor="text1"/>
          <w:sz w:val="24"/>
          <w:szCs w:val="24"/>
        </w:rPr>
        <w:t>The</w:t>
      </w:r>
      <w:r w:rsidRPr="0060384B">
        <w:rPr>
          <w:rFonts w:ascii="Lato" w:hAnsi="Lato"/>
          <w:b/>
          <w:color w:val="000000" w:themeColor="text1"/>
          <w:sz w:val="24"/>
          <w:szCs w:val="24"/>
        </w:rPr>
        <w:t xml:space="preserve"> </w:t>
      </w:r>
      <w:hyperlink r:id="rId84" w:history="1">
        <w:r w:rsidRPr="0060384B">
          <w:rPr>
            <w:rFonts w:ascii="Lato" w:hAnsi="Lato"/>
            <w:color w:val="000000" w:themeColor="text1"/>
            <w:sz w:val="24"/>
            <w:szCs w:val="24"/>
          </w:rPr>
          <w:t>Accelerating Medicines Partnership</w:t>
        </w:r>
        <w:r w:rsidRPr="0060384B">
          <w:rPr>
            <w:rFonts w:ascii="Lato" w:hAnsi="Lato"/>
            <w:color w:val="000000" w:themeColor="text1"/>
            <w:sz w:val="24"/>
            <w:szCs w:val="24"/>
          </w:rPr>
          <w:t>–</w:t>
        </w:r>
      </w:hyperlink>
      <w:r w:rsidRPr="0060384B">
        <w:rPr>
          <w:rFonts w:ascii="Lato" w:hAnsi="Lato"/>
          <w:b/>
          <w:color w:val="000000" w:themeColor="text1"/>
          <w:sz w:val="24"/>
          <w:szCs w:val="24"/>
        </w:rPr>
        <w:t xml:space="preserve"> </w:t>
      </w:r>
      <w:hyperlink r:id="rId85" w:history="1">
        <w:r w:rsidRPr="0060384B">
          <w:rPr>
            <w:rFonts w:ascii="Lato" w:hAnsi="Lato"/>
            <w:color w:val="000000" w:themeColor="text1"/>
            <w:sz w:val="24"/>
            <w:szCs w:val="24"/>
          </w:rPr>
          <w:t>Alzheimer</w:t>
        </w:r>
        <w:r w:rsidRPr="0060384B">
          <w:rPr>
            <w:rFonts w:ascii="Lato" w:hAnsi="Lato"/>
            <w:color w:val="000000" w:themeColor="text1"/>
            <w:sz w:val="24"/>
            <w:szCs w:val="24"/>
          </w:rPr>
          <w:t>’s Disease</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(AMP</w:t>
      </w:r>
      <w:r w:rsidRPr="0060384B">
        <w:rPr>
          <w:rFonts w:ascii="Lato" w:hAnsi="Lato"/>
          <w:color w:val="000000" w:themeColor="text1"/>
          <w:sz w:val="24"/>
          <w:szCs w:val="24"/>
        </w:rPr>
        <w:t>-AD) is a precompetitive public-private effort of government,</w:t>
      </w:r>
      <w:r w:rsidRPr="0060384B">
        <w:rPr>
          <w:rFonts w:ascii="Lato" w:hAnsi="Lato"/>
          <w:color w:val="000000" w:themeColor="text1"/>
          <w:sz w:val="24"/>
          <w:szCs w:val="24"/>
        </w:rPr>
        <w:t xml:space="preserve"> </w:t>
      </w:r>
      <w:r w:rsidRPr="0060384B">
        <w:rPr>
          <w:rFonts w:ascii="Lato" w:hAnsi="Lato"/>
          <w:color w:val="000000" w:themeColor="text1"/>
          <w:sz w:val="24"/>
          <w:szCs w:val="24"/>
        </w:rPr>
        <w:t>industry, and nonprofit organizations that focuses on discovering novel therapeutic targets and biomarkers for validating existing and new targets. Establishe</w:t>
      </w:r>
      <w:r w:rsidRPr="0060384B">
        <w:rPr>
          <w:rFonts w:ascii="Lato" w:hAnsi="Lato"/>
          <w:color w:val="000000" w:themeColor="text1"/>
          <w:sz w:val="24"/>
          <w:szCs w:val="24"/>
        </w:rPr>
        <w:t>d in 2014 to shorten the time for development of new drugs for Alzheimer</w:t>
      </w:r>
      <w:r w:rsidRPr="0060384B">
        <w:rPr>
          <w:rFonts w:ascii="Lato" w:hAnsi="Lato"/>
          <w:color w:val="000000" w:themeColor="text1"/>
          <w:sz w:val="24"/>
          <w:szCs w:val="24"/>
        </w:rPr>
        <w:t>’s treatment and prevention, this transformative approach integrates analyses of large-scale molecular data from human brain samples with network modeling and experimental validation t</w:t>
      </w:r>
      <w:r w:rsidRPr="0060384B">
        <w:rPr>
          <w:rFonts w:ascii="Lato" w:hAnsi="Lato"/>
          <w:color w:val="000000" w:themeColor="text1"/>
          <w:sz w:val="24"/>
          <w:szCs w:val="24"/>
        </w:rPr>
        <w:t xml:space="preserve">o generate and test hypotheses for intervention. </w:t>
      </w:r>
      <w:r w:rsidRPr="0060384B">
        <w:rPr>
          <w:rFonts w:ascii="Lato" w:hAnsi="Lato"/>
          <w:color w:val="000000" w:themeColor="text1"/>
          <w:sz w:val="24"/>
          <w:szCs w:val="24"/>
        </w:rPr>
        <w:t>The Target Discovery Project has generated a wealth of molecular data from over</w:t>
      </w:r>
      <w:r w:rsidRPr="0060384B">
        <w:rPr>
          <w:rFonts w:ascii="Lato" w:hAnsi="Lato"/>
          <w:color w:val="000000" w:themeColor="text1"/>
          <w:sz w:val="24"/>
          <w:szCs w:val="24"/>
        </w:rPr>
        <w:t xml:space="preserve"> </w:t>
      </w:r>
      <w:r w:rsidRPr="0060384B">
        <w:rPr>
          <w:rFonts w:ascii="Lato" w:hAnsi="Lato"/>
          <w:color w:val="000000" w:themeColor="text1"/>
          <w:sz w:val="24"/>
          <w:szCs w:val="24"/>
        </w:rPr>
        <w:t>3,000 human brain and plasma samples collected in several NIA-supported Alzheimer</w:t>
      </w:r>
      <w:r w:rsidRPr="0060384B">
        <w:rPr>
          <w:rFonts w:ascii="Lato" w:hAnsi="Lato"/>
          <w:color w:val="000000" w:themeColor="text1"/>
          <w:sz w:val="24"/>
          <w:szCs w:val="24"/>
        </w:rPr>
        <w:t>’s disease cohorts and brain banks. The projec</w:t>
      </w:r>
      <w:r w:rsidRPr="0060384B">
        <w:rPr>
          <w:rFonts w:ascii="Lato" w:hAnsi="Lato"/>
          <w:color w:val="000000" w:themeColor="text1"/>
          <w:sz w:val="24"/>
          <w:szCs w:val="24"/>
        </w:rPr>
        <w:t xml:space="preserve">t makes these datasets available to the greater research community through the </w:t>
      </w:r>
      <w:hyperlink r:id="rId86" w:history="1">
        <w:r w:rsidRPr="0060384B">
          <w:rPr>
            <w:rFonts w:ascii="Lato" w:hAnsi="Lato"/>
            <w:color w:val="000000" w:themeColor="text1"/>
            <w:sz w:val="24"/>
            <w:szCs w:val="24"/>
          </w:rPr>
          <w:t>AMP-AD Knowledge Portal</w:t>
        </w:r>
        <w:r w:rsidRPr="0060384B">
          <w:rPr>
            <w:rFonts w:ascii="Lato" w:hAnsi="Lato"/>
            <w:color w:val="000000" w:themeColor="text1"/>
            <w:sz w:val="24"/>
            <w:szCs w:val="24"/>
          </w:rPr>
          <w:t>.</w:t>
        </w:r>
      </w:hyperlink>
    </w:p>
    <w:p w14:paraId="30785117" w14:textId="77777777" w:rsidR="00000000" w:rsidRPr="0060384B" w:rsidRDefault="00CA5F6F">
      <w:pPr>
        <w:spacing w:line="258" w:lineRule="exact"/>
        <w:rPr>
          <w:rFonts w:ascii="Lato" w:hAnsi="Lato"/>
          <w:b/>
          <w:color w:val="000000" w:themeColor="text1"/>
          <w:sz w:val="24"/>
          <w:szCs w:val="24"/>
        </w:rPr>
      </w:pPr>
    </w:p>
    <w:p w14:paraId="12CBB2FB" w14:textId="77777777" w:rsidR="00000000" w:rsidRPr="0060384B" w:rsidRDefault="00CA5F6F">
      <w:pPr>
        <w:spacing w:line="241" w:lineRule="auto"/>
        <w:ind w:right="20"/>
        <w:rPr>
          <w:rFonts w:ascii="Lato" w:hAnsi="Lato"/>
          <w:color w:val="000000" w:themeColor="text1"/>
          <w:sz w:val="24"/>
          <w:szCs w:val="24"/>
        </w:rPr>
      </w:pPr>
      <w:r w:rsidRPr="0060384B">
        <w:rPr>
          <w:rFonts w:ascii="Lato" w:hAnsi="Lato"/>
          <w:color w:val="000000" w:themeColor="text1"/>
          <w:sz w:val="24"/>
          <w:szCs w:val="24"/>
        </w:rPr>
        <w:t xml:space="preserve">In its first 5 years, beyond building the portal and making rich datasets available to qualified researchers, </w:t>
      </w:r>
      <w:r w:rsidRPr="0060384B">
        <w:rPr>
          <w:rFonts w:ascii="Lato" w:hAnsi="Lato"/>
          <w:color w:val="000000" w:themeColor="text1"/>
          <w:sz w:val="24"/>
          <w:szCs w:val="24"/>
        </w:rPr>
        <w:t>the AMP-AD Target Discovery Project discovered over 100 genes as potential therapeutic targets. In 2018, these novel target predictions, along with the data and analyses that led to their discovery, were made available via a new AMP-AD data resource, the A</w:t>
      </w:r>
      <w:r w:rsidRPr="0060384B">
        <w:rPr>
          <w:rFonts w:ascii="Lato" w:hAnsi="Lato"/>
          <w:color w:val="000000" w:themeColor="text1"/>
          <w:sz w:val="24"/>
          <w:szCs w:val="24"/>
        </w:rPr>
        <w:t>GORA platform. This web-based, interactive platform will enable researchers in academia and biotech and pharmaceutical communities to leverage AMP-AD analyses and results to enhance their own work and build on the AMP-AD discoveries. They may, for example,</w:t>
      </w:r>
      <w:r w:rsidRPr="0060384B">
        <w:rPr>
          <w:rFonts w:ascii="Lato" w:hAnsi="Lato"/>
          <w:color w:val="000000" w:themeColor="text1"/>
          <w:sz w:val="24"/>
          <w:szCs w:val="24"/>
        </w:rPr>
        <w:t xml:space="preserve"> launch independent studies on disease mechanisms or initiate drug discovery for a new set of therapeutic targets. In 2019, an additional 400 AMP-AD candidate target genes will be publicly available, accompanied by results from several new layers of inform</w:t>
      </w:r>
      <w:r w:rsidRPr="0060384B">
        <w:rPr>
          <w:rFonts w:ascii="Lato" w:hAnsi="Lato"/>
          <w:color w:val="000000" w:themeColor="text1"/>
          <w:sz w:val="24"/>
          <w:szCs w:val="24"/>
        </w:rPr>
        <w:t xml:space="preserve">ation, including on target </w:t>
      </w:r>
      <w:r w:rsidRPr="0060384B">
        <w:rPr>
          <w:rFonts w:ascii="Lato" w:hAnsi="Lato"/>
          <w:color w:val="000000" w:themeColor="text1"/>
          <w:sz w:val="24"/>
          <w:szCs w:val="24"/>
        </w:rPr>
        <w:t>“druggability</w:t>
      </w:r>
      <w:r w:rsidRPr="0060384B">
        <w:rPr>
          <w:rFonts w:ascii="Lato" w:hAnsi="Lato"/>
          <w:color w:val="000000" w:themeColor="text1"/>
          <w:sz w:val="24"/>
          <w:szCs w:val="24"/>
        </w:rPr>
        <w:t>” (the likelihood of a small molecule drug being able to affect a target), developed in collaboration with AMP-AD pharmaceutical industry partners.</w:t>
      </w:r>
    </w:p>
    <w:p w14:paraId="2B9DEF92" w14:textId="77777777" w:rsidR="00000000" w:rsidRPr="0060384B" w:rsidRDefault="00CA5F6F">
      <w:pPr>
        <w:spacing w:line="264" w:lineRule="exact"/>
        <w:rPr>
          <w:rFonts w:ascii="Lato" w:hAnsi="Lato"/>
          <w:b/>
          <w:color w:val="000000" w:themeColor="text1"/>
          <w:sz w:val="24"/>
          <w:szCs w:val="24"/>
        </w:rPr>
      </w:pPr>
    </w:p>
    <w:p w14:paraId="64FC8A34" w14:textId="77777777" w:rsidR="00000000" w:rsidRPr="0060384B" w:rsidRDefault="00CA5F6F">
      <w:pPr>
        <w:spacing w:line="243" w:lineRule="auto"/>
        <w:ind w:right="120"/>
        <w:rPr>
          <w:rFonts w:ascii="Lato" w:hAnsi="Lato"/>
          <w:color w:val="000000" w:themeColor="text1"/>
          <w:sz w:val="24"/>
          <w:szCs w:val="24"/>
        </w:rPr>
      </w:pPr>
      <w:r w:rsidRPr="0060384B">
        <w:rPr>
          <w:rFonts w:ascii="Lato" w:hAnsi="Lato"/>
          <w:color w:val="000000" w:themeColor="text1"/>
          <w:sz w:val="24"/>
          <w:szCs w:val="24"/>
        </w:rPr>
        <w:t>In 2018, NIH reinvested in the AMP- AD Target Discovery and Preclin</w:t>
      </w:r>
      <w:r w:rsidRPr="0060384B">
        <w:rPr>
          <w:rFonts w:ascii="Lato" w:hAnsi="Lato"/>
          <w:color w:val="000000" w:themeColor="text1"/>
          <w:sz w:val="24"/>
          <w:szCs w:val="24"/>
        </w:rPr>
        <w:t xml:space="preserve">ical Validation Project by supporting seven research teams to expand the </w:t>
      </w:r>
      <w:r w:rsidRPr="0060384B">
        <w:rPr>
          <w:rFonts w:ascii="Lato" w:hAnsi="Lato"/>
          <w:color w:val="000000" w:themeColor="text1"/>
          <w:sz w:val="24"/>
          <w:szCs w:val="24"/>
        </w:rPr>
        <w:t>“big data</w:t>
      </w:r>
      <w:r w:rsidRPr="0060384B">
        <w:rPr>
          <w:rFonts w:ascii="Lato" w:hAnsi="Lato"/>
          <w:color w:val="000000" w:themeColor="text1"/>
          <w:sz w:val="24"/>
          <w:szCs w:val="24"/>
        </w:rPr>
        <w:t xml:space="preserve">” infrastructure of the Knowledge Portal and the AGORA platform; use the existing and newly generated molecular data for discovery of additional novel targets and biomarkers </w:t>
      </w:r>
      <w:r w:rsidRPr="0060384B">
        <w:rPr>
          <w:rFonts w:ascii="Lato" w:hAnsi="Lato"/>
          <w:color w:val="000000" w:themeColor="text1"/>
          <w:sz w:val="24"/>
          <w:szCs w:val="24"/>
        </w:rPr>
        <w:t>and for disease subclassification; and enhance the research capabilities for experimental characterization of the candidate targets to test their utility as potential drug targets for Alzheimer</w:t>
      </w:r>
      <w:r w:rsidRPr="0060384B">
        <w:rPr>
          <w:rFonts w:ascii="Lato" w:hAnsi="Lato"/>
          <w:color w:val="000000" w:themeColor="text1"/>
          <w:sz w:val="24"/>
          <w:szCs w:val="24"/>
        </w:rPr>
        <w:t>’s treatment and prevention. The next phase of the AMP-AD Targe</w:t>
      </w:r>
      <w:r w:rsidRPr="0060384B">
        <w:rPr>
          <w:rFonts w:ascii="Lato" w:hAnsi="Lato"/>
          <w:color w:val="000000" w:themeColor="text1"/>
          <w:sz w:val="24"/>
          <w:szCs w:val="24"/>
        </w:rPr>
        <w:t>t Discovery Project will be a powerful discovery engine fueling new therapy development efforts, extending and expanding the public-private partnership.</w:t>
      </w:r>
    </w:p>
    <w:p w14:paraId="474EE8BF" w14:textId="77777777" w:rsidR="00000000" w:rsidRPr="0060384B" w:rsidRDefault="00CA5F6F">
      <w:pPr>
        <w:spacing w:line="247" w:lineRule="exact"/>
        <w:rPr>
          <w:rFonts w:ascii="Lato" w:hAnsi="Lato"/>
          <w:b/>
          <w:color w:val="000000" w:themeColor="text1"/>
          <w:sz w:val="24"/>
          <w:szCs w:val="24"/>
        </w:rPr>
      </w:pPr>
    </w:p>
    <w:p w14:paraId="3943CAE4" w14:textId="77777777" w:rsidR="00000000" w:rsidRPr="0060384B" w:rsidRDefault="00CA5F6F">
      <w:pPr>
        <w:spacing w:line="246" w:lineRule="auto"/>
        <w:ind w:right="60"/>
        <w:rPr>
          <w:rFonts w:ascii="Lato" w:hAnsi="Lato"/>
          <w:color w:val="000000" w:themeColor="text1"/>
          <w:sz w:val="24"/>
          <w:szCs w:val="24"/>
        </w:rPr>
      </w:pPr>
      <w:r w:rsidRPr="0060384B">
        <w:rPr>
          <w:rFonts w:ascii="Lato" w:hAnsi="Lato"/>
          <w:b/>
          <w:color w:val="000000" w:themeColor="text1"/>
          <w:sz w:val="24"/>
          <w:szCs w:val="24"/>
        </w:rPr>
        <w:t xml:space="preserve">AMP-AD clinical trials data sharing. </w:t>
      </w:r>
      <w:r w:rsidRPr="0060384B">
        <w:rPr>
          <w:rFonts w:ascii="Lato" w:hAnsi="Lato"/>
          <w:color w:val="000000" w:themeColor="text1"/>
          <w:sz w:val="24"/>
          <w:szCs w:val="24"/>
        </w:rPr>
        <w:t xml:space="preserve">The </w:t>
      </w:r>
      <w:hyperlink r:id="rId87" w:history="1">
        <w:r w:rsidRPr="0060384B">
          <w:rPr>
            <w:rFonts w:ascii="Lato" w:hAnsi="Lato"/>
            <w:color w:val="000000" w:themeColor="text1"/>
            <w:sz w:val="24"/>
            <w:szCs w:val="24"/>
          </w:rPr>
          <w:t xml:space="preserve">AMP-AD Biomarkers Project </w:t>
        </w:r>
      </w:hyperlink>
      <w:r w:rsidRPr="0060384B">
        <w:rPr>
          <w:rFonts w:ascii="Lato" w:hAnsi="Lato"/>
          <w:color w:val="000000" w:themeColor="text1"/>
          <w:sz w:val="24"/>
          <w:szCs w:val="24"/>
        </w:rPr>
        <w:t xml:space="preserve">is </w:t>
      </w:r>
      <w:r w:rsidRPr="0060384B">
        <w:rPr>
          <w:rFonts w:ascii="Lato" w:hAnsi="Lato"/>
          <w:color w:val="000000" w:themeColor="text1"/>
          <w:sz w:val="24"/>
          <w:szCs w:val="24"/>
        </w:rPr>
        <w:t>a consortium of two</w:t>
      </w:r>
      <w:r w:rsidRPr="0060384B">
        <w:rPr>
          <w:rFonts w:ascii="Lato" w:hAnsi="Lato"/>
          <w:color w:val="000000" w:themeColor="text1"/>
          <w:sz w:val="24"/>
          <w:szCs w:val="24"/>
        </w:rPr>
        <w:t xml:space="preserve"> </w:t>
      </w:r>
      <w:r w:rsidRPr="0060384B">
        <w:rPr>
          <w:rFonts w:ascii="Lato" w:hAnsi="Lato"/>
          <w:color w:val="000000" w:themeColor="text1"/>
          <w:sz w:val="24"/>
          <w:szCs w:val="24"/>
        </w:rPr>
        <w:t>NIA-supported Phase II/III secondary prevention trials (Anti-Amyloid Treatment in Asymptomatic Alzheimer</w:t>
      </w:r>
      <w:r w:rsidRPr="0060384B">
        <w:rPr>
          <w:rFonts w:ascii="Lato" w:hAnsi="Lato"/>
          <w:color w:val="000000" w:themeColor="text1"/>
          <w:sz w:val="24"/>
          <w:szCs w:val="24"/>
        </w:rPr>
        <w:t>’s and Dominantly Inherited Alzheimer</w:t>
      </w:r>
      <w:r w:rsidRPr="0060384B">
        <w:rPr>
          <w:rFonts w:ascii="Lato" w:hAnsi="Lato"/>
          <w:color w:val="000000" w:themeColor="text1"/>
          <w:sz w:val="24"/>
          <w:szCs w:val="24"/>
        </w:rPr>
        <w:t>’s Network) testing several anti-amyloid therapie</w:t>
      </w:r>
      <w:r w:rsidRPr="0060384B">
        <w:rPr>
          <w:rFonts w:ascii="Lato" w:hAnsi="Lato"/>
          <w:color w:val="000000" w:themeColor="text1"/>
          <w:sz w:val="24"/>
          <w:szCs w:val="24"/>
        </w:rPr>
        <w:t xml:space="preserve">s. Through the AMP-AD partnership, imaging and fluid </w:t>
      </w:r>
      <w:r w:rsidRPr="0060384B">
        <w:rPr>
          <w:rFonts w:ascii="Lato" w:hAnsi="Lato"/>
          <w:color w:val="000000" w:themeColor="text1"/>
          <w:sz w:val="24"/>
          <w:szCs w:val="24"/>
        </w:rPr>
        <w:lastRenderedPageBreak/>
        <w:t>biomarker panels already included in these trials will be supplemented with tau positron emission tomography</w:t>
      </w:r>
    </w:p>
    <w:p w14:paraId="78CB6F0E" w14:textId="77777777" w:rsidR="00000000" w:rsidRPr="0060384B" w:rsidRDefault="00CA5F6F">
      <w:pPr>
        <w:spacing w:line="246" w:lineRule="auto"/>
        <w:ind w:right="6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2F70714F" w14:textId="77777777" w:rsidR="00000000" w:rsidRPr="0060384B" w:rsidRDefault="00CA5F6F">
      <w:pPr>
        <w:spacing w:line="315" w:lineRule="exact"/>
        <w:rPr>
          <w:rFonts w:ascii="Lato" w:hAnsi="Lato"/>
          <w:b/>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0A7CFA6A" w14:textId="77777777">
        <w:trPr>
          <w:trHeight w:val="245"/>
        </w:trPr>
        <w:tc>
          <w:tcPr>
            <w:tcW w:w="6540" w:type="dxa"/>
            <w:shd w:val="clear" w:color="auto" w:fill="auto"/>
            <w:vAlign w:val="bottom"/>
          </w:tcPr>
          <w:p w14:paraId="07B7BC0B"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2EB5AB64"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26</w:t>
            </w:r>
          </w:p>
        </w:tc>
      </w:tr>
      <w:tr w:rsidR="00000000" w:rsidRPr="0060384B" w14:paraId="27768BB6" w14:textId="77777777">
        <w:trPr>
          <w:trHeight w:val="258"/>
        </w:trPr>
        <w:tc>
          <w:tcPr>
            <w:tcW w:w="6540" w:type="dxa"/>
            <w:shd w:val="clear" w:color="auto" w:fill="auto"/>
            <w:vAlign w:val="bottom"/>
          </w:tcPr>
          <w:p w14:paraId="779F7B3D"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3C47BEFC" w14:textId="77777777" w:rsidR="00000000" w:rsidRPr="0060384B" w:rsidRDefault="00CA5F6F">
            <w:pPr>
              <w:spacing w:line="0" w:lineRule="atLeast"/>
              <w:rPr>
                <w:rFonts w:ascii="Lato" w:eastAsia="Times New Roman" w:hAnsi="Lato"/>
                <w:color w:val="000000" w:themeColor="text1"/>
                <w:sz w:val="24"/>
                <w:szCs w:val="24"/>
              </w:rPr>
            </w:pPr>
          </w:p>
        </w:tc>
      </w:tr>
    </w:tbl>
    <w:p w14:paraId="09DA8782"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1F8D3728" w14:textId="77777777" w:rsidR="00000000" w:rsidRPr="0060384B" w:rsidRDefault="00CA5F6F">
      <w:pPr>
        <w:spacing w:line="247" w:lineRule="auto"/>
        <w:ind w:right="120"/>
        <w:rPr>
          <w:rFonts w:ascii="Lato" w:hAnsi="Lato"/>
          <w:color w:val="000000" w:themeColor="text1"/>
          <w:sz w:val="24"/>
          <w:szCs w:val="24"/>
        </w:rPr>
      </w:pPr>
      <w:bookmarkStart w:id="29" w:name="page30"/>
      <w:bookmarkEnd w:id="29"/>
      <w:r w:rsidRPr="0060384B">
        <w:rPr>
          <w:rFonts w:ascii="Lato" w:hAnsi="Lato"/>
          <w:color w:val="000000" w:themeColor="text1"/>
          <w:sz w:val="24"/>
          <w:szCs w:val="24"/>
        </w:rPr>
        <w:lastRenderedPageBreak/>
        <w:t xml:space="preserve">imaging to track </w:t>
      </w:r>
      <w:r w:rsidRPr="0060384B">
        <w:rPr>
          <w:rFonts w:ascii="Lato" w:hAnsi="Lato"/>
          <w:color w:val="000000" w:themeColor="text1"/>
          <w:sz w:val="24"/>
          <w:szCs w:val="24"/>
        </w:rPr>
        <w:t xml:space="preserve">responsiveness to treatment and/or disease progression. Screening data from the trials will be made broadly available through the </w:t>
      </w:r>
      <w:hyperlink r:id="rId88" w:history="1">
        <w:r w:rsidRPr="0060384B">
          <w:rPr>
            <w:rFonts w:ascii="Lato" w:hAnsi="Lato"/>
            <w:color w:val="000000" w:themeColor="text1"/>
            <w:sz w:val="24"/>
            <w:szCs w:val="24"/>
          </w:rPr>
          <w:t>Global Alzheimer</w:t>
        </w:r>
        <w:r w:rsidRPr="0060384B">
          <w:rPr>
            <w:rFonts w:ascii="Lato" w:hAnsi="Lato"/>
            <w:color w:val="000000" w:themeColor="text1"/>
            <w:sz w:val="24"/>
            <w:szCs w:val="24"/>
          </w:rPr>
          <w:t>’s Association Interactive</w:t>
        </w:r>
      </w:hyperlink>
      <w:r w:rsidRPr="0060384B">
        <w:rPr>
          <w:rFonts w:ascii="Lato" w:hAnsi="Lato"/>
          <w:color w:val="000000" w:themeColor="text1"/>
          <w:sz w:val="24"/>
          <w:szCs w:val="24"/>
        </w:rPr>
        <w:t xml:space="preserve"> </w:t>
      </w:r>
      <w:hyperlink r:id="rId89" w:history="1">
        <w:r w:rsidRPr="0060384B">
          <w:rPr>
            <w:rFonts w:ascii="Lato" w:hAnsi="Lato"/>
            <w:color w:val="000000" w:themeColor="text1"/>
            <w:sz w:val="24"/>
            <w:szCs w:val="24"/>
          </w:rPr>
          <w:t>Network.</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Biosamples and data from both the placebo and treatment arms will be made available after trial completion.</w:t>
      </w:r>
    </w:p>
    <w:p w14:paraId="0789C477" w14:textId="77777777" w:rsidR="00000000" w:rsidRPr="0060384B" w:rsidRDefault="00CA5F6F">
      <w:pPr>
        <w:spacing w:line="243" w:lineRule="exact"/>
        <w:rPr>
          <w:rFonts w:ascii="Lato" w:eastAsia="Times New Roman" w:hAnsi="Lato"/>
          <w:color w:val="000000" w:themeColor="text1"/>
          <w:sz w:val="24"/>
          <w:szCs w:val="24"/>
        </w:rPr>
      </w:pPr>
    </w:p>
    <w:p w14:paraId="4B42AEEB" w14:textId="77777777" w:rsidR="00000000" w:rsidRPr="0060384B" w:rsidRDefault="00CA5F6F">
      <w:pPr>
        <w:spacing w:line="244" w:lineRule="auto"/>
        <w:ind w:right="40"/>
        <w:rPr>
          <w:rFonts w:ascii="Lato" w:hAnsi="Lato"/>
          <w:color w:val="000000" w:themeColor="text1"/>
          <w:sz w:val="24"/>
          <w:szCs w:val="24"/>
        </w:rPr>
      </w:pPr>
      <w:r w:rsidRPr="0060384B">
        <w:rPr>
          <w:rFonts w:ascii="Lato" w:hAnsi="Lato"/>
          <w:b/>
          <w:color w:val="000000" w:themeColor="text1"/>
          <w:sz w:val="24"/>
          <w:szCs w:val="24"/>
        </w:rPr>
        <w:t>Alzheimer</w:t>
      </w:r>
      <w:r w:rsidRPr="0060384B">
        <w:rPr>
          <w:rFonts w:ascii="Lato" w:hAnsi="Lato"/>
          <w:b/>
          <w:color w:val="000000" w:themeColor="text1"/>
          <w:sz w:val="24"/>
          <w:szCs w:val="24"/>
        </w:rPr>
        <w:t xml:space="preserve">’s Clinical Trials Consortium to prioritize data sharing. </w:t>
      </w:r>
      <w:r w:rsidRPr="0060384B">
        <w:rPr>
          <w:rFonts w:ascii="Lato" w:hAnsi="Lato"/>
          <w:color w:val="000000" w:themeColor="text1"/>
          <w:sz w:val="24"/>
          <w:szCs w:val="24"/>
        </w:rPr>
        <w:t>NIA in FY 2018 established a</w:t>
      </w:r>
      <w:r w:rsidRPr="0060384B">
        <w:rPr>
          <w:rFonts w:ascii="Lato" w:hAnsi="Lato"/>
          <w:b/>
          <w:color w:val="000000" w:themeColor="text1"/>
          <w:sz w:val="24"/>
          <w:szCs w:val="24"/>
        </w:rPr>
        <w:t xml:space="preserve"> </w:t>
      </w:r>
      <w:r w:rsidRPr="0060384B">
        <w:rPr>
          <w:rFonts w:ascii="Lato" w:hAnsi="Lato"/>
          <w:color w:val="000000" w:themeColor="text1"/>
          <w:sz w:val="24"/>
          <w:szCs w:val="24"/>
        </w:rPr>
        <w:t xml:space="preserve">major new clinical trials network, the </w:t>
      </w:r>
      <w:hyperlink r:id="rId90" w:history="1">
        <w:r w:rsidRPr="0060384B">
          <w:rPr>
            <w:rFonts w:ascii="Lato" w:hAnsi="Lato"/>
            <w:color w:val="000000" w:themeColor="text1"/>
            <w:sz w:val="24"/>
            <w:szCs w:val="24"/>
          </w:rPr>
          <w:t>Alzheimer</w:t>
        </w:r>
        <w:r w:rsidRPr="0060384B">
          <w:rPr>
            <w:rFonts w:ascii="Lato" w:hAnsi="Lato"/>
            <w:color w:val="000000" w:themeColor="text1"/>
            <w:sz w:val="24"/>
            <w:szCs w:val="24"/>
          </w:rPr>
          <w:t xml:space="preserve">’s Clinical Trials Consortium </w:t>
        </w:r>
      </w:hyperlink>
      <w:r w:rsidRPr="0060384B">
        <w:rPr>
          <w:rFonts w:ascii="Lato" w:hAnsi="Lato"/>
          <w:color w:val="000000" w:themeColor="text1"/>
          <w:sz w:val="24"/>
          <w:szCs w:val="24"/>
        </w:rPr>
        <w:t>(ACTC). With a network of 35 U.S. sites, the ACTC will develop, harness, and deploy the best practices and latest methods for the co</w:t>
      </w:r>
      <w:r w:rsidRPr="0060384B">
        <w:rPr>
          <w:rFonts w:ascii="Lato" w:hAnsi="Lato"/>
          <w:color w:val="000000" w:themeColor="text1"/>
          <w:sz w:val="24"/>
          <w:szCs w:val="24"/>
        </w:rPr>
        <w:t>nduct of Alzheimer</w:t>
      </w:r>
      <w:r w:rsidRPr="0060384B">
        <w:rPr>
          <w:rFonts w:ascii="Lato" w:hAnsi="Lato"/>
          <w:color w:val="000000" w:themeColor="text1"/>
          <w:sz w:val="24"/>
          <w:szCs w:val="24"/>
        </w:rPr>
        <w:t>’s trials. Its infrastructure for multisite trials will centralize functions for imaging, biostatistics, and data management. As studies via the ACTC get underway, the ACTC will share data and biosamples with the research community as qui</w:t>
      </w:r>
      <w:r w:rsidRPr="0060384B">
        <w:rPr>
          <w:rFonts w:ascii="Lato" w:hAnsi="Lato"/>
          <w:color w:val="000000" w:themeColor="text1"/>
          <w:sz w:val="24"/>
          <w:szCs w:val="24"/>
        </w:rPr>
        <w:t>ckly and widely as possible.</w:t>
      </w:r>
    </w:p>
    <w:p w14:paraId="583D5538" w14:textId="77777777" w:rsidR="00000000" w:rsidRPr="0060384B" w:rsidRDefault="00CA5F6F">
      <w:pPr>
        <w:spacing w:line="243" w:lineRule="exact"/>
        <w:rPr>
          <w:rFonts w:ascii="Lato" w:eastAsia="Times New Roman" w:hAnsi="Lato"/>
          <w:color w:val="000000" w:themeColor="text1"/>
          <w:sz w:val="24"/>
          <w:szCs w:val="24"/>
        </w:rPr>
      </w:pPr>
    </w:p>
    <w:p w14:paraId="43FB3C1B" w14:textId="77777777" w:rsidR="00000000" w:rsidRPr="0060384B" w:rsidRDefault="00CA5F6F">
      <w:pPr>
        <w:spacing w:line="242" w:lineRule="auto"/>
        <w:ind w:right="120"/>
        <w:rPr>
          <w:rFonts w:ascii="Lato" w:hAnsi="Lato"/>
          <w:color w:val="000000" w:themeColor="text1"/>
          <w:sz w:val="24"/>
          <w:szCs w:val="24"/>
        </w:rPr>
      </w:pPr>
      <w:r w:rsidRPr="0060384B">
        <w:rPr>
          <w:rFonts w:ascii="Lato" w:hAnsi="Lato"/>
          <w:b/>
          <w:color w:val="000000" w:themeColor="text1"/>
          <w:sz w:val="24"/>
          <w:szCs w:val="24"/>
        </w:rPr>
        <w:t xml:space="preserve">Building a clinical research infrastructure for frontotemporal lobar degeneration (FTLD). </w:t>
      </w:r>
      <w:r w:rsidRPr="0060384B">
        <w:rPr>
          <w:rFonts w:ascii="Lato" w:hAnsi="Lato"/>
          <w:color w:val="000000" w:themeColor="text1"/>
          <w:sz w:val="24"/>
          <w:szCs w:val="24"/>
        </w:rPr>
        <w:t>The</w:t>
      </w:r>
      <w:r w:rsidRPr="0060384B">
        <w:rPr>
          <w:rFonts w:ascii="Lato" w:hAnsi="Lato"/>
          <w:b/>
          <w:color w:val="000000" w:themeColor="text1"/>
          <w:sz w:val="24"/>
          <w:szCs w:val="24"/>
        </w:rPr>
        <w:t xml:space="preserve"> </w:t>
      </w:r>
      <w:hyperlink r:id="rId91" w:history="1">
        <w:r w:rsidRPr="0060384B">
          <w:rPr>
            <w:rFonts w:ascii="Lato" w:hAnsi="Lato"/>
            <w:color w:val="000000" w:themeColor="text1"/>
            <w:sz w:val="24"/>
            <w:szCs w:val="24"/>
          </w:rPr>
          <w:t xml:space="preserve">Advancing Research and Treatment for Frontotemporal Lobar Degeneration </w:t>
        </w:r>
      </w:hyperlink>
      <w:r w:rsidRPr="0060384B">
        <w:rPr>
          <w:rFonts w:ascii="Lato" w:hAnsi="Lato"/>
          <w:color w:val="000000" w:themeColor="text1"/>
          <w:sz w:val="24"/>
          <w:szCs w:val="24"/>
        </w:rPr>
        <w:t xml:space="preserve">consortium of researchers and patient support organizations is supported by NIH through its </w:t>
      </w:r>
      <w:hyperlink r:id="rId92" w:history="1">
        <w:r w:rsidRPr="0060384B">
          <w:rPr>
            <w:rFonts w:ascii="Lato" w:hAnsi="Lato"/>
            <w:color w:val="000000" w:themeColor="text1"/>
            <w:sz w:val="24"/>
            <w:szCs w:val="24"/>
          </w:rPr>
          <w:t>Rare Diseases</w:t>
        </w:r>
      </w:hyperlink>
      <w:r w:rsidRPr="0060384B">
        <w:rPr>
          <w:rFonts w:ascii="Lato" w:hAnsi="Lato"/>
          <w:color w:val="000000" w:themeColor="text1"/>
          <w:sz w:val="24"/>
          <w:szCs w:val="24"/>
        </w:rPr>
        <w:t xml:space="preserve"> </w:t>
      </w:r>
      <w:hyperlink r:id="rId93" w:history="1">
        <w:r w:rsidRPr="0060384B">
          <w:rPr>
            <w:rFonts w:ascii="Lato" w:hAnsi="Lato"/>
            <w:color w:val="000000" w:themeColor="text1"/>
            <w:sz w:val="24"/>
            <w:szCs w:val="24"/>
          </w:rPr>
          <w:t xml:space="preserve">Clinical Research Network. </w:t>
        </w:r>
      </w:hyperlink>
      <w:r w:rsidRPr="0060384B">
        <w:rPr>
          <w:rFonts w:ascii="Lato" w:hAnsi="Lato"/>
          <w:color w:val="000000" w:themeColor="text1"/>
          <w:sz w:val="24"/>
          <w:szCs w:val="24"/>
        </w:rPr>
        <w:t>The collaboration o</w:t>
      </w:r>
      <w:r w:rsidRPr="0060384B">
        <w:rPr>
          <w:rFonts w:ascii="Lato" w:hAnsi="Lato"/>
          <w:color w:val="000000" w:themeColor="text1"/>
          <w:sz w:val="24"/>
          <w:szCs w:val="24"/>
        </w:rPr>
        <w:t>f 14 clinical study sites in the United States and Canada will establish a cohort of patients with a family history of FTLD to discover new biomarkers for disease activity, standardize diagnostic criteria, and identify a large group of potential participan</w:t>
      </w:r>
      <w:r w:rsidRPr="0060384B">
        <w:rPr>
          <w:rFonts w:ascii="Lato" w:hAnsi="Lato"/>
          <w:color w:val="000000" w:themeColor="text1"/>
          <w:sz w:val="24"/>
          <w:szCs w:val="24"/>
        </w:rPr>
        <w:t>ts for clinical trials of new therapeutic agents. A subset of patients is participating in a related study, the Longitudinal Evaluation of Familial Frontotemporal Dementia Subjects, which is focusing on participants with known mutations in one of the three</w:t>
      </w:r>
      <w:r w:rsidRPr="0060384B">
        <w:rPr>
          <w:rFonts w:ascii="Lato" w:hAnsi="Lato"/>
          <w:color w:val="000000" w:themeColor="text1"/>
          <w:sz w:val="24"/>
          <w:szCs w:val="24"/>
        </w:rPr>
        <w:t xml:space="preserve"> genes most commonly linked to FTLD.</w:t>
      </w:r>
    </w:p>
    <w:p w14:paraId="183DADD4" w14:textId="7842A352" w:rsidR="00000000" w:rsidRPr="0060384B" w:rsidRDefault="00FB45BD">
      <w:pPr>
        <w:spacing w:line="20" w:lineRule="exact"/>
        <w:rPr>
          <w:rFonts w:ascii="Lato" w:hAnsi="Lato"/>
          <w:color w:val="000000" w:themeColor="text1"/>
          <w:sz w:val="24"/>
          <w:szCs w:val="24"/>
        </w:rPr>
      </w:pPr>
      <w:r w:rsidRPr="0060384B">
        <w:rPr>
          <w:rFonts w:ascii="Lato" w:hAnsi="Lato"/>
          <w:noProof/>
          <w:color w:val="000000" w:themeColor="text1"/>
          <w:sz w:val="24"/>
          <w:szCs w:val="24"/>
        </w:rPr>
        <w:drawing>
          <wp:anchor distT="0" distB="0" distL="114300" distR="114300" simplePos="0" relativeHeight="251656704" behindDoc="1" locked="0" layoutInCell="1" allowOverlap="1" wp14:anchorId="526DB3B1" wp14:editId="0BF18AB2">
            <wp:simplePos x="0" y="0"/>
            <wp:positionH relativeFrom="column">
              <wp:posOffset>295275</wp:posOffset>
            </wp:positionH>
            <wp:positionV relativeFrom="paragraph">
              <wp:posOffset>187325</wp:posOffset>
            </wp:positionV>
            <wp:extent cx="5353050" cy="40195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BEBA8EAE-BF5A-486C-A8C5-ECC9F3942E4B}">
                          <a14:imgProps xmlns:a14="http://schemas.microsoft.com/office/drawing/2010/main">
                            <a14:imgLayer r:embed="rId95">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353050" cy="4019550"/>
                    </a:xfrm>
                    <a:prstGeom prst="rect">
                      <a:avLst/>
                    </a:prstGeom>
                    <a:noFill/>
                  </pic:spPr>
                </pic:pic>
              </a:graphicData>
            </a:graphic>
            <wp14:sizeRelH relativeFrom="page">
              <wp14:pctWidth>0</wp14:pctWidth>
            </wp14:sizeRelH>
            <wp14:sizeRelV relativeFrom="page">
              <wp14:pctHeight>0</wp14:pctHeight>
            </wp14:sizeRelV>
          </wp:anchor>
        </w:drawing>
      </w:r>
    </w:p>
    <w:p w14:paraId="11426593" w14:textId="77777777" w:rsidR="00000000" w:rsidRPr="0060384B" w:rsidRDefault="00CA5F6F">
      <w:pPr>
        <w:spacing w:line="20" w:lineRule="exact"/>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3B3F7DC9" w14:textId="77777777" w:rsidR="00000000" w:rsidRPr="0060384B" w:rsidRDefault="00CA5F6F">
      <w:pPr>
        <w:spacing w:line="200" w:lineRule="exact"/>
        <w:rPr>
          <w:rFonts w:ascii="Lato" w:hAnsi="Lato"/>
          <w:color w:val="000000" w:themeColor="text1"/>
          <w:sz w:val="24"/>
          <w:szCs w:val="24"/>
        </w:rPr>
      </w:pPr>
    </w:p>
    <w:p w14:paraId="0DC96981" w14:textId="77777777" w:rsidR="00000000" w:rsidRPr="0060384B" w:rsidRDefault="00CA5F6F">
      <w:pPr>
        <w:spacing w:line="200" w:lineRule="exact"/>
        <w:rPr>
          <w:rFonts w:ascii="Lato" w:hAnsi="Lato"/>
          <w:color w:val="000000" w:themeColor="text1"/>
          <w:sz w:val="24"/>
          <w:szCs w:val="24"/>
        </w:rPr>
      </w:pPr>
    </w:p>
    <w:p w14:paraId="02E13968" w14:textId="77777777" w:rsidR="00000000" w:rsidRPr="0060384B" w:rsidRDefault="00CA5F6F">
      <w:pPr>
        <w:spacing w:line="200" w:lineRule="exact"/>
        <w:rPr>
          <w:rFonts w:ascii="Lato" w:hAnsi="Lato"/>
          <w:color w:val="000000" w:themeColor="text1"/>
          <w:sz w:val="24"/>
          <w:szCs w:val="24"/>
        </w:rPr>
      </w:pPr>
    </w:p>
    <w:p w14:paraId="1563FF75" w14:textId="77777777" w:rsidR="00000000" w:rsidRPr="0060384B" w:rsidRDefault="00CA5F6F">
      <w:pPr>
        <w:spacing w:line="200" w:lineRule="exact"/>
        <w:rPr>
          <w:rFonts w:ascii="Lato" w:hAnsi="Lato"/>
          <w:color w:val="000000" w:themeColor="text1"/>
          <w:sz w:val="24"/>
          <w:szCs w:val="24"/>
        </w:rPr>
      </w:pPr>
    </w:p>
    <w:p w14:paraId="384BF995" w14:textId="77777777" w:rsidR="00000000" w:rsidRPr="0060384B" w:rsidRDefault="00CA5F6F">
      <w:pPr>
        <w:spacing w:line="200" w:lineRule="exact"/>
        <w:rPr>
          <w:rFonts w:ascii="Lato" w:hAnsi="Lato"/>
          <w:color w:val="000000" w:themeColor="text1"/>
          <w:sz w:val="24"/>
          <w:szCs w:val="24"/>
        </w:rPr>
      </w:pPr>
    </w:p>
    <w:p w14:paraId="55B29DF2" w14:textId="77777777" w:rsidR="00000000" w:rsidRPr="0060384B" w:rsidRDefault="00CA5F6F">
      <w:pPr>
        <w:spacing w:line="200" w:lineRule="exact"/>
        <w:rPr>
          <w:rFonts w:ascii="Lato" w:hAnsi="Lato"/>
          <w:color w:val="000000" w:themeColor="text1"/>
          <w:sz w:val="24"/>
          <w:szCs w:val="24"/>
        </w:rPr>
      </w:pPr>
    </w:p>
    <w:p w14:paraId="40623E6E" w14:textId="77777777" w:rsidR="00000000" w:rsidRPr="0060384B" w:rsidRDefault="00CA5F6F">
      <w:pPr>
        <w:spacing w:line="200" w:lineRule="exact"/>
        <w:rPr>
          <w:rFonts w:ascii="Lato" w:hAnsi="Lato"/>
          <w:color w:val="000000" w:themeColor="text1"/>
          <w:sz w:val="24"/>
          <w:szCs w:val="24"/>
        </w:rPr>
      </w:pPr>
    </w:p>
    <w:p w14:paraId="1401E2EC" w14:textId="77777777" w:rsidR="00000000" w:rsidRPr="0060384B" w:rsidRDefault="00CA5F6F">
      <w:pPr>
        <w:spacing w:line="200" w:lineRule="exact"/>
        <w:rPr>
          <w:rFonts w:ascii="Lato" w:hAnsi="Lato"/>
          <w:color w:val="000000" w:themeColor="text1"/>
          <w:sz w:val="24"/>
          <w:szCs w:val="24"/>
        </w:rPr>
      </w:pPr>
    </w:p>
    <w:p w14:paraId="276B2CDC" w14:textId="77777777" w:rsidR="00000000" w:rsidRPr="0060384B" w:rsidRDefault="00CA5F6F">
      <w:pPr>
        <w:spacing w:line="200" w:lineRule="exact"/>
        <w:rPr>
          <w:rFonts w:ascii="Lato" w:hAnsi="Lato"/>
          <w:color w:val="000000" w:themeColor="text1"/>
          <w:sz w:val="24"/>
          <w:szCs w:val="24"/>
        </w:rPr>
      </w:pPr>
    </w:p>
    <w:p w14:paraId="55A4C571" w14:textId="77777777" w:rsidR="00000000" w:rsidRPr="0060384B" w:rsidRDefault="00CA5F6F">
      <w:pPr>
        <w:spacing w:line="200" w:lineRule="exact"/>
        <w:rPr>
          <w:rFonts w:ascii="Lato" w:hAnsi="Lato"/>
          <w:color w:val="000000" w:themeColor="text1"/>
          <w:sz w:val="24"/>
          <w:szCs w:val="24"/>
        </w:rPr>
      </w:pPr>
    </w:p>
    <w:p w14:paraId="2D3771DE" w14:textId="77777777" w:rsidR="00000000" w:rsidRPr="0060384B" w:rsidRDefault="00CA5F6F">
      <w:pPr>
        <w:spacing w:line="200" w:lineRule="exact"/>
        <w:rPr>
          <w:rFonts w:ascii="Lato" w:hAnsi="Lato"/>
          <w:color w:val="000000" w:themeColor="text1"/>
          <w:sz w:val="24"/>
          <w:szCs w:val="24"/>
        </w:rPr>
      </w:pPr>
    </w:p>
    <w:p w14:paraId="4318281E" w14:textId="77777777" w:rsidR="00000000" w:rsidRPr="0060384B" w:rsidRDefault="00CA5F6F">
      <w:pPr>
        <w:spacing w:line="200" w:lineRule="exact"/>
        <w:rPr>
          <w:rFonts w:ascii="Lato" w:hAnsi="Lato"/>
          <w:color w:val="000000" w:themeColor="text1"/>
          <w:sz w:val="24"/>
          <w:szCs w:val="24"/>
        </w:rPr>
      </w:pPr>
    </w:p>
    <w:p w14:paraId="10C7D1E8" w14:textId="77777777" w:rsidR="00000000" w:rsidRPr="0060384B" w:rsidRDefault="00CA5F6F">
      <w:pPr>
        <w:spacing w:line="200" w:lineRule="exact"/>
        <w:rPr>
          <w:rFonts w:ascii="Lato" w:hAnsi="Lato"/>
          <w:color w:val="000000" w:themeColor="text1"/>
          <w:sz w:val="24"/>
          <w:szCs w:val="24"/>
        </w:rPr>
      </w:pPr>
    </w:p>
    <w:p w14:paraId="5CCC5DF0" w14:textId="77777777" w:rsidR="00000000" w:rsidRPr="0060384B" w:rsidRDefault="00CA5F6F">
      <w:pPr>
        <w:spacing w:line="200" w:lineRule="exact"/>
        <w:rPr>
          <w:rFonts w:ascii="Lato" w:hAnsi="Lato"/>
          <w:color w:val="000000" w:themeColor="text1"/>
          <w:sz w:val="24"/>
          <w:szCs w:val="24"/>
        </w:rPr>
      </w:pPr>
    </w:p>
    <w:p w14:paraId="273CA3EB" w14:textId="77777777" w:rsidR="00000000" w:rsidRPr="0060384B" w:rsidRDefault="00CA5F6F">
      <w:pPr>
        <w:spacing w:line="200" w:lineRule="exact"/>
        <w:rPr>
          <w:rFonts w:ascii="Lato" w:hAnsi="Lato"/>
          <w:color w:val="000000" w:themeColor="text1"/>
          <w:sz w:val="24"/>
          <w:szCs w:val="24"/>
        </w:rPr>
      </w:pPr>
    </w:p>
    <w:p w14:paraId="5C693F24" w14:textId="77777777" w:rsidR="00000000" w:rsidRPr="0060384B" w:rsidRDefault="00CA5F6F">
      <w:pPr>
        <w:spacing w:line="200" w:lineRule="exact"/>
        <w:rPr>
          <w:rFonts w:ascii="Lato" w:hAnsi="Lato"/>
          <w:color w:val="000000" w:themeColor="text1"/>
          <w:sz w:val="24"/>
          <w:szCs w:val="24"/>
        </w:rPr>
      </w:pPr>
    </w:p>
    <w:p w14:paraId="4CA840F0" w14:textId="77777777" w:rsidR="00000000" w:rsidRPr="0060384B" w:rsidRDefault="00CA5F6F">
      <w:pPr>
        <w:spacing w:line="200" w:lineRule="exact"/>
        <w:rPr>
          <w:rFonts w:ascii="Lato" w:hAnsi="Lato"/>
          <w:color w:val="000000" w:themeColor="text1"/>
          <w:sz w:val="24"/>
          <w:szCs w:val="24"/>
        </w:rPr>
      </w:pPr>
    </w:p>
    <w:p w14:paraId="6DD01080" w14:textId="77777777" w:rsidR="00000000" w:rsidRPr="0060384B" w:rsidRDefault="00CA5F6F">
      <w:pPr>
        <w:spacing w:line="200" w:lineRule="exact"/>
        <w:rPr>
          <w:rFonts w:ascii="Lato" w:hAnsi="Lato"/>
          <w:color w:val="000000" w:themeColor="text1"/>
          <w:sz w:val="24"/>
          <w:szCs w:val="24"/>
        </w:rPr>
      </w:pPr>
    </w:p>
    <w:p w14:paraId="6215EC1E" w14:textId="77777777" w:rsidR="00000000" w:rsidRPr="0060384B" w:rsidRDefault="00CA5F6F">
      <w:pPr>
        <w:spacing w:line="200" w:lineRule="exact"/>
        <w:rPr>
          <w:rFonts w:ascii="Lato" w:hAnsi="Lato"/>
          <w:color w:val="000000" w:themeColor="text1"/>
          <w:sz w:val="24"/>
          <w:szCs w:val="24"/>
        </w:rPr>
      </w:pPr>
    </w:p>
    <w:p w14:paraId="7E103135" w14:textId="77777777" w:rsidR="00000000" w:rsidRPr="0060384B" w:rsidRDefault="00CA5F6F">
      <w:pPr>
        <w:spacing w:line="200" w:lineRule="exact"/>
        <w:rPr>
          <w:rFonts w:ascii="Lato" w:hAnsi="Lato"/>
          <w:color w:val="000000" w:themeColor="text1"/>
          <w:sz w:val="24"/>
          <w:szCs w:val="24"/>
        </w:rPr>
      </w:pPr>
    </w:p>
    <w:p w14:paraId="4E3CB730" w14:textId="77777777" w:rsidR="00000000" w:rsidRPr="0060384B" w:rsidRDefault="00CA5F6F">
      <w:pPr>
        <w:spacing w:line="200" w:lineRule="exact"/>
        <w:rPr>
          <w:rFonts w:ascii="Lato" w:hAnsi="Lato"/>
          <w:color w:val="000000" w:themeColor="text1"/>
          <w:sz w:val="24"/>
          <w:szCs w:val="24"/>
        </w:rPr>
      </w:pPr>
    </w:p>
    <w:p w14:paraId="0A4C8CE0" w14:textId="77777777" w:rsidR="00000000" w:rsidRPr="0060384B" w:rsidRDefault="00CA5F6F">
      <w:pPr>
        <w:spacing w:line="200" w:lineRule="exact"/>
        <w:rPr>
          <w:rFonts w:ascii="Lato" w:hAnsi="Lato"/>
          <w:color w:val="000000" w:themeColor="text1"/>
          <w:sz w:val="24"/>
          <w:szCs w:val="24"/>
        </w:rPr>
      </w:pPr>
    </w:p>
    <w:p w14:paraId="35C51816" w14:textId="77777777" w:rsidR="00000000" w:rsidRPr="0060384B" w:rsidRDefault="00CA5F6F">
      <w:pPr>
        <w:spacing w:line="200" w:lineRule="exact"/>
        <w:rPr>
          <w:rFonts w:ascii="Lato" w:hAnsi="Lato"/>
          <w:color w:val="000000" w:themeColor="text1"/>
          <w:sz w:val="24"/>
          <w:szCs w:val="24"/>
        </w:rPr>
      </w:pPr>
    </w:p>
    <w:p w14:paraId="6539CBFF" w14:textId="77777777" w:rsidR="00000000" w:rsidRPr="0060384B" w:rsidRDefault="00CA5F6F">
      <w:pPr>
        <w:spacing w:line="200" w:lineRule="exact"/>
        <w:rPr>
          <w:rFonts w:ascii="Lato" w:hAnsi="Lato"/>
          <w:color w:val="000000" w:themeColor="text1"/>
          <w:sz w:val="24"/>
          <w:szCs w:val="24"/>
        </w:rPr>
      </w:pPr>
    </w:p>
    <w:p w14:paraId="7553E4D4" w14:textId="77777777" w:rsidR="00000000" w:rsidRPr="0060384B" w:rsidRDefault="00CA5F6F">
      <w:pPr>
        <w:spacing w:line="200" w:lineRule="exact"/>
        <w:rPr>
          <w:rFonts w:ascii="Lato" w:hAnsi="Lato"/>
          <w:color w:val="000000" w:themeColor="text1"/>
          <w:sz w:val="24"/>
          <w:szCs w:val="24"/>
        </w:rPr>
      </w:pPr>
    </w:p>
    <w:p w14:paraId="2E7E8823" w14:textId="77777777" w:rsidR="00000000" w:rsidRPr="0060384B" w:rsidRDefault="00CA5F6F">
      <w:pPr>
        <w:spacing w:line="200" w:lineRule="exact"/>
        <w:rPr>
          <w:rFonts w:ascii="Lato" w:hAnsi="Lato"/>
          <w:color w:val="000000" w:themeColor="text1"/>
          <w:sz w:val="24"/>
          <w:szCs w:val="24"/>
        </w:rPr>
      </w:pPr>
    </w:p>
    <w:p w14:paraId="47396894" w14:textId="77777777" w:rsidR="00000000" w:rsidRPr="0060384B" w:rsidRDefault="00CA5F6F">
      <w:pPr>
        <w:spacing w:line="200" w:lineRule="exact"/>
        <w:rPr>
          <w:rFonts w:ascii="Lato" w:hAnsi="Lato"/>
          <w:color w:val="000000" w:themeColor="text1"/>
          <w:sz w:val="24"/>
          <w:szCs w:val="24"/>
        </w:rPr>
      </w:pPr>
    </w:p>
    <w:p w14:paraId="006DC2A5" w14:textId="77777777" w:rsidR="00000000" w:rsidRPr="0060384B" w:rsidRDefault="00CA5F6F">
      <w:pPr>
        <w:spacing w:line="200" w:lineRule="exact"/>
        <w:rPr>
          <w:rFonts w:ascii="Lato" w:hAnsi="Lato"/>
          <w:color w:val="000000" w:themeColor="text1"/>
          <w:sz w:val="24"/>
          <w:szCs w:val="24"/>
        </w:rPr>
      </w:pPr>
    </w:p>
    <w:p w14:paraId="0DD0F55B" w14:textId="77777777" w:rsidR="00000000" w:rsidRPr="0060384B" w:rsidRDefault="00CA5F6F">
      <w:pPr>
        <w:spacing w:line="200" w:lineRule="exact"/>
        <w:rPr>
          <w:rFonts w:ascii="Lato" w:hAnsi="Lato"/>
          <w:color w:val="000000" w:themeColor="text1"/>
          <w:sz w:val="24"/>
          <w:szCs w:val="24"/>
        </w:rPr>
      </w:pPr>
    </w:p>
    <w:p w14:paraId="24616D7E" w14:textId="77777777" w:rsidR="00000000" w:rsidRPr="0060384B" w:rsidRDefault="00CA5F6F">
      <w:pPr>
        <w:spacing w:line="200" w:lineRule="exact"/>
        <w:rPr>
          <w:rFonts w:ascii="Lato" w:hAnsi="Lato"/>
          <w:color w:val="000000" w:themeColor="text1"/>
          <w:sz w:val="24"/>
          <w:szCs w:val="24"/>
        </w:rPr>
      </w:pPr>
    </w:p>
    <w:p w14:paraId="48B23A0D" w14:textId="77777777" w:rsidR="00000000" w:rsidRPr="0060384B" w:rsidRDefault="00CA5F6F">
      <w:pPr>
        <w:spacing w:line="200" w:lineRule="exact"/>
        <w:rPr>
          <w:rFonts w:ascii="Lato" w:hAnsi="Lato"/>
          <w:color w:val="000000" w:themeColor="text1"/>
          <w:sz w:val="24"/>
          <w:szCs w:val="24"/>
        </w:rPr>
      </w:pPr>
    </w:p>
    <w:p w14:paraId="7869DA8D" w14:textId="77777777" w:rsidR="00000000" w:rsidRPr="0060384B" w:rsidRDefault="00CA5F6F">
      <w:pPr>
        <w:spacing w:line="200" w:lineRule="exact"/>
        <w:rPr>
          <w:rFonts w:ascii="Lato" w:hAnsi="Lato"/>
          <w:color w:val="000000" w:themeColor="text1"/>
          <w:sz w:val="24"/>
          <w:szCs w:val="24"/>
        </w:rPr>
      </w:pPr>
    </w:p>
    <w:p w14:paraId="0FF242DE" w14:textId="77777777" w:rsidR="00000000" w:rsidRPr="0060384B" w:rsidRDefault="00CA5F6F">
      <w:pPr>
        <w:spacing w:line="200" w:lineRule="exact"/>
        <w:rPr>
          <w:rFonts w:ascii="Lato" w:hAnsi="Lato"/>
          <w:color w:val="000000" w:themeColor="text1"/>
          <w:sz w:val="24"/>
          <w:szCs w:val="24"/>
        </w:rPr>
      </w:pPr>
    </w:p>
    <w:p w14:paraId="5BFC0B00" w14:textId="77777777" w:rsidR="00000000" w:rsidRPr="0060384B" w:rsidRDefault="00CA5F6F">
      <w:pPr>
        <w:spacing w:line="200" w:lineRule="exact"/>
        <w:rPr>
          <w:rFonts w:ascii="Lato" w:hAnsi="Lato"/>
          <w:color w:val="000000" w:themeColor="text1"/>
          <w:sz w:val="24"/>
          <w:szCs w:val="24"/>
        </w:rPr>
      </w:pPr>
    </w:p>
    <w:p w14:paraId="6F3EDC5C" w14:textId="77777777" w:rsidR="00000000" w:rsidRPr="0060384B" w:rsidRDefault="00CA5F6F">
      <w:pPr>
        <w:spacing w:line="241" w:lineRule="exact"/>
        <w:rPr>
          <w:rFonts w:ascii="Lato"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040A0934" w14:textId="77777777">
        <w:trPr>
          <w:trHeight w:val="245"/>
        </w:trPr>
        <w:tc>
          <w:tcPr>
            <w:tcW w:w="6540" w:type="dxa"/>
            <w:shd w:val="clear" w:color="auto" w:fill="auto"/>
            <w:vAlign w:val="bottom"/>
          </w:tcPr>
          <w:p w14:paraId="59989BB3"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4E99F99E"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27</w:t>
            </w:r>
          </w:p>
        </w:tc>
      </w:tr>
      <w:tr w:rsidR="00000000" w:rsidRPr="0060384B" w14:paraId="344803DF" w14:textId="77777777">
        <w:trPr>
          <w:trHeight w:val="258"/>
        </w:trPr>
        <w:tc>
          <w:tcPr>
            <w:tcW w:w="6540" w:type="dxa"/>
            <w:shd w:val="clear" w:color="auto" w:fill="auto"/>
            <w:vAlign w:val="bottom"/>
          </w:tcPr>
          <w:p w14:paraId="100FCB76"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48FD30DA" w14:textId="77777777" w:rsidR="00000000" w:rsidRPr="0060384B" w:rsidRDefault="00CA5F6F">
            <w:pPr>
              <w:spacing w:line="0" w:lineRule="atLeast"/>
              <w:rPr>
                <w:rFonts w:ascii="Lato" w:eastAsia="Times New Roman" w:hAnsi="Lato"/>
                <w:color w:val="000000" w:themeColor="text1"/>
                <w:sz w:val="24"/>
                <w:szCs w:val="24"/>
              </w:rPr>
            </w:pPr>
          </w:p>
        </w:tc>
      </w:tr>
    </w:tbl>
    <w:p w14:paraId="49C95256"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4B687C4B" w14:textId="77777777" w:rsidR="00000000" w:rsidRPr="0060384B" w:rsidRDefault="00CA5F6F">
      <w:pPr>
        <w:spacing w:line="0" w:lineRule="atLeast"/>
        <w:rPr>
          <w:rFonts w:ascii="Lato" w:hAnsi="Lato"/>
          <w:b/>
          <w:color w:val="000000" w:themeColor="text1"/>
          <w:sz w:val="24"/>
          <w:szCs w:val="24"/>
        </w:rPr>
      </w:pPr>
      <w:bookmarkStart w:id="30" w:name="page31"/>
      <w:bookmarkEnd w:id="30"/>
      <w:r w:rsidRPr="0060384B">
        <w:rPr>
          <w:rFonts w:ascii="Lato" w:hAnsi="Lato"/>
          <w:b/>
          <w:color w:val="000000" w:themeColor="text1"/>
          <w:sz w:val="24"/>
          <w:szCs w:val="24"/>
        </w:rPr>
        <w:lastRenderedPageBreak/>
        <w:t>Translating Data into Prevention, Treatments</w:t>
      </w:r>
    </w:p>
    <w:p w14:paraId="027514EE" w14:textId="77777777" w:rsidR="00000000" w:rsidRPr="0060384B" w:rsidRDefault="00CA5F6F">
      <w:pPr>
        <w:spacing w:line="287" w:lineRule="exact"/>
        <w:rPr>
          <w:rFonts w:ascii="Lato" w:eastAsia="Times New Roman" w:hAnsi="Lato"/>
          <w:color w:val="000000" w:themeColor="text1"/>
          <w:sz w:val="24"/>
          <w:szCs w:val="24"/>
        </w:rPr>
      </w:pPr>
    </w:p>
    <w:p w14:paraId="60B08D1B" w14:textId="77777777" w:rsidR="00000000" w:rsidRPr="0060384B" w:rsidRDefault="00CA5F6F">
      <w:pPr>
        <w:spacing w:line="243" w:lineRule="auto"/>
        <w:ind w:right="40"/>
        <w:rPr>
          <w:rFonts w:ascii="Lato" w:hAnsi="Lato"/>
          <w:color w:val="000000" w:themeColor="text1"/>
          <w:sz w:val="24"/>
          <w:szCs w:val="24"/>
        </w:rPr>
      </w:pPr>
      <w:r w:rsidRPr="0060384B">
        <w:rPr>
          <w:rFonts w:ascii="Lato" w:hAnsi="Lato"/>
          <w:color w:val="000000" w:themeColor="text1"/>
          <w:sz w:val="24"/>
          <w:szCs w:val="24"/>
        </w:rPr>
        <w:t>Collecting and sharing data on genetics, population studies,</w:t>
      </w:r>
      <w:r w:rsidRPr="0060384B">
        <w:rPr>
          <w:rFonts w:ascii="Lato" w:hAnsi="Lato"/>
          <w:color w:val="000000" w:themeColor="text1"/>
          <w:sz w:val="24"/>
          <w:szCs w:val="24"/>
        </w:rPr>
        <w:t xml:space="preserve"> and cellular and animal models are avenues of research critical to the discovery and validation of intervention targets. But what we learn needs to proceed to a logical next step</w:t>
      </w:r>
      <w:r w:rsidRPr="0060384B">
        <w:rPr>
          <w:rFonts w:ascii="Lato" w:hAnsi="Lato"/>
          <w:color w:val="000000" w:themeColor="text1"/>
          <w:sz w:val="24"/>
          <w:szCs w:val="24"/>
        </w:rPr>
        <w:t>—the design and testing of interventions. NIH is greatly accelerating efforts</w:t>
      </w:r>
      <w:r w:rsidRPr="0060384B">
        <w:rPr>
          <w:rFonts w:ascii="Lato" w:hAnsi="Lato"/>
          <w:color w:val="000000" w:themeColor="text1"/>
          <w:sz w:val="24"/>
          <w:szCs w:val="24"/>
        </w:rPr>
        <w:t xml:space="preserve"> to move fundamental research into clinical reality. We are investing in the development of new cellular and animal models that better represent dementia in humans, establishment of centers for the discovery of new medicines, and new initiatives aimed at t</w:t>
      </w:r>
      <w:r w:rsidRPr="0060384B">
        <w:rPr>
          <w:rFonts w:ascii="Lato" w:hAnsi="Lato"/>
          <w:color w:val="000000" w:themeColor="text1"/>
          <w:sz w:val="24"/>
          <w:szCs w:val="24"/>
        </w:rPr>
        <w:t>raining a next-generation scientific workforce in translational research skills.</w:t>
      </w:r>
    </w:p>
    <w:p w14:paraId="702229D0" w14:textId="77777777" w:rsidR="00000000" w:rsidRPr="0060384B" w:rsidRDefault="00CA5F6F">
      <w:pPr>
        <w:spacing w:line="251" w:lineRule="exact"/>
        <w:rPr>
          <w:rFonts w:ascii="Lato" w:eastAsia="Times New Roman" w:hAnsi="Lato"/>
          <w:color w:val="000000" w:themeColor="text1"/>
          <w:sz w:val="24"/>
          <w:szCs w:val="24"/>
        </w:rPr>
      </w:pPr>
    </w:p>
    <w:p w14:paraId="69AAFBB5"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Better Models of Late-Onset Alzheimer</w:t>
      </w:r>
      <w:r w:rsidRPr="0060384B">
        <w:rPr>
          <w:rFonts w:ascii="Lato" w:hAnsi="Lato"/>
          <w:b/>
          <w:color w:val="000000" w:themeColor="text1"/>
          <w:sz w:val="24"/>
          <w:szCs w:val="24"/>
        </w:rPr>
        <w:t>’s Disease</w:t>
      </w:r>
    </w:p>
    <w:p w14:paraId="5F87455D" w14:textId="77777777" w:rsidR="00000000" w:rsidRPr="0060384B" w:rsidRDefault="00CA5F6F">
      <w:pPr>
        <w:spacing w:line="284" w:lineRule="exact"/>
        <w:rPr>
          <w:rFonts w:ascii="Lato" w:eastAsia="Times New Roman" w:hAnsi="Lato"/>
          <w:color w:val="000000" w:themeColor="text1"/>
          <w:sz w:val="24"/>
          <w:szCs w:val="24"/>
        </w:rPr>
      </w:pPr>
    </w:p>
    <w:p w14:paraId="637CEF3A" w14:textId="77777777" w:rsidR="00000000" w:rsidRPr="0060384B" w:rsidRDefault="00CA5F6F">
      <w:pPr>
        <w:spacing w:line="251" w:lineRule="auto"/>
        <w:ind w:right="400"/>
        <w:rPr>
          <w:rFonts w:ascii="Lato" w:hAnsi="Lato"/>
          <w:color w:val="000000" w:themeColor="text1"/>
          <w:sz w:val="24"/>
          <w:szCs w:val="24"/>
        </w:rPr>
      </w:pPr>
      <w:r w:rsidRPr="0060384B">
        <w:rPr>
          <w:rFonts w:ascii="Lato" w:hAnsi="Lato"/>
          <w:color w:val="000000" w:themeColor="text1"/>
          <w:sz w:val="24"/>
          <w:szCs w:val="24"/>
        </w:rPr>
        <w:t xml:space="preserve">Established in 2016, the </w:t>
      </w:r>
      <w:hyperlink r:id="rId96" w:history="1">
        <w:r w:rsidRPr="0060384B">
          <w:rPr>
            <w:rFonts w:ascii="Lato" w:hAnsi="Lato"/>
            <w:color w:val="000000" w:themeColor="text1"/>
            <w:sz w:val="24"/>
            <w:szCs w:val="24"/>
          </w:rPr>
          <w:t>MODEL-AD</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consortium is a key component of the new translationa</w:t>
      </w:r>
      <w:r w:rsidRPr="0060384B">
        <w:rPr>
          <w:rFonts w:ascii="Lato" w:hAnsi="Lato"/>
          <w:color w:val="000000" w:themeColor="text1"/>
          <w:sz w:val="24"/>
          <w:szCs w:val="24"/>
        </w:rPr>
        <w:t>l infrastructure for Alzheimer</w:t>
      </w:r>
      <w:r w:rsidRPr="0060384B">
        <w:rPr>
          <w:rFonts w:ascii="Lato" w:hAnsi="Lato"/>
          <w:color w:val="000000" w:themeColor="text1"/>
          <w:sz w:val="24"/>
          <w:szCs w:val="24"/>
        </w:rPr>
        <w:t>’s and related dementias. The consortium brings together two translational centers to:</w:t>
      </w:r>
    </w:p>
    <w:p w14:paraId="4AF27A3B" w14:textId="77777777" w:rsidR="00000000" w:rsidRPr="0060384B" w:rsidRDefault="00CA5F6F">
      <w:pPr>
        <w:spacing w:line="240" w:lineRule="exact"/>
        <w:rPr>
          <w:rFonts w:ascii="Lato" w:eastAsia="Times New Roman" w:hAnsi="Lato"/>
          <w:color w:val="000000" w:themeColor="text1"/>
          <w:sz w:val="24"/>
          <w:szCs w:val="24"/>
        </w:rPr>
      </w:pPr>
    </w:p>
    <w:p w14:paraId="5348146E" w14:textId="77777777" w:rsidR="00000000" w:rsidRPr="0060384B" w:rsidRDefault="00CA5F6F">
      <w:pPr>
        <w:numPr>
          <w:ilvl w:val="0"/>
          <w:numId w:val="13"/>
        </w:numPr>
        <w:tabs>
          <w:tab w:val="left" w:pos="540"/>
        </w:tabs>
        <w:spacing w:line="0" w:lineRule="atLeast"/>
        <w:ind w:left="540" w:hanging="360"/>
        <w:rPr>
          <w:rFonts w:ascii="Lato" w:eastAsia="Arial" w:hAnsi="Lato"/>
          <w:color w:val="000000" w:themeColor="text1"/>
          <w:sz w:val="24"/>
          <w:szCs w:val="24"/>
        </w:rPr>
      </w:pPr>
      <w:r w:rsidRPr="0060384B">
        <w:rPr>
          <w:rFonts w:ascii="Lato" w:hAnsi="Lato"/>
          <w:color w:val="000000" w:themeColor="text1"/>
          <w:sz w:val="24"/>
          <w:szCs w:val="24"/>
        </w:rPr>
        <w:t>Develop next-generation transgenic mouse models for late-onset Alzheimer</w:t>
      </w:r>
      <w:r w:rsidRPr="0060384B">
        <w:rPr>
          <w:rFonts w:ascii="Lato" w:hAnsi="Lato"/>
          <w:color w:val="000000" w:themeColor="text1"/>
          <w:sz w:val="24"/>
          <w:szCs w:val="24"/>
        </w:rPr>
        <w:t>’s disease</w:t>
      </w:r>
    </w:p>
    <w:p w14:paraId="0F44A87D" w14:textId="77777777" w:rsidR="00000000" w:rsidRPr="0060384B" w:rsidRDefault="00CA5F6F">
      <w:pPr>
        <w:numPr>
          <w:ilvl w:val="0"/>
          <w:numId w:val="13"/>
        </w:numPr>
        <w:tabs>
          <w:tab w:val="left" w:pos="540"/>
        </w:tabs>
        <w:spacing w:line="0" w:lineRule="atLeast"/>
        <w:ind w:left="540" w:hanging="360"/>
        <w:rPr>
          <w:rFonts w:ascii="Lato" w:eastAsia="Arial" w:hAnsi="Lato"/>
          <w:color w:val="000000" w:themeColor="text1"/>
          <w:sz w:val="24"/>
          <w:szCs w:val="24"/>
        </w:rPr>
      </w:pPr>
      <w:r w:rsidRPr="0060384B">
        <w:rPr>
          <w:rFonts w:ascii="Lato" w:hAnsi="Lato"/>
          <w:color w:val="000000" w:themeColor="text1"/>
          <w:sz w:val="24"/>
          <w:szCs w:val="24"/>
        </w:rPr>
        <w:t>Institute a standardized process for characterization o</w:t>
      </w:r>
      <w:r w:rsidRPr="0060384B">
        <w:rPr>
          <w:rFonts w:ascii="Lato" w:hAnsi="Lato"/>
          <w:color w:val="000000" w:themeColor="text1"/>
          <w:sz w:val="24"/>
          <w:szCs w:val="24"/>
        </w:rPr>
        <w:t>f animal models</w:t>
      </w:r>
    </w:p>
    <w:p w14:paraId="580085CC" w14:textId="77777777" w:rsidR="00000000" w:rsidRPr="0060384B" w:rsidRDefault="00CA5F6F">
      <w:pPr>
        <w:numPr>
          <w:ilvl w:val="0"/>
          <w:numId w:val="13"/>
        </w:numPr>
        <w:tabs>
          <w:tab w:val="left" w:pos="540"/>
        </w:tabs>
        <w:spacing w:line="239" w:lineRule="auto"/>
        <w:ind w:left="540" w:right="600" w:hanging="360"/>
        <w:rPr>
          <w:rFonts w:ascii="Lato" w:eastAsia="Arial" w:hAnsi="Lato"/>
          <w:color w:val="000000" w:themeColor="text1"/>
          <w:sz w:val="24"/>
          <w:szCs w:val="24"/>
        </w:rPr>
      </w:pPr>
      <w:r w:rsidRPr="0060384B">
        <w:rPr>
          <w:rFonts w:ascii="Lato" w:hAnsi="Lato"/>
          <w:color w:val="000000" w:themeColor="text1"/>
          <w:sz w:val="24"/>
          <w:szCs w:val="24"/>
        </w:rPr>
        <w:t>Align the pathophysiological features of animal models with corresponding stages of clinical disease using translatable biomarkers</w:t>
      </w:r>
    </w:p>
    <w:p w14:paraId="2719BA67" w14:textId="77777777" w:rsidR="00000000" w:rsidRPr="0060384B" w:rsidRDefault="00CA5F6F">
      <w:pPr>
        <w:spacing w:line="2" w:lineRule="exact"/>
        <w:rPr>
          <w:rFonts w:ascii="Lato" w:eastAsia="Arial" w:hAnsi="Lato"/>
          <w:color w:val="000000" w:themeColor="text1"/>
          <w:sz w:val="24"/>
          <w:szCs w:val="24"/>
        </w:rPr>
      </w:pPr>
    </w:p>
    <w:p w14:paraId="2110CC59" w14:textId="77777777" w:rsidR="00000000" w:rsidRPr="0060384B" w:rsidRDefault="00CA5F6F">
      <w:pPr>
        <w:numPr>
          <w:ilvl w:val="0"/>
          <w:numId w:val="13"/>
        </w:numPr>
        <w:tabs>
          <w:tab w:val="left" w:pos="540"/>
        </w:tabs>
        <w:spacing w:line="0" w:lineRule="atLeast"/>
        <w:ind w:left="540" w:hanging="360"/>
        <w:rPr>
          <w:rFonts w:ascii="Lato" w:eastAsia="Arial" w:hAnsi="Lato"/>
          <w:color w:val="000000" w:themeColor="text1"/>
          <w:sz w:val="24"/>
          <w:szCs w:val="24"/>
        </w:rPr>
      </w:pPr>
      <w:r w:rsidRPr="0060384B">
        <w:rPr>
          <w:rFonts w:ascii="Lato" w:hAnsi="Lato"/>
          <w:color w:val="000000" w:themeColor="text1"/>
          <w:sz w:val="24"/>
          <w:szCs w:val="24"/>
        </w:rPr>
        <w:t>Establish guidelines for rigorous preclinical testing in animal models</w:t>
      </w:r>
    </w:p>
    <w:p w14:paraId="1C7C3E63" w14:textId="77777777" w:rsidR="00000000" w:rsidRPr="0060384B" w:rsidRDefault="00CA5F6F">
      <w:pPr>
        <w:numPr>
          <w:ilvl w:val="0"/>
          <w:numId w:val="13"/>
        </w:numPr>
        <w:tabs>
          <w:tab w:val="left" w:pos="540"/>
        </w:tabs>
        <w:spacing w:line="262" w:lineRule="auto"/>
        <w:ind w:left="540" w:right="140" w:hanging="360"/>
        <w:rPr>
          <w:rFonts w:ascii="Lato" w:eastAsia="Arial" w:hAnsi="Lato"/>
          <w:color w:val="000000" w:themeColor="text1"/>
          <w:sz w:val="24"/>
          <w:szCs w:val="24"/>
        </w:rPr>
      </w:pPr>
      <w:r w:rsidRPr="0060384B">
        <w:rPr>
          <w:rFonts w:ascii="Lato" w:hAnsi="Lato"/>
          <w:color w:val="000000" w:themeColor="text1"/>
          <w:sz w:val="24"/>
          <w:szCs w:val="24"/>
        </w:rPr>
        <w:t>Ensure rapid availability of animal m</w:t>
      </w:r>
      <w:r w:rsidRPr="0060384B">
        <w:rPr>
          <w:rFonts w:ascii="Lato" w:hAnsi="Lato"/>
          <w:color w:val="000000" w:themeColor="text1"/>
          <w:sz w:val="24"/>
          <w:szCs w:val="24"/>
        </w:rPr>
        <w:t>odels, protocols, and data to all researchers for basic research or therapy development</w:t>
      </w:r>
    </w:p>
    <w:p w14:paraId="65721D73" w14:textId="77777777" w:rsidR="00000000" w:rsidRPr="0060384B" w:rsidRDefault="00CA5F6F">
      <w:pPr>
        <w:spacing w:line="227" w:lineRule="exact"/>
        <w:rPr>
          <w:rFonts w:ascii="Lato" w:eastAsia="Times New Roman" w:hAnsi="Lato"/>
          <w:color w:val="000000" w:themeColor="text1"/>
          <w:sz w:val="24"/>
          <w:szCs w:val="24"/>
        </w:rPr>
      </w:pPr>
    </w:p>
    <w:p w14:paraId="65E0BB89" w14:textId="77777777" w:rsidR="00000000" w:rsidRPr="0060384B" w:rsidRDefault="00CA5F6F">
      <w:pPr>
        <w:spacing w:line="262" w:lineRule="auto"/>
        <w:ind w:right="500"/>
        <w:rPr>
          <w:rFonts w:ascii="Lato" w:hAnsi="Lato"/>
          <w:color w:val="000000" w:themeColor="text1"/>
          <w:sz w:val="24"/>
          <w:szCs w:val="24"/>
        </w:rPr>
      </w:pPr>
      <w:r w:rsidRPr="0060384B">
        <w:rPr>
          <w:rFonts w:ascii="Lato" w:hAnsi="Lato"/>
          <w:color w:val="000000" w:themeColor="text1"/>
          <w:sz w:val="24"/>
          <w:szCs w:val="24"/>
        </w:rPr>
        <w:t>Like the AMP-AD program, the MODEL-AD consortium operates under open-science/open-source principles.</w:t>
      </w:r>
    </w:p>
    <w:p w14:paraId="79877326" w14:textId="77777777" w:rsidR="00000000" w:rsidRPr="0060384B" w:rsidRDefault="00CA5F6F">
      <w:pPr>
        <w:spacing w:line="227" w:lineRule="exact"/>
        <w:rPr>
          <w:rFonts w:ascii="Lato" w:eastAsia="Times New Roman" w:hAnsi="Lato"/>
          <w:color w:val="000000" w:themeColor="text1"/>
          <w:sz w:val="24"/>
          <w:szCs w:val="24"/>
        </w:rPr>
      </w:pPr>
    </w:p>
    <w:p w14:paraId="5C5966B9" w14:textId="77777777" w:rsidR="00000000" w:rsidRPr="0060384B" w:rsidRDefault="00CA5F6F">
      <w:pPr>
        <w:spacing w:line="243" w:lineRule="auto"/>
        <w:ind w:right="20"/>
        <w:rPr>
          <w:rFonts w:ascii="Lato" w:hAnsi="Lato"/>
          <w:color w:val="000000" w:themeColor="text1"/>
          <w:sz w:val="24"/>
          <w:szCs w:val="24"/>
        </w:rPr>
      </w:pPr>
      <w:r w:rsidRPr="0060384B">
        <w:rPr>
          <w:rFonts w:ascii="Lato" w:hAnsi="Lato"/>
          <w:color w:val="000000" w:themeColor="text1"/>
          <w:sz w:val="24"/>
          <w:szCs w:val="24"/>
        </w:rPr>
        <w:t>Most transgenic models for Alzheimer</w:t>
      </w:r>
      <w:r w:rsidRPr="0060384B">
        <w:rPr>
          <w:rFonts w:ascii="Lato" w:hAnsi="Lato"/>
          <w:color w:val="000000" w:themeColor="text1"/>
          <w:sz w:val="24"/>
          <w:szCs w:val="24"/>
        </w:rPr>
        <w:t>’s were based primarily on ge</w:t>
      </w:r>
      <w:r w:rsidRPr="0060384B">
        <w:rPr>
          <w:rFonts w:ascii="Lato" w:hAnsi="Lato"/>
          <w:color w:val="000000" w:themeColor="text1"/>
          <w:sz w:val="24"/>
          <w:szCs w:val="24"/>
        </w:rPr>
        <w:t xml:space="preserve">netic understanding of what causes the inherited, early-onset form of the disease, which represents only a small fraction of disease cases (less than 5 percent). The MODEL-AD approach centers on the notion that the predictability of candidate-therapeutics </w:t>
      </w:r>
      <w:r w:rsidRPr="0060384B">
        <w:rPr>
          <w:rFonts w:ascii="Lato" w:hAnsi="Lato"/>
          <w:color w:val="000000" w:themeColor="text1"/>
          <w:sz w:val="24"/>
          <w:szCs w:val="24"/>
        </w:rPr>
        <w:t>testing in animal models might be improved if the models more closely reflect the features of the sporadic, late-onset form of Alzheimer</w:t>
      </w:r>
      <w:r w:rsidRPr="0060384B">
        <w:rPr>
          <w:rFonts w:ascii="Lato" w:hAnsi="Lato"/>
          <w:color w:val="000000" w:themeColor="text1"/>
          <w:sz w:val="24"/>
          <w:szCs w:val="24"/>
        </w:rPr>
        <w:t>’s, which affects most people with the disease. The thinking behind MODEL-AD was that these new models could be based on</w:t>
      </w:r>
      <w:r w:rsidRPr="0060384B">
        <w:rPr>
          <w:rFonts w:ascii="Lato" w:hAnsi="Lato"/>
          <w:color w:val="000000" w:themeColor="text1"/>
          <w:sz w:val="24"/>
          <w:szCs w:val="24"/>
        </w:rPr>
        <w:t xml:space="preserve"> recent findings identifying a combination of low-risk forms of genes associated with Alzheimer</w:t>
      </w:r>
      <w:r w:rsidRPr="0060384B">
        <w:rPr>
          <w:rFonts w:ascii="Lato" w:hAnsi="Lato"/>
          <w:color w:val="000000" w:themeColor="text1"/>
          <w:sz w:val="24"/>
          <w:szCs w:val="24"/>
        </w:rPr>
        <w:t>’s seen in most people with late-onset disease.</w:t>
      </w:r>
    </w:p>
    <w:p w14:paraId="6CC6B307" w14:textId="77777777" w:rsidR="00000000" w:rsidRPr="0060384B" w:rsidRDefault="00CA5F6F">
      <w:pPr>
        <w:spacing w:line="250" w:lineRule="exact"/>
        <w:rPr>
          <w:rFonts w:ascii="Lato" w:eastAsia="Times New Roman" w:hAnsi="Lato"/>
          <w:color w:val="000000" w:themeColor="text1"/>
          <w:sz w:val="24"/>
          <w:szCs w:val="24"/>
        </w:rPr>
      </w:pPr>
    </w:p>
    <w:p w14:paraId="1DCEFBFF" w14:textId="77777777" w:rsidR="00000000" w:rsidRPr="0060384B" w:rsidRDefault="00CA5F6F">
      <w:pPr>
        <w:spacing w:line="245" w:lineRule="auto"/>
        <w:ind w:right="280"/>
        <w:rPr>
          <w:rFonts w:ascii="Lato" w:hAnsi="Lato"/>
          <w:color w:val="000000" w:themeColor="text1"/>
          <w:sz w:val="24"/>
          <w:szCs w:val="24"/>
        </w:rPr>
      </w:pPr>
      <w:r w:rsidRPr="0060384B">
        <w:rPr>
          <w:rFonts w:ascii="Lato" w:hAnsi="Lato"/>
          <w:color w:val="000000" w:themeColor="text1"/>
          <w:sz w:val="24"/>
          <w:szCs w:val="24"/>
        </w:rPr>
        <w:t>In just a little over 2 years, the MODEL-AD consortium has created and made available over a dozen new mouse mod</w:t>
      </w:r>
      <w:r w:rsidRPr="0060384B">
        <w:rPr>
          <w:rFonts w:ascii="Lato" w:hAnsi="Lato"/>
          <w:color w:val="000000" w:themeColor="text1"/>
          <w:sz w:val="24"/>
          <w:szCs w:val="24"/>
        </w:rPr>
        <w:t xml:space="preserve">els. These and additional new models are being characterized across multiple features of disease (molecular, neuropathologic, biochemical, and behavioral) at multiple ages (from young to old age). These rich datasets are offered to researchers through the </w:t>
      </w:r>
      <w:hyperlink r:id="rId97" w:history="1">
        <w:r w:rsidRPr="0060384B">
          <w:rPr>
            <w:rFonts w:ascii="Lato" w:hAnsi="Lato"/>
            <w:color w:val="000000" w:themeColor="text1"/>
            <w:sz w:val="24"/>
            <w:szCs w:val="24"/>
          </w:rPr>
          <w:t>AMP-AD Knowledge Portal</w:t>
        </w:r>
        <w:r w:rsidRPr="0060384B">
          <w:rPr>
            <w:rFonts w:ascii="Lato" w:hAnsi="Lato"/>
            <w:color w:val="000000" w:themeColor="text1"/>
            <w:sz w:val="24"/>
            <w:szCs w:val="24"/>
          </w:rPr>
          <w:t>.</w:t>
        </w:r>
      </w:hyperlink>
    </w:p>
    <w:p w14:paraId="28A62135" w14:textId="77777777" w:rsidR="00000000" w:rsidRPr="0060384B" w:rsidRDefault="00CA5F6F">
      <w:pPr>
        <w:spacing w:line="246" w:lineRule="exact"/>
        <w:rPr>
          <w:rFonts w:ascii="Lato" w:eastAsia="Times New Roman" w:hAnsi="Lato"/>
          <w:color w:val="000000" w:themeColor="text1"/>
          <w:sz w:val="24"/>
          <w:szCs w:val="24"/>
        </w:rPr>
      </w:pPr>
    </w:p>
    <w:p w14:paraId="0854B13E"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AlzPED: Moving Targets Toward Clinical Testing</w:t>
      </w:r>
    </w:p>
    <w:p w14:paraId="342059D6" w14:textId="77777777" w:rsidR="00000000" w:rsidRPr="0060384B" w:rsidRDefault="00CA5F6F">
      <w:pPr>
        <w:spacing w:line="284" w:lineRule="exact"/>
        <w:rPr>
          <w:rFonts w:ascii="Lato" w:eastAsia="Times New Roman" w:hAnsi="Lato"/>
          <w:color w:val="000000" w:themeColor="text1"/>
          <w:sz w:val="24"/>
          <w:szCs w:val="24"/>
        </w:rPr>
      </w:pPr>
    </w:p>
    <w:p w14:paraId="58233710" w14:textId="77777777" w:rsidR="00000000" w:rsidRPr="0060384B" w:rsidRDefault="00CA5F6F">
      <w:pPr>
        <w:spacing w:line="262" w:lineRule="auto"/>
        <w:ind w:right="160"/>
        <w:rPr>
          <w:rFonts w:ascii="Lato" w:hAnsi="Lato"/>
          <w:color w:val="000000" w:themeColor="text1"/>
          <w:sz w:val="24"/>
          <w:szCs w:val="24"/>
        </w:rPr>
      </w:pPr>
      <w:r w:rsidRPr="0060384B">
        <w:rPr>
          <w:rFonts w:ascii="Lato" w:hAnsi="Lato"/>
          <w:color w:val="000000" w:themeColor="text1"/>
          <w:sz w:val="24"/>
          <w:szCs w:val="24"/>
        </w:rPr>
        <w:t>Too often, the public hears reports of positive findings of concepts and interventions based on studies in animal models, only to be disapp</w:t>
      </w:r>
      <w:r w:rsidRPr="0060384B">
        <w:rPr>
          <w:rFonts w:ascii="Lato" w:hAnsi="Lato"/>
          <w:color w:val="000000" w:themeColor="text1"/>
          <w:sz w:val="24"/>
          <w:szCs w:val="24"/>
        </w:rPr>
        <w:t>ointed when those findings don</w:t>
      </w:r>
      <w:r w:rsidRPr="0060384B">
        <w:rPr>
          <w:rFonts w:ascii="Lato" w:hAnsi="Lato"/>
          <w:color w:val="000000" w:themeColor="text1"/>
          <w:sz w:val="24"/>
          <w:szCs w:val="24"/>
        </w:rPr>
        <w:t>’t translate into</w:t>
      </w:r>
    </w:p>
    <w:p w14:paraId="5A045639" w14:textId="77777777" w:rsidR="00000000" w:rsidRPr="0060384B" w:rsidRDefault="00CA5F6F">
      <w:pPr>
        <w:spacing w:line="262" w:lineRule="auto"/>
        <w:ind w:right="160"/>
        <w:rPr>
          <w:rFonts w:ascii="Lato" w:hAnsi="Lato"/>
          <w:color w:val="000000" w:themeColor="text1"/>
          <w:sz w:val="24"/>
          <w:szCs w:val="24"/>
        </w:rPr>
        <w:sectPr w:rsidR="00000000" w:rsidRPr="0060384B">
          <w:pgSz w:w="12240" w:h="15840"/>
          <w:pgMar w:top="1126" w:right="1440" w:bottom="0" w:left="1440" w:header="0" w:footer="0" w:gutter="0"/>
          <w:cols w:space="0" w:equalWidth="0">
            <w:col w:w="9360"/>
          </w:cols>
          <w:docGrid w:linePitch="360"/>
        </w:sectPr>
      </w:pPr>
    </w:p>
    <w:p w14:paraId="736CBABF" w14:textId="77777777" w:rsidR="00000000" w:rsidRPr="0060384B" w:rsidRDefault="00CA5F6F">
      <w:pPr>
        <w:spacing w:line="309"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28F9D9B3" w14:textId="77777777">
        <w:trPr>
          <w:trHeight w:val="245"/>
        </w:trPr>
        <w:tc>
          <w:tcPr>
            <w:tcW w:w="6540" w:type="dxa"/>
            <w:shd w:val="clear" w:color="auto" w:fill="auto"/>
            <w:vAlign w:val="bottom"/>
          </w:tcPr>
          <w:p w14:paraId="2D451CC3"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4F6D238E"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28</w:t>
            </w:r>
          </w:p>
        </w:tc>
      </w:tr>
      <w:tr w:rsidR="00000000" w:rsidRPr="0060384B" w14:paraId="0A0BF12E" w14:textId="77777777">
        <w:trPr>
          <w:trHeight w:val="258"/>
        </w:trPr>
        <w:tc>
          <w:tcPr>
            <w:tcW w:w="6540" w:type="dxa"/>
            <w:shd w:val="clear" w:color="auto" w:fill="auto"/>
            <w:vAlign w:val="bottom"/>
          </w:tcPr>
          <w:p w14:paraId="14217D13"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63C7FB98" w14:textId="77777777" w:rsidR="00000000" w:rsidRPr="0060384B" w:rsidRDefault="00CA5F6F">
            <w:pPr>
              <w:spacing w:line="0" w:lineRule="atLeast"/>
              <w:rPr>
                <w:rFonts w:ascii="Lato" w:eastAsia="Times New Roman" w:hAnsi="Lato"/>
                <w:color w:val="000000" w:themeColor="text1"/>
                <w:sz w:val="24"/>
                <w:szCs w:val="24"/>
              </w:rPr>
            </w:pPr>
          </w:p>
        </w:tc>
      </w:tr>
    </w:tbl>
    <w:p w14:paraId="073027F6"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26" w:right="1440" w:bottom="0" w:left="1440" w:header="0" w:footer="0" w:gutter="0"/>
          <w:cols w:space="0" w:equalWidth="0">
            <w:col w:w="9360"/>
          </w:cols>
          <w:docGrid w:linePitch="360"/>
        </w:sectPr>
      </w:pPr>
    </w:p>
    <w:p w14:paraId="5D79CF53" w14:textId="77777777" w:rsidR="00000000" w:rsidRPr="0060384B" w:rsidRDefault="00CA5F6F">
      <w:pPr>
        <w:spacing w:line="241" w:lineRule="auto"/>
        <w:rPr>
          <w:rFonts w:ascii="Lato" w:hAnsi="Lato"/>
          <w:color w:val="000000" w:themeColor="text1"/>
          <w:sz w:val="24"/>
          <w:szCs w:val="24"/>
        </w:rPr>
      </w:pPr>
      <w:bookmarkStart w:id="31" w:name="page32"/>
      <w:bookmarkEnd w:id="31"/>
      <w:r w:rsidRPr="0060384B">
        <w:rPr>
          <w:rFonts w:ascii="Lato" w:hAnsi="Lato"/>
          <w:color w:val="000000" w:themeColor="text1"/>
          <w:sz w:val="24"/>
          <w:szCs w:val="24"/>
        </w:rPr>
        <w:lastRenderedPageBreak/>
        <w:t>effective interventions for humans. The scientific community shares that sentiment, and important efforts are underway to better un</w:t>
      </w:r>
      <w:r w:rsidRPr="0060384B">
        <w:rPr>
          <w:rFonts w:ascii="Lato" w:hAnsi="Lato"/>
          <w:color w:val="000000" w:themeColor="text1"/>
          <w:sz w:val="24"/>
          <w:szCs w:val="24"/>
        </w:rPr>
        <w:t>derstand key factors contributing to this translation gap. NIA and the NIH Library, with the Alzheimer</w:t>
      </w:r>
      <w:r w:rsidRPr="0060384B">
        <w:rPr>
          <w:rFonts w:ascii="Lato" w:hAnsi="Lato"/>
          <w:color w:val="000000" w:themeColor="text1"/>
          <w:sz w:val="24"/>
          <w:szCs w:val="24"/>
        </w:rPr>
        <w:t>’s Drug Discovery Foundation and the Alzheimer</w:t>
      </w:r>
      <w:r w:rsidRPr="0060384B">
        <w:rPr>
          <w:rFonts w:ascii="Lato" w:hAnsi="Lato"/>
          <w:color w:val="000000" w:themeColor="text1"/>
          <w:sz w:val="24"/>
          <w:szCs w:val="24"/>
        </w:rPr>
        <w:t xml:space="preserve">’s Association, have joined forces to create the </w:t>
      </w:r>
      <w:hyperlink r:id="rId98" w:history="1">
        <w:r w:rsidRPr="0060384B">
          <w:rPr>
            <w:rFonts w:ascii="Lato" w:hAnsi="Lato"/>
            <w:color w:val="000000" w:themeColor="text1"/>
            <w:sz w:val="24"/>
            <w:szCs w:val="24"/>
          </w:rPr>
          <w:t>Alzheimer</w:t>
        </w:r>
        <w:r w:rsidRPr="0060384B">
          <w:rPr>
            <w:rFonts w:ascii="Lato" w:hAnsi="Lato"/>
            <w:color w:val="000000" w:themeColor="text1"/>
            <w:sz w:val="24"/>
            <w:szCs w:val="24"/>
          </w:rPr>
          <w:t>’s Dise</w:t>
        </w:r>
        <w:r w:rsidRPr="0060384B">
          <w:rPr>
            <w:rFonts w:ascii="Lato" w:hAnsi="Lato"/>
            <w:color w:val="000000" w:themeColor="text1"/>
            <w:sz w:val="24"/>
            <w:szCs w:val="24"/>
          </w:rPr>
          <w:t>ase Preclinical Efficacy</w:t>
        </w:r>
      </w:hyperlink>
      <w:r w:rsidRPr="0060384B">
        <w:rPr>
          <w:rFonts w:ascii="Lato" w:hAnsi="Lato"/>
          <w:color w:val="000000" w:themeColor="text1"/>
          <w:sz w:val="24"/>
          <w:szCs w:val="24"/>
        </w:rPr>
        <w:t xml:space="preserve"> </w:t>
      </w:r>
      <w:hyperlink r:id="rId99" w:history="1">
        <w:r w:rsidRPr="0060384B">
          <w:rPr>
            <w:rFonts w:ascii="Lato" w:hAnsi="Lato"/>
            <w:color w:val="000000" w:themeColor="text1"/>
            <w:sz w:val="24"/>
            <w:szCs w:val="24"/>
          </w:rPr>
          <w:t>Database</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xml:space="preserve">or </w:t>
      </w:r>
      <w:r w:rsidRPr="0060384B">
        <w:rPr>
          <w:rFonts w:ascii="Lato" w:hAnsi="Lato"/>
          <w:color w:val="000000" w:themeColor="text1"/>
          <w:sz w:val="24"/>
          <w:szCs w:val="24"/>
        </w:rPr>
        <w:t>AlzPED, an innovative repository of publicly available data for analyses in this area.</w:t>
      </w:r>
      <w:r w:rsidRPr="0060384B">
        <w:rPr>
          <w:rFonts w:ascii="Lato" w:hAnsi="Lato"/>
          <w:color w:val="000000" w:themeColor="text1"/>
          <w:sz w:val="24"/>
          <w:szCs w:val="24"/>
        </w:rPr>
        <w:t xml:space="preserve"> </w:t>
      </w:r>
      <w:r w:rsidRPr="0060384B">
        <w:rPr>
          <w:rFonts w:ascii="Lato" w:hAnsi="Lato"/>
          <w:color w:val="000000" w:themeColor="text1"/>
          <w:sz w:val="24"/>
          <w:szCs w:val="24"/>
        </w:rPr>
        <w:t xml:space="preserve">Currently, the database hosts curated summaries of more than 700 published scientific </w:t>
      </w:r>
      <w:r w:rsidRPr="0060384B">
        <w:rPr>
          <w:rFonts w:ascii="Lato" w:hAnsi="Lato"/>
          <w:color w:val="000000" w:themeColor="text1"/>
          <w:sz w:val="24"/>
          <w:szCs w:val="24"/>
        </w:rPr>
        <w:t>studies illuminating key elements of study design and results and allows researchers, funding agencies, and the public to survey the scientific rigor of the published work. The database is designed to improve transparency in reporting and increase awarenes</w:t>
      </w:r>
      <w:r w:rsidRPr="0060384B">
        <w:rPr>
          <w:rFonts w:ascii="Lato" w:hAnsi="Lato"/>
          <w:color w:val="000000" w:themeColor="text1"/>
          <w:sz w:val="24"/>
          <w:szCs w:val="24"/>
        </w:rPr>
        <w:t>s of the need for greater rigor in study design, aimed at improving the reproducibility and translatability of efficacy testing in animal models. To reduce publication bias in favor of studies reporting positive findings, AlzPED in 2018 became a platform f</w:t>
      </w:r>
      <w:r w:rsidRPr="0060384B">
        <w:rPr>
          <w:rFonts w:ascii="Lato" w:hAnsi="Lato"/>
          <w:color w:val="000000" w:themeColor="text1"/>
          <w:sz w:val="24"/>
          <w:szCs w:val="24"/>
        </w:rPr>
        <w:t>or creating citable reports and preprints of unpublished studies, including studies with negative findings.</w:t>
      </w:r>
    </w:p>
    <w:p w14:paraId="25137D85" w14:textId="77777777" w:rsidR="00000000" w:rsidRPr="0060384B" w:rsidRDefault="00CA5F6F">
      <w:pPr>
        <w:spacing w:line="262" w:lineRule="exact"/>
        <w:rPr>
          <w:rFonts w:ascii="Lato" w:eastAsia="Times New Roman" w:hAnsi="Lato"/>
          <w:color w:val="000000" w:themeColor="text1"/>
          <w:sz w:val="24"/>
          <w:szCs w:val="24"/>
        </w:rPr>
      </w:pPr>
    </w:p>
    <w:p w14:paraId="77C30D09"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New and Expanded Centers to Catalyze Research</w:t>
      </w:r>
    </w:p>
    <w:p w14:paraId="10D81B8B" w14:textId="77777777" w:rsidR="00000000" w:rsidRPr="0060384B" w:rsidRDefault="00CA5F6F">
      <w:pPr>
        <w:spacing w:line="281" w:lineRule="exact"/>
        <w:rPr>
          <w:rFonts w:ascii="Lato" w:eastAsia="Times New Roman" w:hAnsi="Lato"/>
          <w:color w:val="000000" w:themeColor="text1"/>
          <w:sz w:val="24"/>
          <w:szCs w:val="24"/>
        </w:rPr>
      </w:pPr>
    </w:p>
    <w:p w14:paraId="4DA54DFB" w14:textId="77777777" w:rsidR="00000000" w:rsidRPr="0060384B" w:rsidRDefault="00CA5F6F">
      <w:pPr>
        <w:spacing w:line="251" w:lineRule="auto"/>
        <w:ind w:right="440"/>
        <w:jc w:val="both"/>
        <w:rPr>
          <w:rFonts w:ascii="Lato" w:hAnsi="Lato"/>
          <w:color w:val="000000" w:themeColor="text1"/>
          <w:sz w:val="24"/>
          <w:szCs w:val="24"/>
        </w:rPr>
      </w:pPr>
      <w:r w:rsidRPr="0060384B">
        <w:rPr>
          <w:rFonts w:ascii="Lato" w:hAnsi="Lato"/>
          <w:color w:val="000000" w:themeColor="text1"/>
          <w:sz w:val="24"/>
          <w:szCs w:val="24"/>
        </w:rPr>
        <w:t>Established and new centers programs play a key role in providing the knowledge base and research in</w:t>
      </w:r>
      <w:r w:rsidRPr="0060384B">
        <w:rPr>
          <w:rFonts w:ascii="Lato" w:hAnsi="Lato"/>
          <w:color w:val="000000" w:themeColor="text1"/>
          <w:sz w:val="24"/>
          <w:szCs w:val="24"/>
        </w:rPr>
        <w:t>frastructure on which scientists can build today. Several promising initiatives are underway.</w:t>
      </w:r>
    </w:p>
    <w:p w14:paraId="59AD6FA6" w14:textId="77777777" w:rsidR="00000000" w:rsidRPr="0060384B" w:rsidRDefault="00CA5F6F">
      <w:pPr>
        <w:spacing w:line="237" w:lineRule="exact"/>
        <w:rPr>
          <w:rFonts w:ascii="Lato" w:eastAsia="Times New Roman" w:hAnsi="Lato"/>
          <w:color w:val="000000" w:themeColor="text1"/>
          <w:sz w:val="24"/>
          <w:szCs w:val="24"/>
        </w:rPr>
      </w:pPr>
    </w:p>
    <w:p w14:paraId="6DA1087F"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Alzheimer</w:t>
      </w:r>
      <w:r w:rsidRPr="0060384B">
        <w:rPr>
          <w:rFonts w:ascii="Lato" w:hAnsi="Lato"/>
          <w:b/>
          <w:color w:val="000000" w:themeColor="text1"/>
          <w:sz w:val="24"/>
          <w:szCs w:val="24"/>
        </w:rPr>
        <w:t>’s Disease Research Centers reimagined</w:t>
      </w:r>
    </w:p>
    <w:p w14:paraId="55CFDE21" w14:textId="77777777" w:rsidR="00000000" w:rsidRPr="0060384B" w:rsidRDefault="00CA5F6F">
      <w:pPr>
        <w:spacing w:line="284" w:lineRule="exact"/>
        <w:rPr>
          <w:rFonts w:ascii="Lato" w:eastAsia="Times New Roman" w:hAnsi="Lato"/>
          <w:color w:val="000000" w:themeColor="text1"/>
          <w:sz w:val="24"/>
          <w:szCs w:val="24"/>
        </w:rPr>
      </w:pPr>
    </w:p>
    <w:p w14:paraId="22898AB5" w14:textId="77777777" w:rsidR="00000000" w:rsidRPr="0060384B" w:rsidRDefault="00CA5F6F">
      <w:pPr>
        <w:spacing w:line="242" w:lineRule="auto"/>
        <w:ind w:right="140"/>
        <w:rPr>
          <w:rFonts w:ascii="Lato" w:hAnsi="Lato"/>
          <w:color w:val="000000" w:themeColor="text1"/>
          <w:sz w:val="24"/>
          <w:szCs w:val="24"/>
        </w:rPr>
      </w:pPr>
      <w:r w:rsidRPr="0060384B">
        <w:rPr>
          <w:rFonts w:ascii="Lato" w:hAnsi="Lato"/>
          <w:color w:val="000000" w:themeColor="text1"/>
          <w:sz w:val="24"/>
          <w:szCs w:val="24"/>
        </w:rPr>
        <w:t xml:space="preserve">The </w:t>
      </w:r>
      <w:hyperlink r:id="rId100" w:history="1">
        <w:r w:rsidRPr="0060384B">
          <w:rPr>
            <w:rFonts w:ascii="Lato" w:hAnsi="Lato"/>
            <w:color w:val="000000" w:themeColor="text1"/>
            <w:sz w:val="24"/>
            <w:szCs w:val="24"/>
          </w:rPr>
          <w:t>Alzheimer</w:t>
        </w:r>
        <w:r w:rsidRPr="0060384B">
          <w:rPr>
            <w:rFonts w:ascii="Lato" w:hAnsi="Lato"/>
            <w:color w:val="000000" w:themeColor="text1"/>
            <w:sz w:val="24"/>
            <w:szCs w:val="24"/>
          </w:rPr>
          <w:t>’s Disease Research Centers</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were created to fo</w:t>
      </w:r>
      <w:r w:rsidRPr="0060384B">
        <w:rPr>
          <w:rFonts w:ascii="Lato" w:hAnsi="Lato"/>
          <w:color w:val="000000" w:themeColor="text1"/>
          <w:sz w:val="24"/>
          <w:szCs w:val="24"/>
        </w:rPr>
        <w:t>ster and accelerate research, working in communities to develop and share clinical and biological data from well - characterized individuals for basic, translational, and clinical studies in Alzheimer</w:t>
      </w:r>
      <w:r w:rsidRPr="0060384B">
        <w:rPr>
          <w:rFonts w:ascii="Lato" w:hAnsi="Lato"/>
          <w:color w:val="000000" w:themeColor="text1"/>
          <w:sz w:val="24"/>
          <w:szCs w:val="24"/>
        </w:rPr>
        <w:t>’s and related dementias. As part of its regular strateg</w:t>
      </w:r>
      <w:r w:rsidRPr="0060384B">
        <w:rPr>
          <w:rFonts w:ascii="Lato" w:hAnsi="Lato"/>
          <w:color w:val="000000" w:themeColor="text1"/>
          <w:sz w:val="24"/>
          <w:szCs w:val="24"/>
        </w:rPr>
        <w:t xml:space="preserve">ic planning, NIA in 2016 gathered a wide range of experts in the research community, including industry and nongovernmental organizations, who developed </w:t>
      </w:r>
      <w:hyperlink r:id="rId101" w:history="1">
        <w:r w:rsidRPr="0060384B">
          <w:rPr>
            <w:rFonts w:ascii="Lato" w:hAnsi="Lato"/>
            <w:color w:val="000000" w:themeColor="text1"/>
            <w:sz w:val="24"/>
            <w:szCs w:val="24"/>
          </w:rPr>
          <w:t>a set of 166 recommendations</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xml:space="preserve">for the ADRC program. To begin to address the recommendations, several changes were made in the ADRC program. The next cycle of Requests for Application </w:t>
      </w:r>
      <w:hyperlink r:id="rId102" w:history="1">
        <w:r w:rsidRPr="0060384B">
          <w:rPr>
            <w:rFonts w:ascii="Lato" w:hAnsi="Lato"/>
            <w:color w:val="000000" w:themeColor="text1"/>
            <w:sz w:val="24"/>
            <w:szCs w:val="24"/>
          </w:rPr>
          <w:t>started with these grants</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xml:space="preserve">and </w:t>
      </w:r>
      <w:hyperlink r:id="rId103" w:history="1">
        <w:r w:rsidRPr="0060384B">
          <w:rPr>
            <w:rFonts w:ascii="Lato" w:hAnsi="Lato"/>
            <w:color w:val="000000" w:themeColor="text1"/>
            <w:sz w:val="24"/>
            <w:szCs w:val="24"/>
          </w:rPr>
          <w:t>continued</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Although previously many ADRCs had imaging, genetics, or other biomarker cores, in this cycle, some ty</w:t>
      </w:r>
      <w:r w:rsidRPr="0060384B">
        <w:rPr>
          <w:rFonts w:ascii="Lato" w:hAnsi="Lato"/>
          <w:color w:val="000000" w:themeColor="text1"/>
          <w:sz w:val="24"/>
          <w:szCs w:val="24"/>
        </w:rPr>
        <w:t>pe of biomarker core is now a requirement. Additionally, in the spirit of making information more available and helping researchers find what they need, NACC collected information from ADRCs about what types of brain tissue might be available for researche</w:t>
      </w:r>
      <w:r w:rsidRPr="0060384B">
        <w:rPr>
          <w:rFonts w:ascii="Lato" w:hAnsi="Lato"/>
          <w:color w:val="000000" w:themeColor="text1"/>
          <w:sz w:val="24"/>
          <w:szCs w:val="24"/>
        </w:rPr>
        <w:t xml:space="preserve">rs; </w:t>
      </w:r>
      <w:hyperlink r:id="rId104" w:history="1">
        <w:r w:rsidRPr="0060384B">
          <w:rPr>
            <w:rFonts w:ascii="Lato" w:hAnsi="Lato"/>
            <w:color w:val="000000" w:themeColor="text1"/>
            <w:sz w:val="24"/>
            <w:szCs w:val="24"/>
          </w:rPr>
          <w:t>this information is now accessible</w:t>
        </w:r>
        <w:r w:rsidRPr="0060384B">
          <w:rPr>
            <w:rFonts w:ascii="Lato" w:hAnsi="Lato"/>
            <w:color w:val="000000" w:themeColor="text1"/>
            <w:sz w:val="24"/>
            <w:szCs w:val="24"/>
          </w:rPr>
          <w:t>.</w:t>
        </w:r>
      </w:hyperlink>
    </w:p>
    <w:p w14:paraId="119AF8C1" w14:textId="77777777" w:rsidR="00000000" w:rsidRPr="0060384B" w:rsidRDefault="00CA5F6F">
      <w:pPr>
        <w:spacing w:line="249" w:lineRule="exact"/>
        <w:rPr>
          <w:rFonts w:ascii="Lato" w:hAnsi="Lato"/>
          <w:color w:val="000000" w:themeColor="text1"/>
          <w:sz w:val="24"/>
          <w:szCs w:val="24"/>
        </w:rPr>
      </w:pPr>
    </w:p>
    <w:p w14:paraId="0145C408" w14:textId="77777777" w:rsidR="00000000" w:rsidRPr="0060384B" w:rsidRDefault="00CA5F6F">
      <w:pPr>
        <w:spacing w:line="244" w:lineRule="auto"/>
        <w:ind w:right="100"/>
        <w:rPr>
          <w:rFonts w:ascii="Lato" w:hAnsi="Lato"/>
          <w:color w:val="000000" w:themeColor="text1"/>
          <w:sz w:val="24"/>
          <w:szCs w:val="24"/>
        </w:rPr>
      </w:pPr>
      <w:r w:rsidRPr="0060384B">
        <w:rPr>
          <w:rFonts w:ascii="Lato" w:hAnsi="Lato"/>
          <w:color w:val="000000" w:themeColor="text1"/>
          <w:sz w:val="24"/>
          <w:szCs w:val="24"/>
        </w:rPr>
        <w:t>Last, because brain tissue for AD/ADRD research is so valuable, the ADRC neuropathology core steering committee has partnered with the NIH NeuroBioBa</w:t>
      </w:r>
      <w:r w:rsidRPr="0060384B">
        <w:rPr>
          <w:rFonts w:ascii="Lato" w:hAnsi="Lato"/>
          <w:color w:val="000000" w:themeColor="text1"/>
          <w:sz w:val="24"/>
          <w:szCs w:val="24"/>
        </w:rPr>
        <w:t>nk. This partnership will assist both the field and potential donors by 1) increasing options for individuals and families seeking to donate their or their loved ones</w:t>
      </w:r>
      <w:r w:rsidRPr="0060384B">
        <w:rPr>
          <w:rFonts w:ascii="Lato" w:hAnsi="Lato"/>
          <w:color w:val="000000" w:themeColor="text1"/>
          <w:sz w:val="24"/>
          <w:szCs w:val="24"/>
        </w:rPr>
        <w:t xml:space="preserve">’ brains in a way that will contribute to research and 2) increasing the diversity (along </w:t>
      </w:r>
      <w:r w:rsidRPr="0060384B">
        <w:rPr>
          <w:rFonts w:ascii="Lato" w:hAnsi="Lato"/>
          <w:color w:val="000000" w:themeColor="text1"/>
          <w:sz w:val="24"/>
          <w:szCs w:val="24"/>
        </w:rPr>
        <w:t>many dimensions) of a limited supply of brain tissue and other biological samples available to researchers.</w:t>
      </w:r>
    </w:p>
    <w:p w14:paraId="6C7E180F" w14:textId="77777777" w:rsidR="00000000" w:rsidRPr="0060384B" w:rsidRDefault="00CA5F6F">
      <w:pPr>
        <w:spacing w:line="250" w:lineRule="exact"/>
        <w:rPr>
          <w:rFonts w:ascii="Lato" w:hAnsi="Lato"/>
          <w:color w:val="000000" w:themeColor="text1"/>
          <w:sz w:val="24"/>
          <w:szCs w:val="24"/>
        </w:rPr>
      </w:pPr>
    </w:p>
    <w:p w14:paraId="3C6DD749"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Establishing Alzheimer</w:t>
      </w:r>
      <w:r w:rsidRPr="0060384B">
        <w:rPr>
          <w:rFonts w:ascii="Lato" w:hAnsi="Lato"/>
          <w:b/>
          <w:color w:val="000000" w:themeColor="text1"/>
          <w:sz w:val="24"/>
          <w:szCs w:val="24"/>
        </w:rPr>
        <w:t>’s centers for the discovery of new medicines</w:t>
      </w:r>
    </w:p>
    <w:p w14:paraId="5CE8D6D2" w14:textId="77777777" w:rsidR="00000000" w:rsidRPr="0060384B" w:rsidRDefault="00CA5F6F">
      <w:pPr>
        <w:spacing w:line="281" w:lineRule="exact"/>
        <w:rPr>
          <w:rFonts w:ascii="Lato" w:hAnsi="Lato"/>
          <w:color w:val="000000" w:themeColor="text1"/>
          <w:sz w:val="24"/>
          <w:szCs w:val="24"/>
        </w:rPr>
      </w:pPr>
    </w:p>
    <w:p w14:paraId="6B86252E" w14:textId="77777777" w:rsidR="00000000" w:rsidRPr="0060384B" w:rsidRDefault="00CA5F6F">
      <w:pPr>
        <w:spacing w:line="262" w:lineRule="auto"/>
        <w:ind w:right="200"/>
        <w:rPr>
          <w:rFonts w:ascii="Lato" w:hAnsi="Lato"/>
          <w:color w:val="000000" w:themeColor="text1"/>
          <w:sz w:val="24"/>
          <w:szCs w:val="24"/>
        </w:rPr>
      </w:pPr>
      <w:r w:rsidRPr="0060384B">
        <w:rPr>
          <w:rFonts w:ascii="Lato" w:hAnsi="Lato"/>
          <w:color w:val="000000" w:themeColor="text1"/>
          <w:sz w:val="24"/>
          <w:szCs w:val="24"/>
        </w:rPr>
        <w:t>In August 2018, NIA announced its intention to establish multidisciplinary Alz</w:t>
      </w:r>
      <w:r w:rsidRPr="0060384B">
        <w:rPr>
          <w:rFonts w:ascii="Lato" w:hAnsi="Lato"/>
          <w:color w:val="000000" w:themeColor="text1"/>
          <w:sz w:val="24"/>
          <w:szCs w:val="24"/>
        </w:rPr>
        <w:t>heimer</w:t>
      </w:r>
      <w:r w:rsidRPr="0060384B">
        <w:rPr>
          <w:rFonts w:ascii="Lato" w:hAnsi="Lato"/>
          <w:color w:val="000000" w:themeColor="text1"/>
          <w:sz w:val="24"/>
          <w:szCs w:val="24"/>
        </w:rPr>
        <w:t>’s Centers for the Discovery of New Medicines. The overarching purpose of these translational centers is</w:t>
      </w:r>
    </w:p>
    <w:p w14:paraId="144D4F53" w14:textId="77777777" w:rsidR="00000000" w:rsidRPr="0060384B" w:rsidRDefault="00CA5F6F">
      <w:pPr>
        <w:spacing w:line="262" w:lineRule="auto"/>
        <w:ind w:right="20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74E8CF22" w14:textId="77777777" w:rsidR="00000000" w:rsidRPr="0060384B" w:rsidRDefault="00CA5F6F">
      <w:pPr>
        <w:spacing w:line="333" w:lineRule="exact"/>
        <w:rPr>
          <w:rFonts w:ascii="Lato"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2F50A036" w14:textId="77777777">
        <w:trPr>
          <w:trHeight w:val="245"/>
        </w:trPr>
        <w:tc>
          <w:tcPr>
            <w:tcW w:w="6540" w:type="dxa"/>
            <w:shd w:val="clear" w:color="auto" w:fill="auto"/>
            <w:vAlign w:val="bottom"/>
          </w:tcPr>
          <w:p w14:paraId="225F3D18"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TOGETHER WE SUCCEED</w:t>
            </w:r>
          </w:p>
        </w:tc>
        <w:tc>
          <w:tcPr>
            <w:tcW w:w="2820" w:type="dxa"/>
            <w:shd w:val="clear" w:color="auto" w:fill="auto"/>
            <w:vAlign w:val="bottom"/>
          </w:tcPr>
          <w:p w14:paraId="3AB7915E"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29</w:t>
            </w:r>
          </w:p>
        </w:tc>
      </w:tr>
      <w:tr w:rsidR="00000000" w:rsidRPr="0060384B" w14:paraId="0BBE6D44" w14:textId="77777777">
        <w:trPr>
          <w:trHeight w:val="258"/>
        </w:trPr>
        <w:tc>
          <w:tcPr>
            <w:tcW w:w="6540" w:type="dxa"/>
            <w:shd w:val="clear" w:color="auto" w:fill="auto"/>
            <w:vAlign w:val="bottom"/>
          </w:tcPr>
          <w:p w14:paraId="431F0205"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179D61D2" w14:textId="77777777" w:rsidR="00000000" w:rsidRPr="0060384B" w:rsidRDefault="00CA5F6F">
            <w:pPr>
              <w:spacing w:line="0" w:lineRule="atLeast"/>
              <w:rPr>
                <w:rFonts w:ascii="Lato" w:eastAsia="Times New Roman" w:hAnsi="Lato"/>
                <w:color w:val="000000" w:themeColor="text1"/>
                <w:sz w:val="24"/>
                <w:szCs w:val="24"/>
              </w:rPr>
            </w:pPr>
          </w:p>
        </w:tc>
      </w:tr>
    </w:tbl>
    <w:p w14:paraId="2372711E"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786A5433" w14:textId="77777777" w:rsidR="00000000" w:rsidRPr="0060384B" w:rsidRDefault="00CA5F6F">
      <w:pPr>
        <w:spacing w:line="243" w:lineRule="auto"/>
        <w:ind w:right="40"/>
        <w:rPr>
          <w:rFonts w:ascii="Lato" w:hAnsi="Lato"/>
          <w:color w:val="000000" w:themeColor="text1"/>
          <w:sz w:val="24"/>
          <w:szCs w:val="24"/>
        </w:rPr>
      </w:pPr>
      <w:bookmarkStart w:id="32" w:name="page33"/>
      <w:bookmarkEnd w:id="32"/>
      <w:r w:rsidRPr="0060384B">
        <w:rPr>
          <w:rFonts w:ascii="Lato" w:hAnsi="Lato"/>
          <w:color w:val="000000" w:themeColor="text1"/>
          <w:sz w:val="24"/>
          <w:szCs w:val="24"/>
        </w:rPr>
        <w:lastRenderedPageBreak/>
        <w:t>to improve, diversify, and reinvigorate the drug development pipelin</w:t>
      </w:r>
      <w:r w:rsidRPr="0060384B">
        <w:rPr>
          <w:rFonts w:ascii="Lato" w:hAnsi="Lato"/>
          <w:color w:val="000000" w:themeColor="text1"/>
          <w:sz w:val="24"/>
          <w:szCs w:val="24"/>
        </w:rPr>
        <w:t>e by accelerating development of novel therapeutic targets delivered by the AMP-AD program. An important aim is to advance potential therapeutics to the point where pharmaceutical and biotech companies will invest in them, ultimately to ramp up the deliver</w:t>
      </w:r>
      <w:r w:rsidRPr="0060384B">
        <w:rPr>
          <w:rFonts w:ascii="Lato" w:hAnsi="Lato"/>
          <w:color w:val="000000" w:themeColor="text1"/>
          <w:sz w:val="24"/>
          <w:szCs w:val="24"/>
        </w:rPr>
        <w:t>y of new drugs to patients. The new Centers will 1) design, develop, and disseminate open-source research tools for experimental validation of these new targets, such as those from AMP-AD, and 2) initiate early-stage drug discovery campaigns directed at th</w:t>
      </w:r>
      <w:r w:rsidRPr="0060384B">
        <w:rPr>
          <w:rFonts w:ascii="Lato" w:hAnsi="Lato"/>
          <w:color w:val="000000" w:themeColor="text1"/>
          <w:sz w:val="24"/>
          <w:szCs w:val="24"/>
        </w:rPr>
        <w:t>ose targets.</w:t>
      </w:r>
    </w:p>
    <w:p w14:paraId="222D3399" w14:textId="77777777" w:rsidR="00000000" w:rsidRPr="0060384B" w:rsidRDefault="00CA5F6F">
      <w:pPr>
        <w:spacing w:line="254" w:lineRule="exact"/>
        <w:rPr>
          <w:rFonts w:ascii="Lato" w:eastAsia="Times New Roman" w:hAnsi="Lato"/>
          <w:color w:val="000000" w:themeColor="text1"/>
          <w:sz w:val="24"/>
          <w:szCs w:val="24"/>
        </w:rPr>
      </w:pPr>
    </w:p>
    <w:p w14:paraId="3B212CDB" w14:textId="77777777" w:rsidR="00000000" w:rsidRPr="0060384B" w:rsidRDefault="00CA5F6F">
      <w:pPr>
        <w:spacing w:line="243" w:lineRule="auto"/>
        <w:ind w:right="160"/>
        <w:rPr>
          <w:rFonts w:ascii="Lato" w:hAnsi="Lato"/>
          <w:color w:val="000000" w:themeColor="text1"/>
          <w:sz w:val="24"/>
          <w:szCs w:val="24"/>
        </w:rPr>
      </w:pPr>
      <w:r w:rsidRPr="0060384B">
        <w:rPr>
          <w:rFonts w:ascii="Lato" w:hAnsi="Lato"/>
          <w:color w:val="000000" w:themeColor="text1"/>
          <w:sz w:val="24"/>
          <w:szCs w:val="24"/>
        </w:rPr>
        <w:t>The Centers are also focused on reducing the high attrition rate of Alzheimer</w:t>
      </w:r>
      <w:r w:rsidRPr="0060384B">
        <w:rPr>
          <w:rFonts w:ascii="Lato" w:hAnsi="Lato"/>
          <w:color w:val="000000" w:themeColor="text1"/>
          <w:sz w:val="24"/>
          <w:szCs w:val="24"/>
        </w:rPr>
        <w:t xml:space="preserve">’s Phase II and Phase III clinical trials. Many studies have centered on the amyloid hypothesis, the development of interventions aimed at disrupting the buildup of </w:t>
      </w:r>
      <w:r w:rsidRPr="0060384B">
        <w:rPr>
          <w:rFonts w:ascii="Lato" w:hAnsi="Lato"/>
          <w:color w:val="000000" w:themeColor="text1"/>
          <w:sz w:val="24"/>
          <w:szCs w:val="24"/>
        </w:rPr>
        <w:t>protein fragments associated with the hallmark plaques of Alzheimer</w:t>
      </w:r>
      <w:r w:rsidRPr="0060384B">
        <w:rPr>
          <w:rFonts w:ascii="Lato" w:hAnsi="Lato"/>
          <w:color w:val="000000" w:themeColor="text1"/>
          <w:sz w:val="24"/>
          <w:szCs w:val="24"/>
        </w:rPr>
        <w:t>’s. However, growing evidence suggests that many, highly varied components contribute to the development of clinical Alzheimer</w:t>
      </w:r>
      <w:r w:rsidRPr="0060384B">
        <w:rPr>
          <w:rFonts w:ascii="Lato" w:hAnsi="Lato"/>
          <w:color w:val="000000" w:themeColor="text1"/>
          <w:sz w:val="24"/>
          <w:szCs w:val="24"/>
        </w:rPr>
        <w:t>’s, caused by multiple genetic and environmental factors affect</w:t>
      </w:r>
      <w:r w:rsidRPr="0060384B">
        <w:rPr>
          <w:rFonts w:ascii="Lato" w:hAnsi="Lato"/>
          <w:color w:val="000000" w:themeColor="text1"/>
          <w:sz w:val="24"/>
          <w:szCs w:val="24"/>
        </w:rPr>
        <w:t>ing molecular networks across a number of biological pathways. This understanding highlights the need for alternative therapeutic approaches that the new Centers are designed to address.</w:t>
      </w:r>
    </w:p>
    <w:p w14:paraId="02C290D9" w14:textId="77777777" w:rsidR="00000000" w:rsidRPr="0060384B" w:rsidRDefault="00CA5F6F">
      <w:pPr>
        <w:spacing w:line="247" w:lineRule="exact"/>
        <w:rPr>
          <w:rFonts w:ascii="Lato" w:eastAsia="Times New Roman" w:hAnsi="Lato"/>
          <w:color w:val="000000" w:themeColor="text1"/>
          <w:sz w:val="24"/>
          <w:szCs w:val="24"/>
        </w:rPr>
      </w:pPr>
    </w:p>
    <w:p w14:paraId="7D3B8CA6"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Focusing on behavioral and social aspects of dementia</w:t>
      </w:r>
    </w:p>
    <w:p w14:paraId="708FC8DF" w14:textId="77777777" w:rsidR="00000000" w:rsidRPr="0060384B" w:rsidRDefault="00CA5F6F">
      <w:pPr>
        <w:spacing w:line="284" w:lineRule="exact"/>
        <w:rPr>
          <w:rFonts w:ascii="Lato" w:eastAsia="Times New Roman" w:hAnsi="Lato"/>
          <w:color w:val="000000" w:themeColor="text1"/>
          <w:sz w:val="24"/>
          <w:szCs w:val="24"/>
        </w:rPr>
      </w:pPr>
    </w:p>
    <w:p w14:paraId="5719FAA3" w14:textId="77777777" w:rsidR="00000000" w:rsidRPr="0060384B" w:rsidRDefault="00CA5F6F">
      <w:pPr>
        <w:spacing w:line="251" w:lineRule="auto"/>
        <w:ind w:right="60"/>
        <w:rPr>
          <w:rFonts w:ascii="Lato" w:hAnsi="Lato"/>
          <w:color w:val="000000" w:themeColor="text1"/>
          <w:sz w:val="24"/>
          <w:szCs w:val="24"/>
        </w:rPr>
      </w:pPr>
      <w:r w:rsidRPr="0060384B">
        <w:rPr>
          <w:rFonts w:ascii="Lato" w:hAnsi="Lato"/>
          <w:color w:val="000000" w:themeColor="text1"/>
          <w:sz w:val="24"/>
          <w:szCs w:val="24"/>
        </w:rPr>
        <w:t>Two ongoing c</w:t>
      </w:r>
      <w:r w:rsidRPr="0060384B">
        <w:rPr>
          <w:rFonts w:ascii="Lato" w:hAnsi="Lato"/>
          <w:color w:val="000000" w:themeColor="text1"/>
          <w:sz w:val="24"/>
          <w:szCs w:val="24"/>
        </w:rPr>
        <w:t>enter programs specializing in behavioral and social research will add a specific concentration on Alzheimer</w:t>
      </w:r>
      <w:r w:rsidRPr="0060384B">
        <w:rPr>
          <w:rFonts w:ascii="Lato" w:hAnsi="Lato"/>
          <w:color w:val="000000" w:themeColor="text1"/>
          <w:sz w:val="24"/>
          <w:szCs w:val="24"/>
        </w:rPr>
        <w:t>’s and related dementias to their portfolios, and a new network will support collaboration in specific areas of high-priority research:</w:t>
      </w:r>
    </w:p>
    <w:p w14:paraId="1AB12126" w14:textId="77777777" w:rsidR="00000000" w:rsidRPr="0060384B" w:rsidRDefault="00CA5F6F">
      <w:pPr>
        <w:spacing w:line="249" w:lineRule="exact"/>
        <w:rPr>
          <w:rFonts w:ascii="Lato" w:eastAsia="Times New Roman" w:hAnsi="Lato"/>
          <w:color w:val="000000" w:themeColor="text1"/>
          <w:sz w:val="24"/>
          <w:szCs w:val="24"/>
        </w:rPr>
      </w:pPr>
    </w:p>
    <w:p w14:paraId="185171CB" w14:textId="77777777" w:rsidR="00000000" w:rsidRPr="0060384B" w:rsidRDefault="00CA5F6F">
      <w:pPr>
        <w:numPr>
          <w:ilvl w:val="0"/>
          <w:numId w:val="14"/>
        </w:numPr>
        <w:tabs>
          <w:tab w:val="left" w:pos="540"/>
        </w:tabs>
        <w:spacing w:line="242" w:lineRule="auto"/>
        <w:ind w:left="540" w:right="20" w:hanging="353"/>
        <w:rPr>
          <w:rFonts w:ascii="Lato" w:hAnsi="Lato"/>
          <w:color w:val="000000" w:themeColor="text1"/>
          <w:sz w:val="24"/>
          <w:szCs w:val="24"/>
        </w:rPr>
      </w:pPr>
      <w:r w:rsidRPr="0060384B">
        <w:rPr>
          <w:rFonts w:ascii="Lato" w:hAnsi="Lato"/>
          <w:b/>
          <w:color w:val="000000" w:themeColor="text1"/>
          <w:sz w:val="24"/>
          <w:szCs w:val="24"/>
        </w:rPr>
        <w:t xml:space="preserve">New Roybal </w:t>
      </w:r>
      <w:r w:rsidRPr="0060384B">
        <w:rPr>
          <w:rFonts w:ascii="Lato" w:hAnsi="Lato"/>
          <w:b/>
          <w:color w:val="000000" w:themeColor="text1"/>
          <w:sz w:val="24"/>
          <w:szCs w:val="24"/>
        </w:rPr>
        <w:t xml:space="preserve">translational research centers will focus on dementia care. </w:t>
      </w:r>
      <w:r w:rsidRPr="0060384B">
        <w:rPr>
          <w:rFonts w:ascii="Lato" w:hAnsi="Lato"/>
          <w:color w:val="000000" w:themeColor="text1"/>
          <w:sz w:val="24"/>
          <w:szCs w:val="24"/>
        </w:rPr>
        <w:t>NIA</w:t>
      </w:r>
      <w:r w:rsidRPr="0060384B">
        <w:rPr>
          <w:rFonts w:ascii="Lato" w:hAnsi="Lato"/>
          <w:color w:val="000000" w:themeColor="text1"/>
          <w:sz w:val="24"/>
          <w:szCs w:val="24"/>
        </w:rPr>
        <w:t xml:space="preserve">’s 13 </w:t>
      </w:r>
      <w:hyperlink r:id="rId105" w:history="1">
        <w:r w:rsidRPr="0060384B">
          <w:rPr>
            <w:rFonts w:ascii="Lato" w:hAnsi="Lato"/>
            <w:color w:val="000000" w:themeColor="text1"/>
            <w:sz w:val="24"/>
            <w:szCs w:val="24"/>
          </w:rPr>
          <w:t>Edward</w:t>
        </w:r>
      </w:hyperlink>
      <w:r w:rsidRPr="0060384B">
        <w:rPr>
          <w:rFonts w:ascii="Lato" w:hAnsi="Lato"/>
          <w:color w:val="000000" w:themeColor="text1"/>
          <w:sz w:val="24"/>
          <w:szCs w:val="24"/>
        </w:rPr>
        <w:t xml:space="preserve"> </w:t>
      </w:r>
      <w:hyperlink r:id="rId106" w:history="1">
        <w:r w:rsidRPr="0060384B">
          <w:rPr>
            <w:rFonts w:ascii="Lato" w:hAnsi="Lato"/>
            <w:color w:val="000000" w:themeColor="text1"/>
            <w:sz w:val="24"/>
            <w:szCs w:val="24"/>
          </w:rPr>
          <w:t>R. Roybal Centers for Translational Research in the Behavioral and Social Sciences of Aging</w:t>
        </w:r>
      </w:hyperlink>
      <w:r w:rsidRPr="0060384B">
        <w:rPr>
          <w:rFonts w:ascii="Lato" w:hAnsi="Lato"/>
          <w:color w:val="000000" w:themeColor="text1"/>
          <w:sz w:val="24"/>
          <w:szCs w:val="24"/>
        </w:rPr>
        <w:t xml:space="preserve"> develop and pilot innovative ideas for moving results of basic behaviora</w:t>
      </w:r>
      <w:r w:rsidRPr="0060384B">
        <w:rPr>
          <w:rFonts w:ascii="Lato" w:hAnsi="Lato"/>
          <w:color w:val="000000" w:themeColor="text1"/>
          <w:sz w:val="24"/>
          <w:szCs w:val="24"/>
        </w:rPr>
        <w:t>l and social research into practice. The Centers were authorized by Congress in 1993 and named for the Chair of the former House Select Committee on Aging, Edward R. Roybal. In 2018, NIA announced it would create new Roybal Centers focused on dementia care</w:t>
      </w:r>
      <w:r w:rsidRPr="0060384B">
        <w:rPr>
          <w:rFonts w:ascii="Lato" w:hAnsi="Lato"/>
          <w:color w:val="000000" w:themeColor="text1"/>
          <w:sz w:val="24"/>
          <w:szCs w:val="24"/>
        </w:rPr>
        <w:t xml:space="preserve">giving. These Roybal Centers for Translational Research on Dementia Care Provider Support will develop behavioral interventions to improve the health, well-being, and/or capacity of both individuals and health care systems providing dementia care. As part </w:t>
      </w:r>
      <w:r w:rsidRPr="0060384B">
        <w:rPr>
          <w:rFonts w:ascii="Lato" w:hAnsi="Lato"/>
          <w:color w:val="000000" w:themeColor="text1"/>
          <w:sz w:val="24"/>
          <w:szCs w:val="24"/>
        </w:rPr>
        <w:t>of this program, NIA is encouraging the new Centers to make research resources available to the larger scientific community and bring together scientists across academic institutions to promote the adoption of practical care programs.</w:t>
      </w:r>
    </w:p>
    <w:p w14:paraId="07873B10" w14:textId="77777777" w:rsidR="00000000" w:rsidRPr="0060384B" w:rsidRDefault="00CA5F6F">
      <w:pPr>
        <w:spacing w:line="223" w:lineRule="exact"/>
        <w:rPr>
          <w:rFonts w:ascii="Lato" w:hAnsi="Lato"/>
          <w:color w:val="000000" w:themeColor="text1"/>
          <w:sz w:val="24"/>
          <w:szCs w:val="24"/>
        </w:rPr>
      </w:pPr>
    </w:p>
    <w:p w14:paraId="69F17EC5" w14:textId="77777777" w:rsidR="00000000" w:rsidRPr="0060384B" w:rsidRDefault="00CA5F6F">
      <w:pPr>
        <w:numPr>
          <w:ilvl w:val="0"/>
          <w:numId w:val="14"/>
        </w:numPr>
        <w:tabs>
          <w:tab w:val="left" w:pos="540"/>
        </w:tabs>
        <w:spacing w:line="243" w:lineRule="auto"/>
        <w:ind w:left="540" w:right="100" w:hanging="360"/>
        <w:rPr>
          <w:rFonts w:ascii="Lato" w:hAnsi="Lato"/>
          <w:color w:val="000000" w:themeColor="text1"/>
          <w:sz w:val="24"/>
          <w:szCs w:val="24"/>
        </w:rPr>
      </w:pPr>
      <w:r w:rsidRPr="0060384B">
        <w:rPr>
          <w:rFonts w:ascii="Lato" w:hAnsi="Lato"/>
          <w:b/>
          <w:color w:val="000000" w:themeColor="text1"/>
          <w:sz w:val="24"/>
          <w:szCs w:val="24"/>
        </w:rPr>
        <w:t>Dementia-focused min</w:t>
      </w:r>
      <w:r w:rsidRPr="0060384B">
        <w:rPr>
          <w:rFonts w:ascii="Lato" w:hAnsi="Lato"/>
          <w:b/>
          <w:color w:val="000000" w:themeColor="text1"/>
          <w:sz w:val="24"/>
          <w:szCs w:val="24"/>
        </w:rPr>
        <w:t xml:space="preserve">ority aging centers added to increase attention to diversity and address disparities. </w:t>
      </w:r>
      <w:r w:rsidRPr="0060384B">
        <w:rPr>
          <w:rFonts w:ascii="Lato" w:hAnsi="Lato"/>
          <w:color w:val="000000" w:themeColor="text1"/>
          <w:sz w:val="24"/>
          <w:szCs w:val="24"/>
        </w:rPr>
        <w:t>NIA</w:t>
      </w:r>
      <w:r w:rsidRPr="0060384B">
        <w:rPr>
          <w:rFonts w:ascii="Lato" w:hAnsi="Lato"/>
          <w:color w:val="000000" w:themeColor="text1"/>
          <w:sz w:val="24"/>
          <w:szCs w:val="24"/>
        </w:rPr>
        <w:t xml:space="preserve">’s established </w:t>
      </w:r>
      <w:hyperlink r:id="rId107" w:history="1">
        <w:r w:rsidRPr="0060384B">
          <w:rPr>
            <w:rFonts w:ascii="Lato" w:hAnsi="Lato"/>
            <w:color w:val="000000" w:themeColor="text1"/>
            <w:sz w:val="24"/>
            <w:szCs w:val="24"/>
          </w:rPr>
          <w:t>Resource Centers for Minority Aging Research</w:t>
        </w:r>
      </w:hyperlink>
      <w:r w:rsidRPr="0060384B">
        <w:rPr>
          <w:rFonts w:ascii="Lato" w:hAnsi="Lato"/>
          <w:color w:val="000000" w:themeColor="text1"/>
          <w:sz w:val="24"/>
          <w:szCs w:val="24"/>
        </w:rPr>
        <w:t xml:space="preserve"> </w:t>
      </w:r>
      <w:r w:rsidRPr="0060384B">
        <w:rPr>
          <w:rFonts w:ascii="Lato" w:hAnsi="Lato"/>
          <w:color w:val="000000" w:themeColor="text1"/>
          <w:sz w:val="24"/>
          <w:szCs w:val="24"/>
        </w:rPr>
        <w:t>(RCMAR</w:t>
      </w:r>
      <w:r w:rsidRPr="0060384B">
        <w:rPr>
          <w:rFonts w:ascii="Lato" w:hAnsi="Lato"/>
          <w:color w:val="000000" w:themeColor="text1"/>
          <w:sz w:val="24"/>
          <w:szCs w:val="24"/>
        </w:rPr>
        <w:t xml:space="preserve">s) conduct and promote studies in social, behavioral, and economic research on aging, with a focus on health disparities, minority aging, and diversity in the research workforce. NIA in 2018 expanded the RCMARs to include </w:t>
      </w:r>
      <w:hyperlink r:id="rId108" w:history="1">
        <w:r w:rsidRPr="0060384B">
          <w:rPr>
            <w:rFonts w:ascii="Lato" w:hAnsi="Lato"/>
            <w:color w:val="000000" w:themeColor="text1"/>
            <w:sz w:val="24"/>
            <w:szCs w:val="24"/>
          </w:rPr>
          <w:t>a new subset of eight Centers</w:t>
        </w:r>
      </w:hyperlink>
      <w:r w:rsidRPr="0060384B">
        <w:rPr>
          <w:rFonts w:ascii="Lato" w:hAnsi="Lato"/>
          <w:color w:val="000000" w:themeColor="text1"/>
          <w:sz w:val="24"/>
          <w:szCs w:val="24"/>
        </w:rPr>
        <w:t xml:space="preserve"> for social and behavioral science related to Alzheimer</w:t>
      </w:r>
      <w:r w:rsidRPr="0060384B">
        <w:rPr>
          <w:rFonts w:ascii="Lato" w:hAnsi="Lato"/>
          <w:color w:val="000000" w:themeColor="text1"/>
          <w:sz w:val="24"/>
          <w:szCs w:val="24"/>
        </w:rPr>
        <w:t>’s disease and related dementias. These new AD-RCMARs will undertake studies on the epidemiology of demen</w:t>
      </w:r>
      <w:r w:rsidRPr="0060384B">
        <w:rPr>
          <w:rFonts w:ascii="Lato" w:hAnsi="Lato"/>
          <w:color w:val="000000" w:themeColor="text1"/>
          <w:sz w:val="24"/>
          <w:szCs w:val="24"/>
        </w:rPr>
        <w:t>tia, preventive interventions, and formal and informal care challenges, as well as mentoring a research workforce in minority aging issues and dementia research.</w:t>
      </w:r>
    </w:p>
    <w:p w14:paraId="709940FA" w14:textId="77777777" w:rsidR="00000000" w:rsidRPr="0060384B" w:rsidRDefault="00CA5F6F">
      <w:pPr>
        <w:tabs>
          <w:tab w:val="left" w:pos="540"/>
        </w:tabs>
        <w:spacing w:line="243" w:lineRule="auto"/>
        <w:ind w:left="540" w:right="100" w:hanging="36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425EA8DD" w14:textId="77777777" w:rsidR="00000000" w:rsidRPr="0060384B" w:rsidRDefault="00CA5F6F">
      <w:pPr>
        <w:spacing w:line="200" w:lineRule="exact"/>
        <w:rPr>
          <w:rFonts w:ascii="Lato" w:eastAsia="Arial" w:hAnsi="Lato"/>
          <w:color w:val="000000" w:themeColor="text1"/>
          <w:sz w:val="24"/>
          <w:szCs w:val="24"/>
        </w:rPr>
      </w:pPr>
    </w:p>
    <w:p w14:paraId="4480EB72" w14:textId="77777777" w:rsidR="00000000" w:rsidRPr="0060384B" w:rsidRDefault="00CA5F6F">
      <w:pPr>
        <w:spacing w:line="200" w:lineRule="exact"/>
        <w:rPr>
          <w:rFonts w:ascii="Lato" w:eastAsia="Arial" w:hAnsi="Lato"/>
          <w:color w:val="000000" w:themeColor="text1"/>
          <w:sz w:val="24"/>
          <w:szCs w:val="24"/>
        </w:rPr>
      </w:pPr>
    </w:p>
    <w:p w14:paraId="20D540FE" w14:textId="77777777" w:rsidR="00000000" w:rsidRPr="0060384B" w:rsidRDefault="00CA5F6F">
      <w:pPr>
        <w:spacing w:line="239" w:lineRule="exact"/>
        <w:rPr>
          <w:rFonts w:ascii="Lato" w:eastAsia="Arial"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634A16FA" w14:textId="77777777">
        <w:trPr>
          <w:trHeight w:val="245"/>
        </w:trPr>
        <w:tc>
          <w:tcPr>
            <w:tcW w:w="6540" w:type="dxa"/>
            <w:shd w:val="clear" w:color="auto" w:fill="auto"/>
            <w:vAlign w:val="bottom"/>
          </w:tcPr>
          <w:p w14:paraId="302B1C2D"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TOGETHER WE SUCCEED</w:t>
            </w:r>
          </w:p>
        </w:tc>
        <w:tc>
          <w:tcPr>
            <w:tcW w:w="2820" w:type="dxa"/>
            <w:shd w:val="clear" w:color="auto" w:fill="auto"/>
            <w:vAlign w:val="bottom"/>
          </w:tcPr>
          <w:p w14:paraId="00E4C444"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30</w:t>
            </w:r>
          </w:p>
        </w:tc>
      </w:tr>
      <w:tr w:rsidR="00000000" w:rsidRPr="0060384B" w14:paraId="0C606D79" w14:textId="77777777">
        <w:trPr>
          <w:trHeight w:val="258"/>
        </w:trPr>
        <w:tc>
          <w:tcPr>
            <w:tcW w:w="6540" w:type="dxa"/>
            <w:shd w:val="clear" w:color="auto" w:fill="auto"/>
            <w:vAlign w:val="bottom"/>
          </w:tcPr>
          <w:p w14:paraId="2C607074"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0AC6EC35" w14:textId="77777777" w:rsidR="00000000" w:rsidRPr="0060384B" w:rsidRDefault="00CA5F6F">
            <w:pPr>
              <w:spacing w:line="0" w:lineRule="atLeast"/>
              <w:rPr>
                <w:rFonts w:ascii="Lato" w:eastAsia="Times New Roman" w:hAnsi="Lato"/>
                <w:color w:val="000000" w:themeColor="text1"/>
                <w:sz w:val="24"/>
                <w:szCs w:val="24"/>
              </w:rPr>
            </w:pPr>
          </w:p>
        </w:tc>
      </w:tr>
    </w:tbl>
    <w:p w14:paraId="6A54619E"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4231E01C" w14:textId="77777777" w:rsidR="00000000" w:rsidRPr="0060384B" w:rsidRDefault="00CA5F6F">
      <w:pPr>
        <w:spacing w:line="243" w:lineRule="auto"/>
        <w:ind w:right="80"/>
        <w:rPr>
          <w:rFonts w:ascii="Lato" w:hAnsi="Lato"/>
          <w:color w:val="000000" w:themeColor="text1"/>
          <w:sz w:val="24"/>
          <w:szCs w:val="24"/>
        </w:rPr>
      </w:pPr>
      <w:bookmarkStart w:id="33" w:name="page34"/>
      <w:bookmarkEnd w:id="33"/>
      <w:r w:rsidRPr="0060384B">
        <w:rPr>
          <w:rFonts w:ascii="Lato" w:hAnsi="Lato"/>
          <w:b/>
          <w:color w:val="000000" w:themeColor="text1"/>
          <w:sz w:val="24"/>
          <w:szCs w:val="24"/>
        </w:rPr>
        <w:lastRenderedPageBreak/>
        <w:t xml:space="preserve">Creating a new </w:t>
      </w:r>
      <w:r w:rsidRPr="0060384B">
        <w:rPr>
          <w:rFonts w:ascii="Lato" w:hAnsi="Lato"/>
          <w:b/>
          <w:color w:val="000000" w:themeColor="text1"/>
          <w:sz w:val="24"/>
          <w:szCs w:val="24"/>
        </w:rPr>
        <w:t xml:space="preserve">research network for high-priority studies. </w:t>
      </w:r>
      <w:r w:rsidRPr="0060384B">
        <w:rPr>
          <w:rFonts w:ascii="Lato" w:hAnsi="Lato"/>
          <w:color w:val="000000" w:themeColor="text1"/>
          <w:sz w:val="24"/>
          <w:szCs w:val="24"/>
        </w:rPr>
        <w:t>A</w:t>
      </w:r>
      <w:r w:rsidRPr="0060384B">
        <w:rPr>
          <w:rFonts w:ascii="Lato" w:hAnsi="Lato"/>
          <w:b/>
          <w:color w:val="000000" w:themeColor="text1"/>
          <w:sz w:val="24"/>
          <w:szCs w:val="24"/>
        </w:rPr>
        <w:t xml:space="preserve"> </w:t>
      </w:r>
      <w:hyperlink r:id="rId109" w:history="1">
        <w:r w:rsidRPr="0060384B">
          <w:rPr>
            <w:rFonts w:ascii="Lato" w:hAnsi="Lato"/>
            <w:color w:val="000000" w:themeColor="text1"/>
            <w:sz w:val="24"/>
            <w:szCs w:val="24"/>
          </w:rPr>
          <w:t>new NIA initiative</w:t>
        </w:r>
        <w:r w:rsidRPr="0060384B">
          <w:rPr>
            <w:rFonts w:ascii="Lato" w:hAnsi="Lato"/>
            <w:b/>
            <w:color w:val="000000" w:themeColor="text1"/>
            <w:sz w:val="24"/>
            <w:szCs w:val="24"/>
          </w:rPr>
          <w:t xml:space="preserve"> </w:t>
        </w:r>
      </w:hyperlink>
      <w:r w:rsidRPr="0060384B">
        <w:rPr>
          <w:rFonts w:ascii="Lato" w:hAnsi="Lato"/>
          <w:color w:val="000000" w:themeColor="text1"/>
          <w:sz w:val="24"/>
          <w:szCs w:val="24"/>
        </w:rPr>
        <w:t>announced</w:t>
      </w:r>
      <w:r w:rsidRPr="0060384B">
        <w:rPr>
          <w:rFonts w:ascii="Lato" w:hAnsi="Lato"/>
          <w:b/>
          <w:color w:val="000000" w:themeColor="text1"/>
          <w:sz w:val="24"/>
          <w:szCs w:val="24"/>
        </w:rPr>
        <w:t xml:space="preserve"> </w:t>
      </w:r>
      <w:r w:rsidRPr="0060384B">
        <w:rPr>
          <w:rFonts w:ascii="Lato" w:hAnsi="Lato"/>
          <w:color w:val="000000" w:themeColor="text1"/>
          <w:sz w:val="24"/>
          <w:szCs w:val="24"/>
        </w:rPr>
        <w:t>in</w:t>
      </w:r>
      <w:r w:rsidRPr="0060384B">
        <w:rPr>
          <w:rFonts w:ascii="Lato" w:hAnsi="Lato"/>
          <w:b/>
          <w:color w:val="000000" w:themeColor="text1"/>
          <w:sz w:val="24"/>
          <w:szCs w:val="24"/>
        </w:rPr>
        <w:t xml:space="preserve"> </w:t>
      </w:r>
      <w:r w:rsidRPr="0060384B">
        <w:rPr>
          <w:rFonts w:ascii="Lato" w:hAnsi="Lato"/>
          <w:color w:val="000000" w:themeColor="text1"/>
          <w:sz w:val="24"/>
          <w:szCs w:val="24"/>
        </w:rPr>
        <w:t>2018 will create a support system to advance behavioral and social research for Alzheimer</w:t>
      </w:r>
      <w:r w:rsidRPr="0060384B">
        <w:rPr>
          <w:rFonts w:ascii="Lato" w:hAnsi="Lato"/>
          <w:color w:val="000000" w:themeColor="text1"/>
          <w:sz w:val="24"/>
          <w:szCs w:val="24"/>
        </w:rPr>
        <w:t>’s disea</w:t>
      </w:r>
      <w:r w:rsidRPr="0060384B">
        <w:rPr>
          <w:rFonts w:ascii="Lato" w:hAnsi="Lato"/>
          <w:color w:val="000000" w:themeColor="text1"/>
          <w:sz w:val="24"/>
          <w:szCs w:val="24"/>
        </w:rPr>
        <w:t>se and related dementias. This network infrastructure will not conduct standard research projects beyond small-scale pilots, but it will facilitate the generation of ideas for research through meetings and conferences, intensive workshops, visiting scholar</w:t>
      </w:r>
      <w:r w:rsidRPr="0060384B">
        <w:rPr>
          <w:rFonts w:ascii="Lato" w:hAnsi="Lato"/>
          <w:color w:val="000000" w:themeColor="text1"/>
          <w:sz w:val="24"/>
          <w:szCs w:val="24"/>
        </w:rPr>
        <w:t xml:space="preserve"> programs, and information sharing. Among the network</w:t>
      </w:r>
      <w:r w:rsidRPr="0060384B">
        <w:rPr>
          <w:rFonts w:ascii="Lato" w:hAnsi="Lato"/>
          <w:color w:val="000000" w:themeColor="text1"/>
          <w:sz w:val="24"/>
          <w:szCs w:val="24"/>
        </w:rPr>
        <w:t>’s first priorities will be efforts to catalyze care and services research and the coordination of international studies incorporating the Harmonized Cognitive Assessment Protocol to leverage investments</w:t>
      </w:r>
      <w:r w:rsidRPr="0060384B">
        <w:rPr>
          <w:rFonts w:ascii="Lato" w:hAnsi="Lato"/>
          <w:color w:val="000000" w:themeColor="text1"/>
          <w:sz w:val="24"/>
          <w:szCs w:val="24"/>
        </w:rPr>
        <w:t xml:space="preserve"> in longitudinal studies of aging that use this protocol.</w:t>
      </w:r>
    </w:p>
    <w:p w14:paraId="0E6F79BA" w14:textId="77777777" w:rsidR="00000000" w:rsidRPr="0060384B" w:rsidRDefault="00CA5F6F">
      <w:pPr>
        <w:spacing w:line="249" w:lineRule="exact"/>
        <w:rPr>
          <w:rFonts w:ascii="Lato" w:eastAsia="Times New Roman" w:hAnsi="Lato"/>
          <w:color w:val="000000" w:themeColor="text1"/>
          <w:sz w:val="24"/>
          <w:szCs w:val="24"/>
        </w:rPr>
      </w:pPr>
    </w:p>
    <w:p w14:paraId="659D8918" w14:textId="77777777" w:rsidR="00000000" w:rsidRPr="0060384B" w:rsidRDefault="00CA5F6F">
      <w:pPr>
        <w:spacing w:line="245" w:lineRule="auto"/>
        <w:rPr>
          <w:rFonts w:ascii="Lato" w:hAnsi="Lato"/>
          <w:color w:val="000000" w:themeColor="text1"/>
          <w:sz w:val="24"/>
          <w:szCs w:val="24"/>
        </w:rPr>
      </w:pPr>
      <w:r w:rsidRPr="0060384B">
        <w:rPr>
          <w:rFonts w:ascii="Lato" w:hAnsi="Lato"/>
          <w:color w:val="000000" w:themeColor="text1"/>
          <w:sz w:val="24"/>
          <w:szCs w:val="24"/>
        </w:rPr>
        <w:t>The programs and activities featured in this section are just a sample of data-sharing and collaborative science vital to accelerated progress on Alzheimer</w:t>
      </w:r>
      <w:r w:rsidRPr="0060384B">
        <w:rPr>
          <w:rFonts w:ascii="Lato" w:hAnsi="Lato"/>
          <w:color w:val="000000" w:themeColor="text1"/>
          <w:sz w:val="24"/>
          <w:szCs w:val="24"/>
        </w:rPr>
        <w:t>’s and related dementias research. Working</w:t>
      </w:r>
      <w:r w:rsidRPr="0060384B">
        <w:rPr>
          <w:rFonts w:ascii="Lato" w:hAnsi="Lato"/>
          <w:color w:val="000000" w:themeColor="text1"/>
          <w:sz w:val="24"/>
          <w:szCs w:val="24"/>
        </w:rPr>
        <w:t xml:space="preserve"> together in unprecedented ways will move research results more quickly and confidently into therapies and interventions that benefit people with dementia, families, and clinicians.</w:t>
      </w:r>
    </w:p>
    <w:p w14:paraId="67A14438" w14:textId="77777777" w:rsidR="00000000" w:rsidRPr="0060384B" w:rsidRDefault="00CA5F6F">
      <w:pPr>
        <w:spacing w:line="249" w:lineRule="exact"/>
        <w:rPr>
          <w:rFonts w:ascii="Lato" w:eastAsia="Times New Roman" w:hAnsi="Lato"/>
          <w:color w:val="000000" w:themeColor="text1"/>
          <w:sz w:val="24"/>
          <w:szCs w:val="24"/>
        </w:rPr>
      </w:pPr>
    </w:p>
    <w:p w14:paraId="30C304C4" w14:textId="77777777" w:rsidR="00000000" w:rsidRPr="0060384B" w:rsidRDefault="00CA5F6F">
      <w:pPr>
        <w:spacing w:line="262" w:lineRule="auto"/>
        <w:ind w:right="1280"/>
        <w:rPr>
          <w:rFonts w:ascii="Lato" w:hAnsi="Lato"/>
          <w:color w:val="000000" w:themeColor="text1"/>
          <w:sz w:val="24"/>
          <w:szCs w:val="24"/>
        </w:rPr>
      </w:pPr>
      <w:r w:rsidRPr="0060384B">
        <w:rPr>
          <w:rFonts w:ascii="Lato" w:hAnsi="Lato"/>
          <w:color w:val="000000" w:themeColor="text1"/>
          <w:sz w:val="24"/>
          <w:szCs w:val="24"/>
        </w:rPr>
        <w:t xml:space="preserve">Learn more about research implementation milestones and progress in this </w:t>
      </w:r>
      <w:r w:rsidRPr="0060384B">
        <w:rPr>
          <w:rFonts w:ascii="Lato" w:hAnsi="Lato"/>
          <w:color w:val="000000" w:themeColor="text1"/>
          <w:sz w:val="24"/>
          <w:szCs w:val="24"/>
        </w:rPr>
        <w:t xml:space="preserve">area at </w:t>
      </w:r>
      <w:hyperlink r:id="rId110" w:history="1">
        <w:r w:rsidRPr="0060384B">
          <w:rPr>
            <w:rFonts w:ascii="Lato" w:hAnsi="Lato"/>
            <w:color w:val="000000" w:themeColor="text1"/>
            <w:sz w:val="24"/>
            <w:szCs w:val="24"/>
          </w:rPr>
          <w:t>www.nia.nih.gov/research/milestones/focus-area/enabling-infrastructure</w:t>
        </w:r>
        <w:r w:rsidRPr="0060384B">
          <w:rPr>
            <w:rFonts w:ascii="Lato" w:hAnsi="Lato"/>
            <w:color w:val="000000" w:themeColor="text1"/>
            <w:sz w:val="24"/>
            <w:szCs w:val="24"/>
          </w:rPr>
          <w:t>.</w:t>
        </w:r>
      </w:hyperlink>
    </w:p>
    <w:p w14:paraId="449AA6AC" w14:textId="77777777" w:rsidR="00000000" w:rsidRPr="0060384B" w:rsidRDefault="00CA5F6F">
      <w:pPr>
        <w:spacing w:line="262" w:lineRule="auto"/>
        <w:ind w:right="1280"/>
        <w:rPr>
          <w:rFonts w:ascii="Lato" w:hAnsi="Lato"/>
          <w:color w:val="000000" w:themeColor="text1"/>
          <w:sz w:val="24"/>
          <w:szCs w:val="24"/>
        </w:rPr>
        <w:sectPr w:rsidR="00000000" w:rsidRPr="0060384B">
          <w:pgSz w:w="12240" w:h="15840"/>
          <w:pgMar w:top="1130" w:right="1440" w:bottom="0" w:left="1440" w:header="0" w:footer="0" w:gutter="0"/>
          <w:cols w:space="0" w:equalWidth="0">
            <w:col w:w="9360"/>
          </w:cols>
          <w:docGrid w:linePitch="360"/>
        </w:sectPr>
      </w:pPr>
    </w:p>
    <w:p w14:paraId="7BF8FBA8" w14:textId="77777777" w:rsidR="00000000" w:rsidRPr="0060384B" w:rsidRDefault="00CA5F6F">
      <w:pPr>
        <w:spacing w:line="200" w:lineRule="exact"/>
        <w:rPr>
          <w:rFonts w:ascii="Lato" w:eastAsia="Times New Roman" w:hAnsi="Lato"/>
          <w:color w:val="000000" w:themeColor="text1"/>
          <w:sz w:val="24"/>
          <w:szCs w:val="24"/>
        </w:rPr>
      </w:pPr>
    </w:p>
    <w:p w14:paraId="19DB60CF" w14:textId="77777777" w:rsidR="00000000" w:rsidRPr="0060384B" w:rsidRDefault="00CA5F6F">
      <w:pPr>
        <w:spacing w:line="200" w:lineRule="exact"/>
        <w:rPr>
          <w:rFonts w:ascii="Lato" w:eastAsia="Times New Roman" w:hAnsi="Lato"/>
          <w:color w:val="000000" w:themeColor="text1"/>
          <w:sz w:val="24"/>
          <w:szCs w:val="24"/>
        </w:rPr>
      </w:pPr>
    </w:p>
    <w:p w14:paraId="101D9395" w14:textId="77777777" w:rsidR="00000000" w:rsidRPr="0060384B" w:rsidRDefault="00CA5F6F">
      <w:pPr>
        <w:spacing w:line="200" w:lineRule="exact"/>
        <w:rPr>
          <w:rFonts w:ascii="Lato" w:eastAsia="Times New Roman" w:hAnsi="Lato"/>
          <w:color w:val="000000" w:themeColor="text1"/>
          <w:sz w:val="24"/>
          <w:szCs w:val="24"/>
        </w:rPr>
      </w:pPr>
    </w:p>
    <w:p w14:paraId="59B37F50" w14:textId="77777777" w:rsidR="00000000" w:rsidRPr="0060384B" w:rsidRDefault="00CA5F6F">
      <w:pPr>
        <w:spacing w:line="200" w:lineRule="exact"/>
        <w:rPr>
          <w:rFonts w:ascii="Lato" w:eastAsia="Times New Roman" w:hAnsi="Lato"/>
          <w:color w:val="000000" w:themeColor="text1"/>
          <w:sz w:val="24"/>
          <w:szCs w:val="24"/>
        </w:rPr>
      </w:pPr>
    </w:p>
    <w:p w14:paraId="56280524" w14:textId="77777777" w:rsidR="00000000" w:rsidRPr="0060384B" w:rsidRDefault="00CA5F6F">
      <w:pPr>
        <w:spacing w:line="200" w:lineRule="exact"/>
        <w:rPr>
          <w:rFonts w:ascii="Lato" w:eastAsia="Times New Roman" w:hAnsi="Lato"/>
          <w:color w:val="000000" w:themeColor="text1"/>
          <w:sz w:val="24"/>
          <w:szCs w:val="24"/>
        </w:rPr>
      </w:pPr>
    </w:p>
    <w:p w14:paraId="585A1131" w14:textId="77777777" w:rsidR="00000000" w:rsidRPr="0060384B" w:rsidRDefault="00CA5F6F">
      <w:pPr>
        <w:spacing w:line="200" w:lineRule="exact"/>
        <w:rPr>
          <w:rFonts w:ascii="Lato" w:eastAsia="Times New Roman" w:hAnsi="Lato"/>
          <w:color w:val="000000" w:themeColor="text1"/>
          <w:sz w:val="24"/>
          <w:szCs w:val="24"/>
        </w:rPr>
      </w:pPr>
    </w:p>
    <w:p w14:paraId="125259D9" w14:textId="77777777" w:rsidR="00000000" w:rsidRPr="0060384B" w:rsidRDefault="00CA5F6F">
      <w:pPr>
        <w:spacing w:line="200" w:lineRule="exact"/>
        <w:rPr>
          <w:rFonts w:ascii="Lato" w:eastAsia="Times New Roman" w:hAnsi="Lato"/>
          <w:color w:val="000000" w:themeColor="text1"/>
          <w:sz w:val="24"/>
          <w:szCs w:val="24"/>
        </w:rPr>
      </w:pPr>
    </w:p>
    <w:p w14:paraId="7C4D9386" w14:textId="77777777" w:rsidR="00000000" w:rsidRPr="0060384B" w:rsidRDefault="00CA5F6F">
      <w:pPr>
        <w:spacing w:line="200" w:lineRule="exact"/>
        <w:rPr>
          <w:rFonts w:ascii="Lato" w:eastAsia="Times New Roman" w:hAnsi="Lato"/>
          <w:color w:val="000000" w:themeColor="text1"/>
          <w:sz w:val="24"/>
          <w:szCs w:val="24"/>
        </w:rPr>
      </w:pPr>
    </w:p>
    <w:p w14:paraId="472176A3" w14:textId="77777777" w:rsidR="00000000" w:rsidRPr="0060384B" w:rsidRDefault="00CA5F6F">
      <w:pPr>
        <w:spacing w:line="200" w:lineRule="exact"/>
        <w:rPr>
          <w:rFonts w:ascii="Lato" w:eastAsia="Times New Roman" w:hAnsi="Lato"/>
          <w:color w:val="000000" w:themeColor="text1"/>
          <w:sz w:val="24"/>
          <w:szCs w:val="24"/>
        </w:rPr>
      </w:pPr>
    </w:p>
    <w:p w14:paraId="69D127E6" w14:textId="77777777" w:rsidR="00000000" w:rsidRPr="0060384B" w:rsidRDefault="00CA5F6F">
      <w:pPr>
        <w:spacing w:line="200" w:lineRule="exact"/>
        <w:rPr>
          <w:rFonts w:ascii="Lato" w:eastAsia="Times New Roman" w:hAnsi="Lato"/>
          <w:color w:val="000000" w:themeColor="text1"/>
          <w:sz w:val="24"/>
          <w:szCs w:val="24"/>
        </w:rPr>
      </w:pPr>
    </w:p>
    <w:p w14:paraId="17F496D9" w14:textId="77777777" w:rsidR="00000000" w:rsidRPr="0060384B" w:rsidRDefault="00CA5F6F">
      <w:pPr>
        <w:spacing w:line="200" w:lineRule="exact"/>
        <w:rPr>
          <w:rFonts w:ascii="Lato" w:eastAsia="Times New Roman" w:hAnsi="Lato"/>
          <w:color w:val="000000" w:themeColor="text1"/>
          <w:sz w:val="24"/>
          <w:szCs w:val="24"/>
        </w:rPr>
      </w:pPr>
    </w:p>
    <w:p w14:paraId="1D4BB2B7" w14:textId="77777777" w:rsidR="00000000" w:rsidRPr="0060384B" w:rsidRDefault="00CA5F6F">
      <w:pPr>
        <w:spacing w:line="200" w:lineRule="exact"/>
        <w:rPr>
          <w:rFonts w:ascii="Lato" w:eastAsia="Times New Roman" w:hAnsi="Lato"/>
          <w:color w:val="000000" w:themeColor="text1"/>
          <w:sz w:val="24"/>
          <w:szCs w:val="24"/>
        </w:rPr>
      </w:pPr>
    </w:p>
    <w:p w14:paraId="7C13CC93" w14:textId="77777777" w:rsidR="00000000" w:rsidRPr="0060384B" w:rsidRDefault="00CA5F6F">
      <w:pPr>
        <w:spacing w:line="200" w:lineRule="exact"/>
        <w:rPr>
          <w:rFonts w:ascii="Lato" w:eastAsia="Times New Roman" w:hAnsi="Lato"/>
          <w:color w:val="000000" w:themeColor="text1"/>
          <w:sz w:val="24"/>
          <w:szCs w:val="24"/>
        </w:rPr>
      </w:pPr>
    </w:p>
    <w:p w14:paraId="1E9C2927" w14:textId="77777777" w:rsidR="00000000" w:rsidRPr="0060384B" w:rsidRDefault="00CA5F6F">
      <w:pPr>
        <w:spacing w:line="200" w:lineRule="exact"/>
        <w:rPr>
          <w:rFonts w:ascii="Lato" w:eastAsia="Times New Roman" w:hAnsi="Lato"/>
          <w:color w:val="000000" w:themeColor="text1"/>
          <w:sz w:val="24"/>
          <w:szCs w:val="24"/>
        </w:rPr>
      </w:pPr>
    </w:p>
    <w:p w14:paraId="67E3797C" w14:textId="77777777" w:rsidR="00000000" w:rsidRPr="0060384B" w:rsidRDefault="00CA5F6F">
      <w:pPr>
        <w:spacing w:line="200" w:lineRule="exact"/>
        <w:rPr>
          <w:rFonts w:ascii="Lato" w:eastAsia="Times New Roman" w:hAnsi="Lato"/>
          <w:color w:val="000000" w:themeColor="text1"/>
          <w:sz w:val="24"/>
          <w:szCs w:val="24"/>
        </w:rPr>
      </w:pPr>
    </w:p>
    <w:p w14:paraId="1CB86C5B" w14:textId="77777777" w:rsidR="00000000" w:rsidRPr="0060384B" w:rsidRDefault="00CA5F6F">
      <w:pPr>
        <w:spacing w:line="200" w:lineRule="exact"/>
        <w:rPr>
          <w:rFonts w:ascii="Lato" w:eastAsia="Times New Roman" w:hAnsi="Lato"/>
          <w:color w:val="000000" w:themeColor="text1"/>
          <w:sz w:val="24"/>
          <w:szCs w:val="24"/>
        </w:rPr>
      </w:pPr>
    </w:p>
    <w:p w14:paraId="6A219E85" w14:textId="77777777" w:rsidR="00000000" w:rsidRPr="0060384B" w:rsidRDefault="00CA5F6F">
      <w:pPr>
        <w:spacing w:line="200" w:lineRule="exact"/>
        <w:rPr>
          <w:rFonts w:ascii="Lato" w:eastAsia="Times New Roman" w:hAnsi="Lato"/>
          <w:color w:val="000000" w:themeColor="text1"/>
          <w:sz w:val="24"/>
          <w:szCs w:val="24"/>
        </w:rPr>
      </w:pPr>
    </w:p>
    <w:p w14:paraId="26CB4EC0" w14:textId="77777777" w:rsidR="00000000" w:rsidRPr="0060384B" w:rsidRDefault="00CA5F6F">
      <w:pPr>
        <w:spacing w:line="200" w:lineRule="exact"/>
        <w:rPr>
          <w:rFonts w:ascii="Lato" w:eastAsia="Times New Roman" w:hAnsi="Lato"/>
          <w:color w:val="000000" w:themeColor="text1"/>
          <w:sz w:val="24"/>
          <w:szCs w:val="24"/>
        </w:rPr>
      </w:pPr>
    </w:p>
    <w:p w14:paraId="6098EDF2" w14:textId="77777777" w:rsidR="00000000" w:rsidRPr="0060384B" w:rsidRDefault="00CA5F6F">
      <w:pPr>
        <w:spacing w:line="200" w:lineRule="exact"/>
        <w:rPr>
          <w:rFonts w:ascii="Lato" w:eastAsia="Times New Roman" w:hAnsi="Lato"/>
          <w:color w:val="000000" w:themeColor="text1"/>
          <w:sz w:val="24"/>
          <w:szCs w:val="24"/>
        </w:rPr>
      </w:pPr>
    </w:p>
    <w:p w14:paraId="65ED40B7" w14:textId="77777777" w:rsidR="00000000" w:rsidRPr="0060384B" w:rsidRDefault="00CA5F6F">
      <w:pPr>
        <w:spacing w:line="200" w:lineRule="exact"/>
        <w:rPr>
          <w:rFonts w:ascii="Lato" w:eastAsia="Times New Roman" w:hAnsi="Lato"/>
          <w:color w:val="000000" w:themeColor="text1"/>
          <w:sz w:val="24"/>
          <w:szCs w:val="24"/>
        </w:rPr>
      </w:pPr>
    </w:p>
    <w:p w14:paraId="59D8AA95" w14:textId="77777777" w:rsidR="00000000" w:rsidRPr="0060384B" w:rsidRDefault="00CA5F6F">
      <w:pPr>
        <w:spacing w:line="200" w:lineRule="exact"/>
        <w:rPr>
          <w:rFonts w:ascii="Lato" w:eastAsia="Times New Roman" w:hAnsi="Lato"/>
          <w:color w:val="000000" w:themeColor="text1"/>
          <w:sz w:val="24"/>
          <w:szCs w:val="24"/>
        </w:rPr>
      </w:pPr>
    </w:p>
    <w:p w14:paraId="68150ADD" w14:textId="77777777" w:rsidR="00000000" w:rsidRPr="0060384B" w:rsidRDefault="00CA5F6F">
      <w:pPr>
        <w:spacing w:line="200" w:lineRule="exact"/>
        <w:rPr>
          <w:rFonts w:ascii="Lato" w:eastAsia="Times New Roman" w:hAnsi="Lato"/>
          <w:color w:val="000000" w:themeColor="text1"/>
          <w:sz w:val="24"/>
          <w:szCs w:val="24"/>
        </w:rPr>
      </w:pPr>
    </w:p>
    <w:p w14:paraId="0A4EC057" w14:textId="77777777" w:rsidR="00000000" w:rsidRPr="0060384B" w:rsidRDefault="00CA5F6F">
      <w:pPr>
        <w:spacing w:line="200" w:lineRule="exact"/>
        <w:rPr>
          <w:rFonts w:ascii="Lato" w:eastAsia="Times New Roman" w:hAnsi="Lato"/>
          <w:color w:val="000000" w:themeColor="text1"/>
          <w:sz w:val="24"/>
          <w:szCs w:val="24"/>
        </w:rPr>
      </w:pPr>
    </w:p>
    <w:p w14:paraId="0A358D58" w14:textId="77777777" w:rsidR="00000000" w:rsidRPr="0060384B" w:rsidRDefault="00CA5F6F">
      <w:pPr>
        <w:spacing w:line="200" w:lineRule="exact"/>
        <w:rPr>
          <w:rFonts w:ascii="Lato" w:eastAsia="Times New Roman" w:hAnsi="Lato"/>
          <w:color w:val="000000" w:themeColor="text1"/>
          <w:sz w:val="24"/>
          <w:szCs w:val="24"/>
        </w:rPr>
      </w:pPr>
    </w:p>
    <w:p w14:paraId="437C243D" w14:textId="77777777" w:rsidR="00000000" w:rsidRPr="0060384B" w:rsidRDefault="00CA5F6F">
      <w:pPr>
        <w:spacing w:line="200" w:lineRule="exact"/>
        <w:rPr>
          <w:rFonts w:ascii="Lato" w:eastAsia="Times New Roman" w:hAnsi="Lato"/>
          <w:color w:val="000000" w:themeColor="text1"/>
          <w:sz w:val="24"/>
          <w:szCs w:val="24"/>
        </w:rPr>
      </w:pPr>
    </w:p>
    <w:p w14:paraId="0C8705A4" w14:textId="77777777" w:rsidR="00000000" w:rsidRPr="0060384B" w:rsidRDefault="00CA5F6F">
      <w:pPr>
        <w:spacing w:line="200" w:lineRule="exact"/>
        <w:rPr>
          <w:rFonts w:ascii="Lato" w:eastAsia="Times New Roman" w:hAnsi="Lato"/>
          <w:color w:val="000000" w:themeColor="text1"/>
          <w:sz w:val="24"/>
          <w:szCs w:val="24"/>
        </w:rPr>
      </w:pPr>
    </w:p>
    <w:p w14:paraId="32F01103" w14:textId="77777777" w:rsidR="00000000" w:rsidRPr="0060384B" w:rsidRDefault="00CA5F6F">
      <w:pPr>
        <w:spacing w:line="200" w:lineRule="exact"/>
        <w:rPr>
          <w:rFonts w:ascii="Lato" w:eastAsia="Times New Roman" w:hAnsi="Lato"/>
          <w:color w:val="000000" w:themeColor="text1"/>
          <w:sz w:val="24"/>
          <w:szCs w:val="24"/>
        </w:rPr>
      </w:pPr>
    </w:p>
    <w:p w14:paraId="3EC96EEA" w14:textId="77777777" w:rsidR="00000000" w:rsidRPr="0060384B" w:rsidRDefault="00CA5F6F">
      <w:pPr>
        <w:spacing w:line="200" w:lineRule="exact"/>
        <w:rPr>
          <w:rFonts w:ascii="Lato" w:eastAsia="Times New Roman" w:hAnsi="Lato"/>
          <w:color w:val="000000" w:themeColor="text1"/>
          <w:sz w:val="24"/>
          <w:szCs w:val="24"/>
        </w:rPr>
      </w:pPr>
    </w:p>
    <w:p w14:paraId="50B0E425" w14:textId="77777777" w:rsidR="00000000" w:rsidRPr="0060384B" w:rsidRDefault="00CA5F6F">
      <w:pPr>
        <w:spacing w:line="200" w:lineRule="exact"/>
        <w:rPr>
          <w:rFonts w:ascii="Lato" w:eastAsia="Times New Roman" w:hAnsi="Lato"/>
          <w:color w:val="000000" w:themeColor="text1"/>
          <w:sz w:val="24"/>
          <w:szCs w:val="24"/>
        </w:rPr>
      </w:pPr>
    </w:p>
    <w:p w14:paraId="2D2D30D1" w14:textId="77777777" w:rsidR="00000000" w:rsidRPr="0060384B" w:rsidRDefault="00CA5F6F">
      <w:pPr>
        <w:spacing w:line="200" w:lineRule="exact"/>
        <w:rPr>
          <w:rFonts w:ascii="Lato" w:eastAsia="Times New Roman" w:hAnsi="Lato"/>
          <w:color w:val="000000" w:themeColor="text1"/>
          <w:sz w:val="24"/>
          <w:szCs w:val="24"/>
        </w:rPr>
      </w:pPr>
    </w:p>
    <w:p w14:paraId="39B67F71" w14:textId="77777777" w:rsidR="00000000" w:rsidRPr="0060384B" w:rsidRDefault="00CA5F6F">
      <w:pPr>
        <w:spacing w:line="200" w:lineRule="exact"/>
        <w:rPr>
          <w:rFonts w:ascii="Lato" w:eastAsia="Times New Roman" w:hAnsi="Lato"/>
          <w:color w:val="000000" w:themeColor="text1"/>
          <w:sz w:val="24"/>
          <w:szCs w:val="24"/>
        </w:rPr>
      </w:pPr>
    </w:p>
    <w:p w14:paraId="2943F0C3" w14:textId="77777777" w:rsidR="00000000" w:rsidRPr="0060384B" w:rsidRDefault="00CA5F6F">
      <w:pPr>
        <w:spacing w:line="200" w:lineRule="exact"/>
        <w:rPr>
          <w:rFonts w:ascii="Lato" w:eastAsia="Times New Roman" w:hAnsi="Lato"/>
          <w:color w:val="000000" w:themeColor="text1"/>
          <w:sz w:val="24"/>
          <w:szCs w:val="24"/>
        </w:rPr>
      </w:pPr>
    </w:p>
    <w:p w14:paraId="2E783318" w14:textId="77777777" w:rsidR="00000000" w:rsidRPr="0060384B" w:rsidRDefault="00CA5F6F">
      <w:pPr>
        <w:spacing w:line="200" w:lineRule="exact"/>
        <w:rPr>
          <w:rFonts w:ascii="Lato" w:eastAsia="Times New Roman" w:hAnsi="Lato"/>
          <w:color w:val="000000" w:themeColor="text1"/>
          <w:sz w:val="24"/>
          <w:szCs w:val="24"/>
        </w:rPr>
      </w:pPr>
    </w:p>
    <w:p w14:paraId="544CF9C8" w14:textId="77777777" w:rsidR="00000000" w:rsidRPr="0060384B" w:rsidRDefault="00CA5F6F">
      <w:pPr>
        <w:spacing w:line="200" w:lineRule="exact"/>
        <w:rPr>
          <w:rFonts w:ascii="Lato" w:eastAsia="Times New Roman" w:hAnsi="Lato"/>
          <w:color w:val="000000" w:themeColor="text1"/>
          <w:sz w:val="24"/>
          <w:szCs w:val="24"/>
        </w:rPr>
      </w:pPr>
    </w:p>
    <w:p w14:paraId="2817543C" w14:textId="77777777" w:rsidR="00000000" w:rsidRPr="0060384B" w:rsidRDefault="00CA5F6F">
      <w:pPr>
        <w:spacing w:line="200" w:lineRule="exact"/>
        <w:rPr>
          <w:rFonts w:ascii="Lato" w:eastAsia="Times New Roman" w:hAnsi="Lato"/>
          <w:color w:val="000000" w:themeColor="text1"/>
          <w:sz w:val="24"/>
          <w:szCs w:val="24"/>
        </w:rPr>
      </w:pPr>
    </w:p>
    <w:p w14:paraId="22074ED3" w14:textId="77777777" w:rsidR="00000000" w:rsidRPr="0060384B" w:rsidRDefault="00CA5F6F">
      <w:pPr>
        <w:spacing w:line="200" w:lineRule="exact"/>
        <w:rPr>
          <w:rFonts w:ascii="Lato" w:eastAsia="Times New Roman" w:hAnsi="Lato"/>
          <w:color w:val="000000" w:themeColor="text1"/>
          <w:sz w:val="24"/>
          <w:szCs w:val="24"/>
        </w:rPr>
      </w:pPr>
    </w:p>
    <w:p w14:paraId="0D67C401" w14:textId="77777777" w:rsidR="00000000" w:rsidRPr="0060384B" w:rsidRDefault="00CA5F6F">
      <w:pPr>
        <w:spacing w:line="200" w:lineRule="exact"/>
        <w:rPr>
          <w:rFonts w:ascii="Lato" w:eastAsia="Times New Roman" w:hAnsi="Lato"/>
          <w:color w:val="000000" w:themeColor="text1"/>
          <w:sz w:val="24"/>
          <w:szCs w:val="24"/>
        </w:rPr>
      </w:pPr>
    </w:p>
    <w:p w14:paraId="60D71B8D" w14:textId="77777777" w:rsidR="00000000" w:rsidRPr="0060384B" w:rsidRDefault="00CA5F6F">
      <w:pPr>
        <w:spacing w:line="200" w:lineRule="exact"/>
        <w:rPr>
          <w:rFonts w:ascii="Lato" w:eastAsia="Times New Roman" w:hAnsi="Lato"/>
          <w:color w:val="000000" w:themeColor="text1"/>
          <w:sz w:val="24"/>
          <w:szCs w:val="24"/>
        </w:rPr>
      </w:pPr>
    </w:p>
    <w:p w14:paraId="3748CB1D" w14:textId="77777777" w:rsidR="00000000" w:rsidRPr="0060384B" w:rsidRDefault="00CA5F6F">
      <w:pPr>
        <w:spacing w:line="200" w:lineRule="exact"/>
        <w:rPr>
          <w:rFonts w:ascii="Lato" w:eastAsia="Times New Roman" w:hAnsi="Lato"/>
          <w:color w:val="000000" w:themeColor="text1"/>
          <w:sz w:val="24"/>
          <w:szCs w:val="24"/>
        </w:rPr>
      </w:pPr>
    </w:p>
    <w:p w14:paraId="7EA4D7AC" w14:textId="77777777" w:rsidR="00000000" w:rsidRPr="0060384B" w:rsidRDefault="00CA5F6F">
      <w:pPr>
        <w:spacing w:line="200" w:lineRule="exact"/>
        <w:rPr>
          <w:rFonts w:ascii="Lato" w:eastAsia="Times New Roman" w:hAnsi="Lato"/>
          <w:color w:val="000000" w:themeColor="text1"/>
          <w:sz w:val="24"/>
          <w:szCs w:val="24"/>
        </w:rPr>
      </w:pPr>
    </w:p>
    <w:p w14:paraId="14F2CDE9" w14:textId="77777777" w:rsidR="00000000" w:rsidRPr="0060384B" w:rsidRDefault="00CA5F6F">
      <w:pPr>
        <w:spacing w:line="200" w:lineRule="exact"/>
        <w:rPr>
          <w:rFonts w:ascii="Lato" w:eastAsia="Times New Roman" w:hAnsi="Lato"/>
          <w:color w:val="000000" w:themeColor="text1"/>
          <w:sz w:val="24"/>
          <w:szCs w:val="24"/>
        </w:rPr>
      </w:pPr>
    </w:p>
    <w:p w14:paraId="41D210D4" w14:textId="77777777" w:rsidR="00000000" w:rsidRPr="0060384B" w:rsidRDefault="00CA5F6F">
      <w:pPr>
        <w:spacing w:line="272"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2EDA962D" w14:textId="77777777">
        <w:trPr>
          <w:trHeight w:val="245"/>
        </w:trPr>
        <w:tc>
          <w:tcPr>
            <w:tcW w:w="6540" w:type="dxa"/>
            <w:shd w:val="clear" w:color="auto" w:fill="auto"/>
            <w:vAlign w:val="bottom"/>
          </w:tcPr>
          <w:p w14:paraId="32DC5CCC"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4AE0D866"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31</w:t>
            </w:r>
          </w:p>
        </w:tc>
      </w:tr>
      <w:tr w:rsidR="00000000" w:rsidRPr="0060384B" w14:paraId="206C6D4D" w14:textId="77777777">
        <w:trPr>
          <w:trHeight w:val="258"/>
        </w:trPr>
        <w:tc>
          <w:tcPr>
            <w:tcW w:w="6540" w:type="dxa"/>
            <w:shd w:val="clear" w:color="auto" w:fill="auto"/>
            <w:vAlign w:val="bottom"/>
          </w:tcPr>
          <w:p w14:paraId="12BFFD04"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w:t>
            </w:r>
            <w:r w:rsidRPr="0060384B">
              <w:rPr>
                <w:rFonts w:ascii="Lato" w:hAnsi="Lato"/>
                <w:color w:val="000000" w:themeColor="text1"/>
                <w:sz w:val="24"/>
                <w:szCs w:val="24"/>
              </w:rPr>
              <w:t>et Proposal for Fiscal Year 2021</w:t>
            </w:r>
          </w:p>
        </w:tc>
        <w:tc>
          <w:tcPr>
            <w:tcW w:w="2820" w:type="dxa"/>
            <w:shd w:val="clear" w:color="auto" w:fill="auto"/>
            <w:vAlign w:val="bottom"/>
          </w:tcPr>
          <w:p w14:paraId="6A5A2C90" w14:textId="77777777" w:rsidR="00000000" w:rsidRPr="0060384B" w:rsidRDefault="00CA5F6F">
            <w:pPr>
              <w:spacing w:line="0" w:lineRule="atLeast"/>
              <w:rPr>
                <w:rFonts w:ascii="Lato" w:eastAsia="Times New Roman" w:hAnsi="Lato"/>
                <w:color w:val="000000" w:themeColor="text1"/>
                <w:sz w:val="24"/>
                <w:szCs w:val="24"/>
              </w:rPr>
            </w:pPr>
          </w:p>
        </w:tc>
      </w:tr>
    </w:tbl>
    <w:p w14:paraId="7AA9E668"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0" w:right="1440" w:bottom="0" w:left="1440" w:header="0" w:footer="0" w:gutter="0"/>
          <w:cols w:space="0" w:equalWidth="0">
            <w:col w:w="9360"/>
          </w:cols>
          <w:docGrid w:linePitch="360"/>
        </w:sectPr>
      </w:pPr>
    </w:p>
    <w:p w14:paraId="62F90FE7" w14:textId="77777777" w:rsidR="00000000" w:rsidRPr="0060384B" w:rsidRDefault="00CA5F6F">
      <w:pPr>
        <w:spacing w:line="271" w:lineRule="auto"/>
        <w:rPr>
          <w:rFonts w:ascii="Lato" w:hAnsi="Lato"/>
          <w:b/>
          <w:color w:val="000000" w:themeColor="text1"/>
          <w:sz w:val="24"/>
          <w:szCs w:val="24"/>
        </w:rPr>
      </w:pPr>
      <w:bookmarkStart w:id="34" w:name="page35"/>
      <w:bookmarkEnd w:id="34"/>
      <w:r w:rsidRPr="0060384B">
        <w:rPr>
          <w:rFonts w:ascii="Lato" w:hAnsi="Lato"/>
          <w:b/>
          <w:color w:val="000000" w:themeColor="text1"/>
          <w:sz w:val="24"/>
          <w:szCs w:val="24"/>
        </w:rPr>
        <w:lastRenderedPageBreak/>
        <w:t>DELVING INTO DISEASE MECHANISMS AT THE MOLECULAR, CELLULAR, AND TISSUE LEVEL</w:t>
      </w:r>
    </w:p>
    <w:p w14:paraId="07E3EEF5" w14:textId="77777777" w:rsidR="00000000" w:rsidRPr="0060384B" w:rsidRDefault="00CA5F6F">
      <w:pPr>
        <w:spacing w:line="187" w:lineRule="exact"/>
        <w:rPr>
          <w:rFonts w:ascii="Lato" w:eastAsia="Times New Roman" w:hAnsi="Lato"/>
          <w:color w:val="000000" w:themeColor="text1"/>
          <w:sz w:val="24"/>
          <w:szCs w:val="24"/>
        </w:rPr>
      </w:pPr>
    </w:p>
    <w:p w14:paraId="4E52DEE8" w14:textId="77777777" w:rsidR="00000000" w:rsidRPr="0060384B" w:rsidRDefault="00CA5F6F">
      <w:pPr>
        <w:spacing w:line="242" w:lineRule="auto"/>
        <w:ind w:right="5220"/>
        <w:rPr>
          <w:rFonts w:ascii="Lato" w:hAnsi="Lato"/>
          <w:color w:val="000000" w:themeColor="text1"/>
          <w:sz w:val="24"/>
          <w:szCs w:val="24"/>
        </w:rPr>
      </w:pPr>
      <w:r w:rsidRPr="0060384B">
        <w:rPr>
          <w:rFonts w:ascii="Lato" w:hAnsi="Lato"/>
          <w:color w:val="000000" w:themeColor="text1"/>
          <w:sz w:val="24"/>
          <w:szCs w:val="24"/>
        </w:rPr>
        <w:t>Population studies point to an array of factors that may increase or decrease risk for dementia. From reports based on measures of a few dozen</w:t>
      </w:r>
      <w:r w:rsidRPr="0060384B">
        <w:rPr>
          <w:rFonts w:ascii="Lato" w:hAnsi="Lato"/>
          <w:color w:val="000000" w:themeColor="text1"/>
          <w:sz w:val="24"/>
          <w:szCs w:val="24"/>
        </w:rPr>
        <w:t xml:space="preserve"> individuals to DNA and clinical </w:t>
      </w:r>
      <w:r w:rsidRPr="0060384B">
        <w:rPr>
          <w:rFonts w:ascii="Lato" w:hAnsi="Lato"/>
          <w:color w:val="000000" w:themeColor="text1"/>
          <w:sz w:val="24"/>
          <w:szCs w:val="24"/>
        </w:rPr>
        <w:t>“big data</w:t>
      </w:r>
      <w:r w:rsidRPr="0060384B">
        <w:rPr>
          <w:rFonts w:ascii="Lato" w:hAnsi="Lato"/>
          <w:color w:val="000000" w:themeColor="text1"/>
          <w:sz w:val="24"/>
          <w:szCs w:val="24"/>
        </w:rPr>
        <w:t>” amassed from tens of thousands of people, we now have many clues about genetic and environmental influences on Alzheimer</w:t>
      </w:r>
      <w:r w:rsidRPr="0060384B">
        <w:rPr>
          <w:rFonts w:ascii="Lato" w:hAnsi="Lato"/>
          <w:color w:val="000000" w:themeColor="text1"/>
          <w:sz w:val="24"/>
          <w:szCs w:val="24"/>
        </w:rPr>
        <w:t>’s and related dementias.</w:t>
      </w:r>
    </w:p>
    <w:p w14:paraId="5C3E4312" w14:textId="1893FFC4" w:rsidR="00000000" w:rsidRPr="0060384B" w:rsidRDefault="00FB45BD">
      <w:pPr>
        <w:spacing w:line="20" w:lineRule="exact"/>
        <w:rPr>
          <w:rFonts w:ascii="Lato" w:eastAsia="Times New Roman" w:hAnsi="Lato"/>
          <w:color w:val="000000" w:themeColor="text1"/>
          <w:sz w:val="24"/>
          <w:szCs w:val="24"/>
        </w:rPr>
      </w:pPr>
      <w:r w:rsidRPr="0060384B">
        <w:rPr>
          <w:rFonts w:ascii="Lato" w:hAnsi="Lato"/>
          <w:noProof/>
          <w:color w:val="000000" w:themeColor="text1"/>
          <w:sz w:val="24"/>
          <w:szCs w:val="24"/>
        </w:rPr>
        <w:drawing>
          <wp:anchor distT="0" distB="0" distL="114300" distR="114300" simplePos="0" relativeHeight="251657728" behindDoc="1" locked="0" layoutInCell="1" allowOverlap="1" wp14:anchorId="55937394" wp14:editId="4F15F63A">
            <wp:simplePos x="0" y="0"/>
            <wp:positionH relativeFrom="column">
              <wp:posOffset>2814955</wp:posOffset>
            </wp:positionH>
            <wp:positionV relativeFrom="paragraph">
              <wp:posOffset>-1673225</wp:posOffset>
            </wp:positionV>
            <wp:extent cx="3128645" cy="20859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28645" cy="2085975"/>
                    </a:xfrm>
                    <a:prstGeom prst="rect">
                      <a:avLst/>
                    </a:prstGeom>
                    <a:noFill/>
                  </pic:spPr>
                </pic:pic>
              </a:graphicData>
            </a:graphic>
            <wp14:sizeRelH relativeFrom="page">
              <wp14:pctWidth>0</wp14:pctWidth>
            </wp14:sizeRelH>
            <wp14:sizeRelV relativeFrom="page">
              <wp14:pctHeight>0</wp14:pctHeight>
            </wp14:sizeRelV>
          </wp:anchor>
        </w:drawing>
      </w:r>
    </w:p>
    <w:p w14:paraId="5B9FECBE" w14:textId="77777777" w:rsidR="00000000" w:rsidRPr="0060384B" w:rsidRDefault="00CA5F6F">
      <w:pPr>
        <w:spacing w:line="237" w:lineRule="exact"/>
        <w:rPr>
          <w:rFonts w:ascii="Lato" w:eastAsia="Times New Roman" w:hAnsi="Lato"/>
          <w:color w:val="000000" w:themeColor="text1"/>
          <w:sz w:val="24"/>
          <w:szCs w:val="24"/>
        </w:rPr>
      </w:pPr>
    </w:p>
    <w:p w14:paraId="214A21BF" w14:textId="77777777" w:rsidR="00000000" w:rsidRPr="0060384B" w:rsidRDefault="00CA5F6F">
      <w:pPr>
        <w:spacing w:line="0" w:lineRule="atLeast"/>
        <w:ind w:right="5320"/>
        <w:rPr>
          <w:rFonts w:ascii="Lato" w:hAnsi="Lato"/>
          <w:color w:val="000000" w:themeColor="text1"/>
          <w:sz w:val="24"/>
          <w:szCs w:val="24"/>
        </w:rPr>
      </w:pPr>
      <w:r w:rsidRPr="0060384B">
        <w:rPr>
          <w:rFonts w:ascii="Lato" w:hAnsi="Lato"/>
          <w:color w:val="000000" w:themeColor="text1"/>
          <w:sz w:val="24"/>
          <w:szCs w:val="24"/>
        </w:rPr>
        <w:t xml:space="preserve">But </w:t>
      </w:r>
      <w:r w:rsidRPr="0060384B">
        <w:rPr>
          <w:rFonts w:ascii="Lato" w:hAnsi="Lato"/>
          <w:color w:val="000000" w:themeColor="text1"/>
          <w:sz w:val="24"/>
          <w:szCs w:val="24"/>
        </w:rPr>
        <w:t>how</w:t>
      </w:r>
      <w:r w:rsidRPr="0060384B">
        <w:rPr>
          <w:rFonts w:ascii="Lato" w:hAnsi="Lato"/>
          <w:color w:val="000000" w:themeColor="text1"/>
          <w:sz w:val="24"/>
          <w:szCs w:val="24"/>
        </w:rPr>
        <w:t xml:space="preserve"> do these factors affect us? What happens at the molecul</w:t>
      </w:r>
      <w:r w:rsidRPr="0060384B">
        <w:rPr>
          <w:rFonts w:ascii="Lato" w:hAnsi="Lato"/>
          <w:color w:val="000000" w:themeColor="text1"/>
          <w:sz w:val="24"/>
          <w:szCs w:val="24"/>
        </w:rPr>
        <w:t>ar, cellular, and</w:t>
      </w:r>
    </w:p>
    <w:p w14:paraId="33FD655E" w14:textId="77777777" w:rsidR="00000000" w:rsidRPr="0060384B" w:rsidRDefault="00CA5F6F">
      <w:pPr>
        <w:spacing w:line="2" w:lineRule="exact"/>
        <w:rPr>
          <w:rFonts w:ascii="Lato" w:eastAsia="Times New Roman" w:hAnsi="Lato"/>
          <w:color w:val="000000" w:themeColor="text1"/>
          <w:sz w:val="24"/>
          <w:szCs w:val="24"/>
        </w:rPr>
      </w:pPr>
    </w:p>
    <w:p w14:paraId="1B269DD8" w14:textId="77777777" w:rsidR="00000000" w:rsidRPr="0060384B" w:rsidRDefault="00CA5F6F">
      <w:pPr>
        <w:spacing w:line="284" w:lineRule="auto"/>
        <w:ind w:right="740"/>
        <w:rPr>
          <w:rFonts w:ascii="Lato" w:hAnsi="Lato"/>
          <w:color w:val="000000" w:themeColor="text1"/>
          <w:sz w:val="24"/>
          <w:szCs w:val="24"/>
        </w:rPr>
      </w:pPr>
      <w:r w:rsidRPr="0060384B">
        <w:rPr>
          <w:rFonts w:ascii="Lato" w:hAnsi="Lato"/>
          <w:color w:val="000000" w:themeColor="text1"/>
          <w:sz w:val="24"/>
          <w:szCs w:val="24"/>
        </w:rPr>
        <w:t>tissue levels in our bodies and brains that turns healthy cognition into the devastation of Alzheimer</w:t>
      </w:r>
      <w:r w:rsidRPr="0060384B">
        <w:rPr>
          <w:rFonts w:ascii="Lato" w:hAnsi="Lato"/>
          <w:color w:val="000000" w:themeColor="text1"/>
          <w:sz w:val="24"/>
          <w:szCs w:val="24"/>
        </w:rPr>
        <w:t>’s and related dementias? How, where, and when do these changes happen?</w:t>
      </w:r>
    </w:p>
    <w:p w14:paraId="33822104" w14:textId="77777777" w:rsidR="00000000" w:rsidRPr="0060384B" w:rsidRDefault="00CA5F6F">
      <w:pPr>
        <w:spacing w:line="200" w:lineRule="exact"/>
        <w:rPr>
          <w:rFonts w:ascii="Lato" w:eastAsia="Times New Roman" w:hAnsi="Lato"/>
          <w:color w:val="000000" w:themeColor="text1"/>
          <w:sz w:val="24"/>
          <w:szCs w:val="24"/>
        </w:rPr>
      </w:pPr>
    </w:p>
    <w:p w14:paraId="22395D1D" w14:textId="77777777" w:rsidR="00000000" w:rsidRPr="0060384B" w:rsidRDefault="00CA5F6F">
      <w:pPr>
        <w:spacing w:line="245" w:lineRule="auto"/>
        <w:ind w:right="60"/>
        <w:rPr>
          <w:rFonts w:ascii="Lato" w:hAnsi="Lato"/>
          <w:color w:val="000000" w:themeColor="text1"/>
          <w:sz w:val="24"/>
          <w:szCs w:val="24"/>
        </w:rPr>
      </w:pPr>
      <w:r w:rsidRPr="0060384B">
        <w:rPr>
          <w:rFonts w:ascii="Lato" w:hAnsi="Lato"/>
          <w:color w:val="000000" w:themeColor="text1"/>
          <w:sz w:val="24"/>
          <w:szCs w:val="24"/>
        </w:rPr>
        <w:t xml:space="preserve">For answers, we turn to basic biological studies. The National </w:t>
      </w:r>
      <w:r w:rsidRPr="0060384B">
        <w:rPr>
          <w:rFonts w:ascii="Lato" w:hAnsi="Lato"/>
          <w:color w:val="000000" w:themeColor="text1"/>
          <w:sz w:val="24"/>
          <w:szCs w:val="24"/>
        </w:rPr>
        <w:t>Institutes of Health (NIH) has long recognized that basic research into the mechanisms of dementia must continue to explore as many avenues as possible. Breakthroughs in our understanding of the biology of dementia are critical to describing specific proce</w:t>
      </w:r>
      <w:r w:rsidRPr="0060384B">
        <w:rPr>
          <w:rFonts w:ascii="Lato" w:hAnsi="Lato"/>
          <w:color w:val="000000" w:themeColor="text1"/>
          <w:sz w:val="24"/>
          <w:szCs w:val="24"/>
        </w:rPr>
        <w:t>sses that might be interrupted or encouraged as promising targets for possible new therapies.</w:t>
      </w:r>
    </w:p>
    <w:p w14:paraId="0DB5E007" w14:textId="77777777" w:rsidR="00000000" w:rsidRPr="0060384B" w:rsidRDefault="00CA5F6F">
      <w:pPr>
        <w:spacing w:line="249" w:lineRule="exact"/>
        <w:rPr>
          <w:rFonts w:ascii="Lato" w:eastAsia="Times New Roman" w:hAnsi="Lato"/>
          <w:color w:val="000000" w:themeColor="text1"/>
          <w:sz w:val="24"/>
          <w:szCs w:val="24"/>
        </w:rPr>
      </w:pPr>
    </w:p>
    <w:p w14:paraId="156032C1" w14:textId="77777777" w:rsidR="00000000" w:rsidRPr="0060384B" w:rsidRDefault="00CA5F6F">
      <w:pPr>
        <w:spacing w:line="242" w:lineRule="auto"/>
        <w:ind w:right="100"/>
        <w:rPr>
          <w:rFonts w:ascii="Lato" w:hAnsi="Lato"/>
          <w:color w:val="000000" w:themeColor="text1"/>
          <w:sz w:val="24"/>
          <w:szCs w:val="24"/>
        </w:rPr>
      </w:pPr>
      <w:r w:rsidRPr="0060384B">
        <w:rPr>
          <w:rFonts w:ascii="Lato" w:hAnsi="Lato"/>
          <w:color w:val="000000" w:themeColor="text1"/>
          <w:sz w:val="24"/>
          <w:szCs w:val="24"/>
        </w:rPr>
        <w:t>NIH has important progress to report in this area of Alzheimer</w:t>
      </w:r>
      <w:r w:rsidRPr="0060384B">
        <w:rPr>
          <w:rFonts w:ascii="Lato" w:hAnsi="Lato"/>
          <w:color w:val="000000" w:themeColor="text1"/>
          <w:sz w:val="24"/>
          <w:szCs w:val="24"/>
        </w:rPr>
        <w:t>’s and related dementias research. Recent findings, some highlighted here, provide new insights abo</w:t>
      </w:r>
      <w:r w:rsidRPr="0060384B">
        <w:rPr>
          <w:rFonts w:ascii="Lato" w:hAnsi="Lato"/>
          <w:color w:val="000000" w:themeColor="text1"/>
          <w:sz w:val="24"/>
          <w:szCs w:val="24"/>
        </w:rPr>
        <w:t>ut genetics, as scientists elucidate how various forms of the ApoE gene affect the brain, how peripheral systems involving the microbiome and cardiovascular disease may affect Alzheimer</w:t>
      </w:r>
      <w:r w:rsidRPr="0060384B">
        <w:rPr>
          <w:rFonts w:ascii="Lato" w:hAnsi="Lato"/>
          <w:color w:val="000000" w:themeColor="text1"/>
          <w:sz w:val="24"/>
          <w:szCs w:val="24"/>
        </w:rPr>
        <w:t>’s and related dementias risk, how sleep impacts normal and degenerativ</w:t>
      </w:r>
      <w:r w:rsidRPr="0060384B">
        <w:rPr>
          <w:rFonts w:ascii="Lato" w:hAnsi="Lato"/>
          <w:color w:val="000000" w:themeColor="text1"/>
          <w:sz w:val="24"/>
          <w:szCs w:val="24"/>
        </w:rPr>
        <w:t>e brain function, and how resilience and aging affect biological processes related to dementia. The findings reported here reflect just a few of the completed studies, as well as initiatives and new investments in research now underway, to elucidate the me</w:t>
      </w:r>
      <w:r w:rsidRPr="0060384B">
        <w:rPr>
          <w:rFonts w:ascii="Lato" w:hAnsi="Lato"/>
          <w:color w:val="000000" w:themeColor="text1"/>
          <w:sz w:val="24"/>
          <w:szCs w:val="24"/>
        </w:rPr>
        <w:t>chanisms of dementia and neurodegenerative disease to reveal new, promising targets for intervention.</w:t>
      </w:r>
    </w:p>
    <w:p w14:paraId="2687D129" w14:textId="77777777" w:rsidR="00000000" w:rsidRPr="0060384B" w:rsidRDefault="00CA5F6F">
      <w:pPr>
        <w:spacing w:line="253" w:lineRule="exact"/>
        <w:rPr>
          <w:rFonts w:ascii="Lato" w:eastAsia="Times New Roman" w:hAnsi="Lato"/>
          <w:color w:val="000000" w:themeColor="text1"/>
          <w:sz w:val="24"/>
          <w:szCs w:val="24"/>
        </w:rPr>
      </w:pPr>
    </w:p>
    <w:p w14:paraId="436FCA77"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Linking Risk Factors to Biological Mechanisms</w:t>
      </w:r>
    </w:p>
    <w:p w14:paraId="32B71664" w14:textId="77777777" w:rsidR="00000000" w:rsidRPr="0060384B" w:rsidRDefault="00CA5F6F">
      <w:pPr>
        <w:spacing w:line="287" w:lineRule="exact"/>
        <w:rPr>
          <w:rFonts w:ascii="Lato" w:eastAsia="Times New Roman" w:hAnsi="Lato"/>
          <w:color w:val="000000" w:themeColor="text1"/>
          <w:sz w:val="24"/>
          <w:szCs w:val="24"/>
        </w:rPr>
      </w:pPr>
    </w:p>
    <w:p w14:paraId="34E2C808" w14:textId="77777777" w:rsidR="00000000" w:rsidRPr="0060384B" w:rsidRDefault="00CA5F6F">
      <w:pPr>
        <w:spacing w:line="251" w:lineRule="auto"/>
        <w:ind w:right="460"/>
        <w:rPr>
          <w:rFonts w:ascii="Lato" w:hAnsi="Lato"/>
          <w:color w:val="000000" w:themeColor="text1"/>
          <w:sz w:val="24"/>
          <w:szCs w:val="24"/>
        </w:rPr>
      </w:pPr>
      <w:r w:rsidRPr="0060384B">
        <w:rPr>
          <w:rFonts w:ascii="Lato" w:hAnsi="Lato"/>
          <w:color w:val="000000" w:themeColor="text1"/>
          <w:sz w:val="24"/>
          <w:szCs w:val="24"/>
        </w:rPr>
        <w:t>Efforts to discover the biological underpinnings of behavioral and neuropsychiatric factors involved in de</w:t>
      </w:r>
      <w:r w:rsidRPr="0060384B">
        <w:rPr>
          <w:rFonts w:ascii="Lato" w:hAnsi="Lato"/>
          <w:color w:val="000000" w:themeColor="text1"/>
          <w:sz w:val="24"/>
          <w:szCs w:val="24"/>
        </w:rPr>
        <w:t>mentia are illustrative. Recent scientific reports explore personality and post-traumatic stress disorder (PTSD):</w:t>
      </w:r>
    </w:p>
    <w:p w14:paraId="7B209C3E" w14:textId="77777777" w:rsidR="00000000" w:rsidRPr="0060384B" w:rsidRDefault="00CA5F6F">
      <w:pPr>
        <w:spacing w:line="237" w:lineRule="exact"/>
        <w:rPr>
          <w:rFonts w:ascii="Lato" w:eastAsia="Times New Roman" w:hAnsi="Lato"/>
          <w:color w:val="000000" w:themeColor="text1"/>
          <w:sz w:val="24"/>
          <w:szCs w:val="24"/>
        </w:rPr>
      </w:pPr>
    </w:p>
    <w:p w14:paraId="2D16DF59" w14:textId="77777777" w:rsidR="00000000" w:rsidRPr="0060384B" w:rsidRDefault="00CA5F6F">
      <w:pPr>
        <w:spacing w:line="246" w:lineRule="auto"/>
        <w:ind w:right="120"/>
        <w:rPr>
          <w:rFonts w:ascii="Lato" w:hAnsi="Lato"/>
          <w:color w:val="000000" w:themeColor="text1"/>
          <w:sz w:val="24"/>
          <w:szCs w:val="24"/>
        </w:rPr>
      </w:pPr>
      <w:r w:rsidRPr="0060384B">
        <w:rPr>
          <w:rFonts w:ascii="Lato" w:hAnsi="Lato"/>
          <w:b/>
          <w:color w:val="000000" w:themeColor="text1"/>
          <w:sz w:val="24"/>
          <w:szCs w:val="24"/>
        </w:rPr>
        <w:t>Personality as a risk factor for Alzheimer</w:t>
      </w:r>
      <w:r w:rsidRPr="0060384B">
        <w:rPr>
          <w:rFonts w:ascii="Lato" w:hAnsi="Lato"/>
          <w:b/>
          <w:color w:val="000000" w:themeColor="text1"/>
          <w:sz w:val="24"/>
          <w:szCs w:val="24"/>
        </w:rPr>
        <w:t xml:space="preserve">’s. </w:t>
      </w:r>
      <w:r w:rsidRPr="0060384B">
        <w:rPr>
          <w:rFonts w:ascii="Lato" w:hAnsi="Lato"/>
          <w:color w:val="000000" w:themeColor="text1"/>
          <w:sz w:val="24"/>
          <w:szCs w:val="24"/>
        </w:rPr>
        <w:t>Changes in personality and behavior are clinical</w:t>
      </w:r>
      <w:r w:rsidRPr="0060384B">
        <w:rPr>
          <w:rFonts w:ascii="Lato" w:hAnsi="Lato"/>
          <w:b/>
          <w:color w:val="000000" w:themeColor="text1"/>
          <w:sz w:val="24"/>
          <w:szCs w:val="24"/>
        </w:rPr>
        <w:t xml:space="preserve"> </w:t>
      </w:r>
      <w:r w:rsidRPr="0060384B">
        <w:rPr>
          <w:rFonts w:ascii="Lato" w:hAnsi="Lato"/>
          <w:color w:val="000000" w:themeColor="text1"/>
          <w:sz w:val="24"/>
          <w:szCs w:val="24"/>
        </w:rPr>
        <w:t xml:space="preserve">criteria for diagnosis of dementia. Little is </w:t>
      </w:r>
      <w:r w:rsidRPr="0060384B">
        <w:rPr>
          <w:rFonts w:ascii="Lato" w:hAnsi="Lato"/>
          <w:color w:val="000000" w:themeColor="text1"/>
          <w:sz w:val="24"/>
          <w:szCs w:val="24"/>
        </w:rPr>
        <w:t xml:space="preserve">known, however, about whether changes in personality are a response to increasing neuropathology in the brain in the preclinical phase or whether personality is an independent risk factor. NIH-funded scientists </w:t>
      </w:r>
      <w:hyperlink r:id="rId112" w:history="1">
        <w:r w:rsidRPr="0060384B">
          <w:rPr>
            <w:rFonts w:ascii="Lato" w:hAnsi="Lato"/>
            <w:color w:val="000000" w:themeColor="text1"/>
            <w:sz w:val="24"/>
            <w:szCs w:val="24"/>
          </w:rPr>
          <w:t>(</w:t>
        </w:r>
        <w:r w:rsidRPr="0060384B">
          <w:rPr>
            <w:rFonts w:ascii="Lato" w:hAnsi="Lato"/>
            <w:color w:val="000000" w:themeColor="text1"/>
            <w:sz w:val="24"/>
            <w:szCs w:val="24"/>
          </w:rPr>
          <w:t>Terracciano et al.,</w:t>
        </w:r>
      </w:hyperlink>
      <w:r w:rsidRPr="0060384B">
        <w:rPr>
          <w:rFonts w:ascii="Lato" w:hAnsi="Lato"/>
          <w:color w:val="000000" w:themeColor="text1"/>
          <w:sz w:val="24"/>
          <w:szCs w:val="24"/>
        </w:rPr>
        <w:t xml:space="preserve"> </w:t>
      </w:r>
      <w:hyperlink r:id="rId113" w:history="1">
        <w:r w:rsidRPr="0060384B">
          <w:rPr>
            <w:rFonts w:ascii="Lato" w:hAnsi="Lato"/>
            <w:color w:val="000000" w:themeColor="text1"/>
            <w:sz w:val="24"/>
            <w:szCs w:val="24"/>
          </w:rPr>
          <w:t>2017</w:t>
        </w:r>
      </w:hyperlink>
      <w:r w:rsidRPr="0060384B">
        <w:rPr>
          <w:rFonts w:ascii="Lato" w:hAnsi="Lato"/>
          <w:color w:val="000000" w:themeColor="text1"/>
          <w:sz w:val="24"/>
          <w:szCs w:val="24"/>
        </w:rPr>
        <w:t>)</w:t>
      </w:r>
      <w:r w:rsidRPr="0060384B">
        <w:rPr>
          <w:rFonts w:ascii="Lato" w:hAnsi="Lato"/>
          <w:color w:val="000000" w:themeColor="text1"/>
          <w:sz w:val="24"/>
          <w:szCs w:val="24"/>
        </w:rPr>
        <w:t xml:space="preserve"> </w:t>
      </w:r>
      <w:r w:rsidRPr="0060384B">
        <w:rPr>
          <w:rFonts w:ascii="Lato" w:hAnsi="Lato"/>
          <w:color w:val="000000" w:themeColor="text1"/>
          <w:sz w:val="24"/>
          <w:szCs w:val="24"/>
        </w:rPr>
        <w:t>looked at the personality and clinical assessments conducted between 1980 and 2016 in</w:t>
      </w:r>
    </w:p>
    <w:p w14:paraId="618337AA" w14:textId="77777777" w:rsidR="00000000" w:rsidRPr="0060384B" w:rsidRDefault="00CA5F6F">
      <w:pPr>
        <w:spacing w:line="246" w:lineRule="auto"/>
        <w:ind w:right="120"/>
        <w:rPr>
          <w:rFonts w:ascii="Lato" w:hAnsi="Lato"/>
          <w:color w:val="000000" w:themeColor="text1"/>
          <w:sz w:val="24"/>
          <w:szCs w:val="24"/>
        </w:rPr>
        <w:sectPr w:rsidR="00000000" w:rsidRPr="0060384B">
          <w:pgSz w:w="12240" w:h="15840"/>
          <w:pgMar w:top="1125" w:right="1440" w:bottom="0" w:left="1440" w:header="0" w:footer="0" w:gutter="0"/>
          <w:cols w:space="0" w:equalWidth="0">
            <w:col w:w="9360"/>
          </w:cols>
          <w:docGrid w:linePitch="360"/>
        </w:sectPr>
      </w:pPr>
    </w:p>
    <w:p w14:paraId="01FB68E7" w14:textId="77777777" w:rsidR="00000000" w:rsidRPr="0060384B" w:rsidRDefault="00CA5F6F">
      <w:pPr>
        <w:spacing w:line="200" w:lineRule="exact"/>
        <w:rPr>
          <w:rFonts w:ascii="Lato" w:eastAsia="Times New Roman" w:hAnsi="Lato"/>
          <w:color w:val="000000" w:themeColor="text1"/>
          <w:sz w:val="24"/>
          <w:szCs w:val="24"/>
        </w:rPr>
      </w:pPr>
    </w:p>
    <w:p w14:paraId="24F407DD" w14:textId="77777777" w:rsidR="00000000" w:rsidRPr="0060384B" w:rsidRDefault="00CA5F6F">
      <w:pPr>
        <w:spacing w:line="201"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6CB8CB6C" w14:textId="77777777">
        <w:trPr>
          <w:trHeight w:val="245"/>
        </w:trPr>
        <w:tc>
          <w:tcPr>
            <w:tcW w:w="6540" w:type="dxa"/>
            <w:shd w:val="clear" w:color="auto" w:fill="auto"/>
            <w:vAlign w:val="bottom"/>
          </w:tcPr>
          <w:p w14:paraId="40DE67A1"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2F3A5AC4"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32</w:t>
            </w:r>
          </w:p>
        </w:tc>
      </w:tr>
      <w:tr w:rsidR="00000000" w:rsidRPr="0060384B" w14:paraId="3BAF3540" w14:textId="77777777">
        <w:trPr>
          <w:trHeight w:val="258"/>
        </w:trPr>
        <w:tc>
          <w:tcPr>
            <w:tcW w:w="6540" w:type="dxa"/>
            <w:shd w:val="clear" w:color="auto" w:fill="auto"/>
            <w:vAlign w:val="bottom"/>
          </w:tcPr>
          <w:p w14:paraId="0860CD3F"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NIH Bypass Budget Proposal for Fiscal Y</w:t>
            </w:r>
            <w:r w:rsidRPr="0060384B">
              <w:rPr>
                <w:rFonts w:ascii="Lato" w:hAnsi="Lato"/>
                <w:color w:val="000000" w:themeColor="text1"/>
                <w:sz w:val="24"/>
                <w:szCs w:val="24"/>
              </w:rPr>
              <w:t>ear 2021</w:t>
            </w:r>
          </w:p>
        </w:tc>
        <w:tc>
          <w:tcPr>
            <w:tcW w:w="2820" w:type="dxa"/>
            <w:shd w:val="clear" w:color="auto" w:fill="auto"/>
            <w:vAlign w:val="bottom"/>
          </w:tcPr>
          <w:p w14:paraId="04AEA9A8" w14:textId="77777777" w:rsidR="00000000" w:rsidRPr="0060384B" w:rsidRDefault="00CA5F6F">
            <w:pPr>
              <w:spacing w:line="0" w:lineRule="atLeast"/>
              <w:rPr>
                <w:rFonts w:ascii="Lato" w:eastAsia="Times New Roman" w:hAnsi="Lato"/>
                <w:color w:val="000000" w:themeColor="text1"/>
                <w:sz w:val="24"/>
                <w:szCs w:val="24"/>
              </w:rPr>
            </w:pPr>
          </w:p>
        </w:tc>
      </w:tr>
    </w:tbl>
    <w:p w14:paraId="4B9A99F6"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25" w:right="1440" w:bottom="0" w:left="1440" w:header="0" w:footer="0" w:gutter="0"/>
          <w:cols w:space="0" w:equalWidth="0">
            <w:col w:w="9360"/>
          </w:cols>
          <w:docGrid w:linePitch="360"/>
        </w:sectPr>
      </w:pPr>
    </w:p>
    <w:p w14:paraId="051157AD" w14:textId="77777777" w:rsidR="00000000" w:rsidRPr="0060384B" w:rsidRDefault="00CA5F6F">
      <w:pPr>
        <w:spacing w:line="243" w:lineRule="auto"/>
        <w:ind w:right="20"/>
        <w:rPr>
          <w:rFonts w:ascii="Lato" w:hAnsi="Lato"/>
          <w:color w:val="000000" w:themeColor="text1"/>
          <w:sz w:val="24"/>
          <w:szCs w:val="24"/>
        </w:rPr>
      </w:pPr>
      <w:bookmarkStart w:id="35" w:name="page36"/>
      <w:bookmarkEnd w:id="35"/>
      <w:r w:rsidRPr="0060384B">
        <w:rPr>
          <w:rFonts w:ascii="Lato" w:hAnsi="Lato"/>
          <w:color w:val="000000" w:themeColor="text1"/>
          <w:sz w:val="24"/>
          <w:szCs w:val="24"/>
        </w:rPr>
        <w:lastRenderedPageBreak/>
        <w:t>over 2,000 community-dwelling older volunteers in the Baltimore Longitudinal Study of Aging. They found significant differences in several traits associated with impairment and dementia. People who developed dementia scored higher on neuroticis</w:t>
      </w:r>
      <w:r w:rsidRPr="0060384B">
        <w:rPr>
          <w:rFonts w:ascii="Lato" w:hAnsi="Lato"/>
          <w:color w:val="000000" w:themeColor="text1"/>
          <w:sz w:val="24"/>
          <w:szCs w:val="24"/>
        </w:rPr>
        <w:t xml:space="preserve">m and lower on conscientiousness, openness, and extraversion. However, </w:t>
      </w:r>
      <w:r w:rsidRPr="0060384B">
        <w:rPr>
          <w:rFonts w:ascii="Lato" w:hAnsi="Lato"/>
          <w:color w:val="000000" w:themeColor="text1"/>
          <w:sz w:val="24"/>
          <w:szCs w:val="24"/>
        </w:rPr>
        <w:t>change</w:t>
      </w:r>
      <w:r w:rsidRPr="0060384B">
        <w:rPr>
          <w:rFonts w:ascii="Lato" w:hAnsi="Lato"/>
          <w:color w:val="000000" w:themeColor="text1"/>
          <w:sz w:val="24"/>
          <w:szCs w:val="24"/>
        </w:rPr>
        <w:t xml:space="preserve"> in personality was not significantly different when nonimpaired participants were compared with those with Alzheimer</w:t>
      </w:r>
      <w:r w:rsidRPr="0060384B">
        <w:rPr>
          <w:rFonts w:ascii="Lato" w:hAnsi="Lato"/>
          <w:color w:val="000000" w:themeColor="text1"/>
          <w:sz w:val="24"/>
          <w:szCs w:val="24"/>
        </w:rPr>
        <w:t>’s disease or mild cognitive impairment. The researchers concl</w:t>
      </w:r>
      <w:r w:rsidRPr="0060384B">
        <w:rPr>
          <w:rFonts w:ascii="Lato" w:hAnsi="Lato"/>
          <w:color w:val="000000" w:themeColor="text1"/>
          <w:sz w:val="24"/>
          <w:szCs w:val="24"/>
        </w:rPr>
        <w:t>uded that personality traits like higher neuroticism and lower conscientiousness and extraversion may be independent risk factors for development of dementia.</w:t>
      </w:r>
    </w:p>
    <w:p w14:paraId="055D2B25" w14:textId="77777777" w:rsidR="00000000" w:rsidRPr="0060384B" w:rsidRDefault="00CA5F6F">
      <w:pPr>
        <w:spacing w:line="247" w:lineRule="exact"/>
        <w:rPr>
          <w:rFonts w:ascii="Lato" w:eastAsia="Times New Roman" w:hAnsi="Lato"/>
          <w:color w:val="000000" w:themeColor="text1"/>
          <w:sz w:val="24"/>
          <w:szCs w:val="24"/>
        </w:rPr>
      </w:pPr>
    </w:p>
    <w:p w14:paraId="624CCCC2" w14:textId="77777777" w:rsidR="00000000" w:rsidRPr="0060384B" w:rsidRDefault="00CA5F6F">
      <w:pPr>
        <w:spacing w:line="242" w:lineRule="auto"/>
        <w:rPr>
          <w:rFonts w:ascii="Lato" w:hAnsi="Lato"/>
          <w:color w:val="000000" w:themeColor="text1"/>
          <w:sz w:val="24"/>
          <w:szCs w:val="24"/>
        </w:rPr>
      </w:pPr>
      <w:r w:rsidRPr="0060384B">
        <w:rPr>
          <w:rFonts w:ascii="Lato" w:hAnsi="Lato"/>
          <w:b/>
          <w:color w:val="000000" w:themeColor="text1"/>
          <w:sz w:val="24"/>
          <w:szCs w:val="24"/>
        </w:rPr>
        <w:t xml:space="preserve">PTSD as a risk factor for dementia in civilians. </w:t>
      </w:r>
      <w:r w:rsidRPr="0060384B">
        <w:rPr>
          <w:rFonts w:ascii="Lato" w:hAnsi="Lato"/>
          <w:color w:val="000000" w:themeColor="text1"/>
          <w:sz w:val="24"/>
          <w:szCs w:val="24"/>
        </w:rPr>
        <w:t>Research has shown that PTSD greatly increases</w:t>
      </w:r>
      <w:r w:rsidRPr="0060384B">
        <w:rPr>
          <w:rFonts w:ascii="Lato" w:hAnsi="Lato"/>
          <w:b/>
          <w:color w:val="000000" w:themeColor="text1"/>
          <w:sz w:val="24"/>
          <w:szCs w:val="24"/>
        </w:rPr>
        <w:t xml:space="preserve"> </w:t>
      </w:r>
      <w:r w:rsidRPr="0060384B">
        <w:rPr>
          <w:rFonts w:ascii="Lato" w:hAnsi="Lato"/>
          <w:color w:val="000000" w:themeColor="text1"/>
          <w:sz w:val="24"/>
          <w:szCs w:val="24"/>
        </w:rPr>
        <w:t>the risk of dementia in male veterans. Although PTSD is common among civilians as well, impacting twice as many women as men, until recently there has been no investigation into how PTSD affects dementia risk in U.S. civilians. In the first study of its ki</w:t>
      </w:r>
      <w:r w:rsidRPr="0060384B">
        <w:rPr>
          <w:rFonts w:ascii="Lato" w:hAnsi="Lato"/>
          <w:color w:val="000000" w:themeColor="text1"/>
          <w:sz w:val="24"/>
          <w:szCs w:val="24"/>
        </w:rPr>
        <w:t>nd, NIH-funded scientists (</w:t>
      </w:r>
      <w:hyperlink r:id="rId114" w:history="1">
        <w:r w:rsidRPr="0060384B">
          <w:rPr>
            <w:rFonts w:ascii="Lato" w:hAnsi="Lato"/>
            <w:color w:val="000000" w:themeColor="text1"/>
            <w:sz w:val="24"/>
            <w:szCs w:val="24"/>
          </w:rPr>
          <w:t>Flatt et al., 2018</w:t>
        </w:r>
      </w:hyperlink>
      <w:r w:rsidRPr="0060384B">
        <w:rPr>
          <w:rFonts w:ascii="Lato" w:hAnsi="Lato"/>
          <w:color w:val="000000" w:themeColor="text1"/>
          <w:sz w:val="24"/>
          <w:szCs w:val="24"/>
        </w:rPr>
        <w:t>) analyzed the incidence of PTSD and dementia in 13 years of medical records data from a diverse population of almost 500,000 older adult members of K</w:t>
      </w:r>
      <w:r w:rsidRPr="0060384B">
        <w:rPr>
          <w:rFonts w:ascii="Lato" w:hAnsi="Lato"/>
          <w:color w:val="000000" w:themeColor="text1"/>
          <w:sz w:val="24"/>
          <w:szCs w:val="24"/>
        </w:rPr>
        <w:t>aiser Permanente Northern California. Compared to those without PTSD, men with PTSD had a two-fold increase and women with PTSD had a 60 percent increase in their risk for developing dementia. Depression is a common symptom in people with PSTD, and the stu</w:t>
      </w:r>
      <w:r w:rsidRPr="0060384B">
        <w:rPr>
          <w:rFonts w:ascii="Lato" w:hAnsi="Lato"/>
          <w:color w:val="000000" w:themeColor="text1"/>
          <w:sz w:val="24"/>
          <w:szCs w:val="24"/>
        </w:rPr>
        <w:t xml:space="preserve">dy found that participants who had both PTSD </w:t>
      </w:r>
      <w:r w:rsidRPr="0060384B">
        <w:rPr>
          <w:rFonts w:ascii="Lato" w:hAnsi="Lato"/>
          <w:color w:val="000000" w:themeColor="text1"/>
          <w:sz w:val="24"/>
          <w:szCs w:val="24"/>
        </w:rPr>
        <w:t>and</w:t>
      </w:r>
      <w:r w:rsidRPr="0060384B">
        <w:rPr>
          <w:rFonts w:ascii="Lato" w:hAnsi="Lato"/>
          <w:color w:val="000000" w:themeColor="text1"/>
          <w:sz w:val="24"/>
          <w:szCs w:val="24"/>
        </w:rPr>
        <w:t xml:space="preserve"> depression had more than twice the risk of developing dementia than those with no PTSD or depression.</w:t>
      </w:r>
    </w:p>
    <w:p w14:paraId="37580FA9" w14:textId="77777777" w:rsidR="00000000" w:rsidRPr="0060384B" w:rsidRDefault="00CA5F6F">
      <w:pPr>
        <w:spacing w:line="258" w:lineRule="exact"/>
        <w:rPr>
          <w:rFonts w:ascii="Lato" w:eastAsia="Times New Roman" w:hAnsi="Lato"/>
          <w:color w:val="000000" w:themeColor="text1"/>
          <w:sz w:val="24"/>
          <w:szCs w:val="24"/>
        </w:rPr>
      </w:pPr>
    </w:p>
    <w:p w14:paraId="485D906C" w14:textId="77777777" w:rsidR="00000000" w:rsidRPr="0060384B" w:rsidRDefault="00CA5F6F">
      <w:pPr>
        <w:spacing w:line="242" w:lineRule="auto"/>
        <w:rPr>
          <w:rFonts w:ascii="Lato" w:hAnsi="Lato"/>
          <w:color w:val="000000" w:themeColor="text1"/>
          <w:sz w:val="24"/>
          <w:szCs w:val="24"/>
        </w:rPr>
      </w:pPr>
      <w:r w:rsidRPr="0060384B">
        <w:rPr>
          <w:rFonts w:ascii="Lato" w:hAnsi="Lato"/>
          <w:color w:val="000000" w:themeColor="text1"/>
          <w:sz w:val="24"/>
          <w:szCs w:val="24"/>
        </w:rPr>
        <w:t xml:space="preserve">NIH has stepped up efforts to find out how such behavioral and neuropsychiatric conditions and symptoms </w:t>
      </w:r>
      <w:r w:rsidRPr="0060384B">
        <w:rPr>
          <w:rFonts w:ascii="Lato" w:hAnsi="Lato"/>
          <w:color w:val="000000" w:themeColor="text1"/>
          <w:sz w:val="24"/>
          <w:szCs w:val="24"/>
        </w:rPr>
        <w:t>relate to dementia. It will be important to know if managing or mitigating them, in addition to providing relief from difficult symptoms that affect quality of life, might modify or delay the onset of dementia. People diagnosed with Alzheimer</w:t>
      </w:r>
      <w:r w:rsidRPr="0060384B">
        <w:rPr>
          <w:rFonts w:ascii="Lato" w:hAnsi="Lato"/>
          <w:color w:val="000000" w:themeColor="text1"/>
          <w:sz w:val="24"/>
          <w:szCs w:val="24"/>
        </w:rPr>
        <w:t>’s disease oft</w:t>
      </w:r>
      <w:r w:rsidRPr="0060384B">
        <w:rPr>
          <w:rFonts w:ascii="Lato" w:hAnsi="Lato"/>
          <w:color w:val="000000" w:themeColor="text1"/>
          <w:sz w:val="24"/>
          <w:szCs w:val="24"/>
        </w:rPr>
        <w:t xml:space="preserve">en suffer from a range of neuropsychiatric symptoms, including depression, anxiety, apathy, delusions, hallucinations, sleep disturbance, agitation, and aggression. These common symptoms are seen at all stages of the disease but may play a different role, </w:t>
      </w:r>
      <w:r w:rsidRPr="0060384B">
        <w:rPr>
          <w:rFonts w:ascii="Lato" w:hAnsi="Lato"/>
          <w:color w:val="000000" w:themeColor="text1"/>
          <w:sz w:val="24"/>
          <w:szCs w:val="24"/>
        </w:rPr>
        <w:t>depending on when they appear. For example, some neuropsychiatric symptoms are known to be midlife risk factors associated with late-life dementia.</w:t>
      </w:r>
    </w:p>
    <w:p w14:paraId="487A6AC2" w14:textId="77777777" w:rsidR="00000000" w:rsidRPr="0060384B" w:rsidRDefault="00CA5F6F">
      <w:pPr>
        <w:spacing w:line="257" w:lineRule="exact"/>
        <w:rPr>
          <w:rFonts w:ascii="Lato" w:eastAsia="Times New Roman" w:hAnsi="Lato"/>
          <w:color w:val="000000" w:themeColor="text1"/>
          <w:sz w:val="24"/>
          <w:szCs w:val="24"/>
        </w:rPr>
      </w:pPr>
    </w:p>
    <w:p w14:paraId="1B5E610E" w14:textId="77777777" w:rsidR="00000000" w:rsidRPr="0060384B" w:rsidRDefault="00CA5F6F">
      <w:pPr>
        <w:spacing w:line="242" w:lineRule="auto"/>
        <w:ind w:right="140"/>
        <w:rPr>
          <w:rFonts w:ascii="Lato" w:hAnsi="Lato"/>
          <w:color w:val="000000" w:themeColor="text1"/>
          <w:sz w:val="24"/>
          <w:szCs w:val="24"/>
        </w:rPr>
      </w:pPr>
      <w:r w:rsidRPr="0060384B">
        <w:rPr>
          <w:rFonts w:ascii="Lato" w:hAnsi="Lato"/>
          <w:color w:val="000000" w:themeColor="text1"/>
          <w:sz w:val="24"/>
          <w:szCs w:val="24"/>
        </w:rPr>
        <w:t>Recent advances in genetics, epigenetics/epigenomics, and systems and network biology provide an opportunit</w:t>
      </w:r>
      <w:r w:rsidRPr="0060384B">
        <w:rPr>
          <w:rFonts w:ascii="Lato" w:hAnsi="Lato"/>
          <w:color w:val="000000" w:themeColor="text1"/>
          <w:sz w:val="24"/>
          <w:szCs w:val="24"/>
        </w:rPr>
        <w:t>y to gain deep mechanistic insights into the dynamic relationship between the neuropsychiatric symptoms and underlying molecular mechanisms of Alzheimer</w:t>
      </w:r>
      <w:r w:rsidRPr="0060384B">
        <w:rPr>
          <w:rFonts w:ascii="Lato" w:hAnsi="Lato"/>
          <w:color w:val="000000" w:themeColor="text1"/>
          <w:sz w:val="24"/>
          <w:szCs w:val="24"/>
        </w:rPr>
        <w:t>’s disease. In 2018, the National Institute on Aging (NIA), the National Institute of Neurological Disor</w:t>
      </w:r>
      <w:r w:rsidRPr="0060384B">
        <w:rPr>
          <w:rFonts w:ascii="Lato" w:hAnsi="Lato"/>
          <w:color w:val="000000" w:themeColor="text1"/>
          <w:sz w:val="24"/>
          <w:szCs w:val="24"/>
        </w:rPr>
        <w:t xml:space="preserve">ders and Stroke, and the National Institute of Mental Health </w:t>
      </w:r>
      <w:hyperlink r:id="rId115" w:history="1">
        <w:r w:rsidRPr="0060384B">
          <w:rPr>
            <w:rFonts w:ascii="Lato" w:hAnsi="Lato"/>
            <w:color w:val="000000" w:themeColor="text1"/>
            <w:sz w:val="24"/>
            <w:szCs w:val="24"/>
          </w:rPr>
          <w:t>alerted the</w:t>
        </w:r>
      </w:hyperlink>
      <w:r w:rsidRPr="0060384B">
        <w:rPr>
          <w:rFonts w:ascii="Lato" w:hAnsi="Lato"/>
          <w:color w:val="000000" w:themeColor="text1"/>
          <w:sz w:val="24"/>
          <w:szCs w:val="24"/>
        </w:rPr>
        <w:t xml:space="preserve"> </w:t>
      </w:r>
      <w:hyperlink r:id="rId116" w:history="1">
        <w:r w:rsidRPr="0060384B">
          <w:rPr>
            <w:rFonts w:ascii="Lato" w:hAnsi="Lato"/>
            <w:color w:val="000000" w:themeColor="text1"/>
            <w:sz w:val="24"/>
            <w:szCs w:val="24"/>
          </w:rPr>
          <w:t>research communi</w:t>
        </w:r>
        <w:r w:rsidRPr="0060384B">
          <w:rPr>
            <w:rFonts w:ascii="Lato" w:hAnsi="Lato"/>
            <w:color w:val="000000" w:themeColor="text1"/>
            <w:sz w:val="24"/>
            <w:szCs w:val="24"/>
          </w:rPr>
          <w:t>ty</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that</w:t>
      </w:r>
      <w:r w:rsidRPr="0060384B">
        <w:rPr>
          <w:rFonts w:ascii="Lato" w:hAnsi="Lato"/>
          <w:color w:val="000000" w:themeColor="text1"/>
          <w:sz w:val="24"/>
          <w:szCs w:val="24"/>
        </w:rPr>
        <w:t xml:space="preserve"> </w:t>
      </w:r>
      <w:r w:rsidRPr="0060384B">
        <w:rPr>
          <w:rFonts w:ascii="Lato" w:hAnsi="Lato"/>
          <w:color w:val="000000" w:themeColor="text1"/>
          <w:sz w:val="24"/>
          <w:szCs w:val="24"/>
        </w:rPr>
        <w:t>this is a high-priority research area. Additional outreach in 2019 by</w:t>
      </w:r>
      <w:r w:rsidRPr="0060384B">
        <w:rPr>
          <w:rFonts w:ascii="Lato" w:hAnsi="Lato"/>
          <w:color w:val="000000" w:themeColor="text1"/>
          <w:sz w:val="24"/>
          <w:szCs w:val="24"/>
        </w:rPr>
        <w:t xml:space="preserve"> </w:t>
      </w:r>
      <w:r w:rsidRPr="0060384B">
        <w:rPr>
          <w:rFonts w:ascii="Lato" w:hAnsi="Lato"/>
          <w:color w:val="000000" w:themeColor="text1"/>
          <w:sz w:val="24"/>
          <w:szCs w:val="24"/>
        </w:rPr>
        <w:t xml:space="preserve">the National Institute of Mental Health, in collaboration with NIA, invited scientists to investigate the </w:t>
      </w:r>
      <w:hyperlink r:id="rId117" w:history="1">
        <w:r w:rsidRPr="0060384B">
          <w:rPr>
            <w:rFonts w:ascii="Lato" w:hAnsi="Lato"/>
            <w:color w:val="000000" w:themeColor="text1"/>
            <w:sz w:val="24"/>
            <w:szCs w:val="24"/>
          </w:rPr>
          <w:t>biological mechanisms of neuropsychiatric symptoms</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xml:space="preserve">and </w:t>
      </w:r>
      <w:hyperlink r:id="rId118" w:history="1">
        <w:r w:rsidRPr="0060384B">
          <w:rPr>
            <w:rFonts w:ascii="Lato" w:hAnsi="Lato"/>
            <w:color w:val="000000" w:themeColor="text1"/>
            <w:sz w:val="24"/>
            <w:szCs w:val="24"/>
          </w:rPr>
          <w:t>emotional regulation</w:t>
        </w:r>
      </w:hyperlink>
      <w:r w:rsidRPr="0060384B">
        <w:rPr>
          <w:rFonts w:ascii="Lato" w:hAnsi="Lato"/>
          <w:color w:val="000000" w:themeColor="text1"/>
          <w:sz w:val="24"/>
          <w:szCs w:val="24"/>
        </w:rPr>
        <w:t xml:space="preserve"> </w:t>
      </w:r>
      <w:hyperlink r:id="rId119" w:history="1">
        <w:r w:rsidRPr="0060384B">
          <w:rPr>
            <w:rFonts w:ascii="Lato" w:hAnsi="Lato"/>
            <w:color w:val="000000" w:themeColor="text1"/>
            <w:sz w:val="24"/>
            <w:szCs w:val="24"/>
          </w:rPr>
          <w:t>and aging, includin</w:t>
        </w:r>
        <w:r w:rsidRPr="0060384B">
          <w:rPr>
            <w:rFonts w:ascii="Lato" w:hAnsi="Lato"/>
            <w:color w:val="000000" w:themeColor="text1"/>
            <w:sz w:val="24"/>
            <w:szCs w:val="24"/>
          </w:rPr>
          <w:t>g Alzheimer</w:t>
        </w:r>
        <w:r w:rsidRPr="0060384B">
          <w:rPr>
            <w:rFonts w:ascii="Lato" w:hAnsi="Lato"/>
            <w:color w:val="000000" w:themeColor="text1"/>
            <w:sz w:val="24"/>
            <w:szCs w:val="24"/>
          </w:rPr>
          <w:t>’s</w:t>
        </w:r>
        <w:r w:rsidRPr="0060384B">
          <w:rPr>
            <w:rFonts w:ascii="Lato" w:hAnsi="Lato"/>
            <w:color w:val="000000" w:themeColor="text1"/>
            <w:sz w:val="24"/>
            <w:szCs w:val="24"/>
          </w:rPr>
          <w:t>.</w:t>
        </w:r>
      </w:hyperlink>
    </w:p>
    <w:p w14:paraId="0EBE21FE" w14:textId="77777777" w:rsidR="00000000" w:rsidRPr="0060384B" w:rsidRDefault="00CA5F6F">
      <w:pPr>
        <w:spacing w:line="250" w:lineRule="exact"/>
        <w:rPr>
          <w:rFonts w:ascii="Lato" w:hAnsi="Lato"/>
          <w:color w:val="000000" w:themeColor="text1"/>
          <w:sz w:val="24"/>
          <w:szCs w:val="24"/>
        </w:rPr>
      </w:pPr>
    </w:p>
    <w:p w14:paraId="2F2AC0D3"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Exploring How Changes in Peripheral Systems Influence the Brain</w:t>
      </w:r>
    </w:p>
    <w:p w14:paraId="1634374C" w14:textId="77777777" w:rsidR="00000000" w:rsidRPr="0060384B" w:rsidRDefault="00CA5F6F">
      <w:pPr>
        <w:spacing w:line="287" w:lineRule="exact"/>
        <w:rPr>
          <w:rFonts w:ascii="Lato" w:hAnsi="Lato"/>
          <w:color w:val="000000" w:themeColor="text1"/>
          <w:sz w:val="24"/>
          <w:szCs w:val="24"/>
        </w:rPr>
      </w:pPr>
    </w:p>
    <w:p w14:paraId="6C3A0D83" w14:textId="77777777" w:rsidR="00000000" w:rsidRPr="0060384B" w:rsidRDefault="00CA5F6F">
      <w:pPr>
        <w:spacing w:line="251" w:lineRule="auto"/>
        <w:ind w:right="60"/>
        <w:rPr>
          <w:rFonts w:ascii="Lato" w:hAnsi="Lato"/>
          <w:color w:val="000000" w:themeColor="text1"/>
          <w:sz w:val="24"/>
          <w:szCs w:val="24"/>
        </w:rPr>
      </w:pPr>
      <w:r w:rsidRPr="0060384B">
        <w:rPr>
          <w:rFonts w:ascii="Lato" w:hAnsi="Lato"/>
          <w:color w:val="000000" w:themeColor="text1"/>
          <w:sz w:val="24"/>
          <w:szCs w:val="24"/>
        </w:rPr>
        <w:t>It is commonly believed that Alzheimer</w:t>
      </w:r>
      <w:r w:rsidRPr="0060384B">
        <w:rPr>
          <w:rFonts w:ascii="Lato" w:hAnsi="Lato"/>
          <w:color w:val="000000" w:themeColor="text1"/>
          <w:sz w:val="24"/>
          <w:szCs w:val="24"/>
        </w:rPr>
        <w:t>’s disease is an abnormality of the aging brain. However, a growing body of research supports the notion that it is a systemic disease w</w:t>
      </w:r>
      <w:r w:rsidRPr="0060384B">
        <w:rPr>
          <w:rFonts w:ascii="Lato" w:hAnsi="Lato"/>
          <w:color w:val="000000" w:themeColor="text1"/>
          <w:sz w:val="24"/>
          <w:szCs w:val="24"/>
        </w:rPr>
        <w:t>ith significant interaction between peripheral systems</w:t>
      </w:r>
      <w:r w:rsidRPr="0060384B">
        <w:rPr>
          <w:rFonts w:ascii="Lato" w:hAnsi="Lato"/>
          <w:color w:val="000000" w:themeColor="text1"/>
          <w:sz w:val="24"/>
          <w:szCs w:val="24"/>
        </w:rPr>
        <w:t>—immune, metabolic, microbiome, and inflammatory</w:t>
      </w:r>
    </w:p>
    <w:p w14:paraId="0A254F8E" w14:textId="77777777" w:rsidR="00000000" w:rsidRPr="0060384B" w:rsidRDefault="00CA5F6F">
      <w:pPr>
        <w:spacing w:line="251" w:lineRule="auto"/>
        <w:ind w:right="6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5469C2E4" w14:textId="77777777" w:rsidR="00000000" w:rsidRPr="0060384B" w:rsidRDefault="00CA5F6F">
      <w:pPr>
        <w:spacing w:line="272" w:lineRule="exact"/>
        <w:rPr>
          <w:rFonts w:ascii="Lato"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58493A5B" w14:textId="77777777">
        <w:trPr>
          <w:trHeight w:val="245"/>
        </w:trPr>
        <w:tc>
          <w:tcPr>
            <w:tcW w:w="6540" w:type="dxa"/>
            <w:shd w:val="clear" w:color="auto" w:fill="auto"/>
            <w:vAlign w:val="bottom"/>
          </w:tcPr>
          <w:p w14:paraId="78668987"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10B7050B"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33</w:t>
            </w:r>
          </w:p>
        </w:tc>
      </w:tr>
      <w:tr w:rsidR="00000000" w:rsidRPr="0060384B" w14:paraId="21B702F4" w14:textId="77777777">
        <w:trPr>
          <w:trHeight w:val="258"/>
        </w:trPr>
        <w:tc>
          <w:tcPr>
            <w:tcW w:w="6540" w:type="dxa"/>
            <w:shd w:val="clear" w:color="auto" w:fill="auto"/>
            <w:vAlign w:val="bottom"/>
          </w:tcPr>
          <w:p w14:paraId="0C509A37"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0B38EBB4" w14:textId="77777777" w:rsidR="00000000" w:rsidRPr="0060384B" w:rsidRDefault="00CA5F6F">
            <w:pPr>
              <w:spacing w:line="0" w:lineRule="atLeast"/>
              <w:rPr>
                <w:rFonts w:ascii="Lato" w:eastAsia="Times New Roman" w:hAnsi="Lato"/>
                <w:color w:val="000000" w:themeColor="text1"/>
                <w:sz w:val="24"/>
                <w:szCs w:val="24"/>
              </w:rPr>
            </w:pPr>
          </w:p>
        </w:tc>
      </w:tr>
    </w:tbl>
    <w:p w14:paraId="04F904B7"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60368B30" w14:textId="77777777" w:rsidR="00000000" w:rsidRPr="0060384B" w:rsidRDefault="00CA5F6F">
      <w:pPr>
        <w:spacing w:line="247" w:lineRule="auto"/>
        <w:ind w:right="140"/>
        <w:rPr>
          <w:rFonts w:ascii="Lato" w:hAnsi="Lato"/>
          <w:color w:val="000000" w:themeColor="text1"/>
          <w:sz w:val="24"/>
          <w:szCs w:val="24"/>
        </w:rPr>
      </w:pPr>
      <w:bookmarkStart w:id="36" w:name="page37"/>
      <w:bookmarkEnd w:id="36"/>
      <w:r w:rsidRPr="0060384B">
        <w:rPr>
          <w:rFonts w:ascii="Lato" w:hAnsi="Lato"/>
          <w:color w:val="000000" w:themeColor="text1"/>
          <w:sz w:val="24"/>
          <w:szCs w:val="24"/>
        </w:rPr>
        <w:lastRenderedPageBreak/>
        <w:t>pathways</w:t>
      </w:r>
      <w:r w:rsidRPr="0060384B">
        <w:rPr>
          <w:rFonts w:ascii="Lato" w:hAnsi="Lato"/>
          <w:color w:val="000000" w:themeColor="text1"/>
          <w:sz w:val="24"/>
          <w:szCs w:val="24"/>
        </w:rPr>
        <w:t>—and the brain. It would make sense, then, to approach dementia as a</w:t>
      </w:r>
      <w:r w:rsidRPr="0060384B">
        <w:rPr>
          <w:rFonts w:ascii="Lato" w:hAnsi="Lato"/>
          <w:color w:val="000000" w:themeColor="text1"/>
          <w:sz w:val="24"/>
          <w:szCs w:val="24"/>
        </w:rPr>
        <w:t xml:space="preserve"> multifactorial health condition, with damage in multiple physiological systems leading to pathological cognitive decline. Recent reports offer new insights into the influences of the microbiome, cerebrovascular contributions, and sleep:</w:t>
      </w:r>
    </w:p>
    <w:p w14:paraId="27869ECF" w14:textId="77777777" w:rsidR="00000000" w:rsidRPr="0060384B" w:rsidRDefault="00CA5F6F">
      <w:pPr>
        <w:spacing w:line="243" w:lineRule="exact"/>
        <w:rPr>
          <w:rFonts w:ascii="Lato" w:eastAsia="Times New Roman" w:hAnsi="Lato"/>
          <w:color w:val="000000" w:themeColor="text1"/>
          <w:sz w:val="24"/>
          <w:szCs w:val="24"/>
        </w:rPr>
      </w:pPr>
    </w:p>
    <w:p w14:paraId="72873407"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Effects of Change</w:t>
      </w:r>
      <w:r w:rsidRPr="0060384B">
        <w:rPr>
          <w:rFonts w:ascii="Lato" w:hAnsi="Lato"/>
          <w:b/>
          <w:color w:val="000000" w:themeColor="text1"/>
          <w:sz w:val="24"/>
          <w:szCs w:val="24"/>
        </w:rPr>
        <w:t xml:space="preserve"> in the Microbiome</w:t>
      </w:r>
    </w:p>
    <w:p w14:paraId="47E3DFA9" w14:textId="77777777" w:rsidR="00000000" w:rsidRPr="0060384B" w:rsidRDefault="00CA5F6F">
      <w:pPr>
        <w:spacing w:line="284" w:lineRule="exact"/>
        <w:rPr>
          <w:rFonts w:ascii="Lato" w:eastAsia="Times New Roman" w:hAnsi="Lato"/>
          <w:color w:val="000000" w:themeColor="text1"/>
          <w:sz w:val="24"/>
          <w:szCs w:val="24"/>
        </w:rPr>
      </w:pPr>
    </w:p>
    <w:p w14:paraId="0C083EA0" w14:textId="77777777" w:rsidR="00000000" w:rsidRPr="0060384B" w:rsidRDefault="00CA5F6F">
      <w:pPr>
        <w:spacing w:line="245" w:lineRule="auto"/>
        <w:ind w:right="220"/>
        <w:rPr>
          <w:rFonts w:ascii="Lato" w:hAnsi="Lato"/>
          <w:color w:val="000000" w:themeColor="text1"/>
          <w:sz w:val="24"/>
          <w:szCs w:val="24"/>
        </w:rPr>
      </w:pPr>
      <w:r w:rsidRPr="0060384B">
        <w:rPr>
          <w:rFonts w:ascii="Lato" w:hAnsi="Lato"/>
          <w:color w:val="000000" w:themeColor="text1"/>
          <w:sz w:val="24"/>
          <w:szCs w:val="24"/>
        </w:rPr>
        <w:t xml:space="preserve">There is increasing recognition of the role of the gut microbiome in human disease. In recent years, scientists have turned their attention to the </w:t>
      </w:r>
      <w:r w:rsidRPr="0060384B">
        <w:rPr>
          <w:rFonts w:ascii="Lato" w:hAnsi="Lato"/>
          <w:color w:val="000000" w:themeColor="text1"/>
          <w:sz w:val="24"/>
          <w:szCs w:val="24"/>
        </w:rPr>
        <w:t>“gut-brain axis,</w:t>
      </w:r>
      <w:r w:rsidRPr="0060384B">
        <w:rPr>
          <w:rFonts w:ascii="Lato" w:hAnsi="Lato"/>
          <w:color w:val="000000" w:themeColor="text1"/>
          <w:sz w:val="24"/>
          <w:szCs w:val="24"/>
        </w:rPr>
        <w:t>” where communication occurs among the gut, its microbiota, and the brain</w:t>
      </w:r>
      <w:r w:rsidRPr="0060384B">
        <w:rPr>
          <w:rFonts w:ascii="Lato" w:hAnsi="Lato"/>
          <w:color w:val="000000" w:themeColor="text1"/>
          <w:sz w:val="24"/>
          <w:szCs w:val="24"/>
        </w:rPr>
        <w:t>. Although not fully understood, this axis is thought to have a major role in the onset and severity of many neurological and neuropsychiatric disorders.</w:t>
      </w:r>
    </w:p>
    <w:p w14:paraId="335726A4" w14:textId="77777777" w:rsidR="00000000" w:rsidRPr="0060384B" w:rsidRDefault="00CA5F6F">
      <w:pPr>
        <w:spacing w:line="249" w:lineRule="exact"/>
        <w:rPr>
          <w:rFonts w:ascii="Lato" w:eastAsia="Times New Roman" w:hAnsi="Lato"/>
          <w:color w:val="000000" w:themeColor="text1"/>
          <w:sz w:val="24"/>
          <w:szCs w:val="24"/>
        </w:rPr>
      </w:pPr>
    </w:p>
    <w:p w14:paraId="317222FE" w14:textId="77777777" w:rsidR="00000000" w:rsidRPr="0060384B" w:rsidRDefault="00CA5F6F">
      <w:pPr>
        <w:spacing w:line="242" w:lineRule="auto"/>
        <w:ind w:right="20"/>
        <w:rPr>
          <w:rFonts w:ascii="Lato" w:hAnsi="Lato"/>
          <w:color w:val="000000" w:themeColor="text1"/>
          <w:sz w:val="24"/>
          <w:szCs w:val="24"/>
        </w:rPr>
      </w:pPr>
      <w:r w:rsidRPr="0060384B">
        <w:rPr>
          <w:rFonts w:ascii="Lato" w:hAnsi="Lato"/>
          <w:color w:val="000000" w:themeColor="text1"/>
          <w:sz w:val="24"/>
          <w:szCs w:val="24"/>
        </w:rPr>
        <w:t xml:space="preserve">The NIA-supported </w:t>
      </w:r>
      <w:hyperlink r:id="rId120" w:history="1">
        <w:r w:rsidRPr="0060384B">
          <w:rPr>
            <w:rFonts w:ascii="Lato" w:hAnsi="Lato"/>
            <w:color w:val="000000" w:themeColor="text1"/>
            <w:sz w:val="24"/>
            <w:szCs w:val="24"/>
          </w:rPr>
          <w:t>Alzheimer</w:t>
        </w:r>
        <w:r w:rsidRPr="0060384B">
          <w:rPr>
            <w:rFonts w:ascii="Lato" w:hAnsi="Lato"/>
            <w:color w:val="000000" w:themeColor="text1"/>
            <w:sz w:val="24"/>
            <w:szCs w:val="24"/>
          </w:rPr>
          <w:t>’s Disease Metabolomics C</w:t>
        </w:r>
        <w:r w:rsidRPr="0060384B">
          <w:rPr>
            <w:rFonts w:ascii="Lato" w:hAnsi="Lato"/>
            <w:color w:val="000000" w:themeColor="text1"/>
            <w:sz w:val="24"/>
            <w:szCs w:val="24"/>
          </w:rPr>
          <w:t>onsortium</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brings together over 100 researchers from around the world to create a comprehensive metabolomics database map of the metabolic failures across the trajectory of Alzheimer</w:t>
      </w:r>
      <w:r w:rsidRPr="0060384B">
        <w:rPr>
          <w:rFonts w:ascii="Lato" w:hAnsi="Lato"/>
          <w:color w:val="000000" w:themeColor="text1"/>
          <w:sz w:val="24"/>
          <w:szCs w:val="24"/>
        </w:rPr>
        <w:t>’s disease. Many Alzheimer</w:t>
      </w:r>
      <w:r w:rsidRPr="0060384B">
        <w:rPr>
          <w:rFonts w:ascii="Lato" w:hAnsi="Lato"/>
          <w:color w:val="000000" w:themeColor="text1"/>
          <w:sz w:val="24"/>
          <w:szCs w:val="24"/>
        </w:rPr>
        <w:t>’s risk genes identified to date are involved in</w:t>
      </w:r>
      <w:r w:rsidRPr="0060384B">
        <w:rPr>
          <w:rFonts w:ascii="Lato" w:hAnsi="Lato"/>
          <w:color w:val="000000" w:themeColor="text1"/>
          <w:sz w:val="24"/>
          <w:szCs w:val="24"/>
        </w:rPr>
        <w:t xml:space="preserve"> cholesterol production or transport. It is thought that bile acids, products of cholesterol metabolism and clearance produced in the liver and further metabolized by gut bacteria, may become dysregulated in Alzheimer</w:t>
      </w:r>
      <w:r w:rsidRPr="0060384B">
        <w:rPr>
          <w:rFonts w:ascii="Lato" w:hAnsi="Lato"/>
          <w:color w:val="000000" w:themeColor="text1"/>
          <w:sz w:val="24"/>
          <w:szCs w:val="24"/>
        </w:rPr>
        <w:t>’s disease. Two NIH-funded studies by c</w:t>
      </w:r>
      <w:r w:rsidRPr="0060384B">
        <w:rPr>
          <w:rFonts w:ascii="Lato" w:hAnsi="Lato"/>
          <w:color w:val="000000" w:themeColor="text1"/>
          <w:sz w:val="24"/>
          <w:szCs w:val="24"/>
        </w:rPr>
        <w:t>onsortium researchers in collaboration with scientists from the Alzheimer</w:t>
      </w:r>
      <w:r w:rsidRPr="0060384B">
        <w:rPr>
          <w:rFonts w:ascii="Lato" w:hAnsi="Lato"/>
          <w:color w:val="000000" w:themeColor="text1"/>
          <w:sz w:val="24"/>
          <w:szCs w:val="24"/>
        </w:rPr>
        <w:t>’s Disease Neuroimaging Initiative (ADNI) have linked alterations in serum bile-acids signatures to Alzheimer</w:t>
      </w:r>
      <w:r w:rsidRPr="0060384B">
        <w:rPr>
          <w:rFonts w:ascii="Lato" w:hAnsi="Lato"/>
          <w:color w:val="000000" w:themeColor="text1"/>
          <w:sz w:val="24"/>
          <w:szCs w:val="24"/>
        </w:rPr>
        <w:t xml:space="preserve">’s disease. Together, these results reveal critical connections among gut </w:t>
      </w:r>
      <w:r w:rsidRPr="0060384B">
        <w:rPr>
          <w:rFonts w:ascii="Lato" w:hAnsi="Lato"/>
          <w:color w:val="000000" w:themeColor="text1"/>
          <w:sz w:val="24"/>
          <w:szCs w:val="24"/>
        </w:rPr>
        <w:t>and liver cholesterol metabolism, immune function, and cognitive health:</w:t>
      </w:r>
    </w:p>
    <w:p w14:paraId="02B533B5" w14:textId="77777777" w:rsidR="00000000" w:rsidRPr="0060384B" w:rsidRDefault="00CA5F6F">
      <w:pPr>
        <w:spacing w:line="252" w:lineRule="exact"/>
        <w:rPr>
          <w:rFonts w:ascii="Lato" w:eastAsia="Times New Roman" w:hAnsi="Lato"/>
          <w:color w:val="000000" w:themeColor="text1"/>
          <w:sz w:val="24"/>
          <w:szCs w:val="24"/>
        </w:rPr>
      </w:pPr>
    </w:p>
    <w:p w14:paraId="7C8D5A87" w14:textId="77777777" w:rsidR="00000000" w:rsidRPr="0060384B" w:rsidRDefault="00CA5F6F">
      <w:pPr>
        <w:spacing w:line="0" w:lineRule="atLeast"/>
        <w:rPr>
          <w:rFonts w:ascii="Lato" w:hAnsi="Lato"/>
          <w:color w:val="000000" w:themeColor="text1"/>
          <w:sz w:val="24"/>
          <w:szCs w:val="24"/>
        </w:rPr>
      </w:pPr>
      <w:r w:rsidRPr="0060384B">
        <w:rPr>
          <w:rFonts w:ascii="Lato" w:hAnsi="Lato"/>
          <w:b/>
          <w:color w:val="000000" w:themeColor="text1"/>
          <w:sz w:val="24"/>
          <w:szCs w:val="24"/>
        </w:rPr>
        <w:t xml:space="preserve">Specific bile acids found linked to impairment, dementia. </w:t>
      </w:r>
      <w:r w:rsidRPr="0060384B">
        <w:rPr>
          <w:rFonts w:ascii="Lato" w:hAnsi="Lato"/>
          <w:color w:val="000000" w:themeColor="text1"/>
          <w:sz w:val="24"/>
          <w:szCs w:val="24"/>
        </w:rPr>
        <w:t>An international research team</w:t>
      </w:r>
    </w:p>
    <w:p w14:paraId="55D6DA97" w14:textId="77777777" w:rsidR="00000000" w:rsidRPr="0060384B" w:rsidRDefault="00CA5F6F">
      <w:pPr>
        <w:spacing w:line="3" w:lineRule="exact"/>
        <w:rPr>
          <w:rFonts w:ascii="Lato" w:eastAsia="Times New Roman" w:hAnsi="Lato"/>
          <w:color w:val="000000" w:themeColor="text1"/>
          <w:sz w:val="24"/>
          <w:szCs w:val="24"/>
        </w:rPr>
      </w:pPr>
    </w:p>
    <w:p w14:paraId="2E8CB2D7" w14:textId="77777777" w:rsidR="00000000" w:rsidRPr="0060384B" w:rsidRDefault="00CA5F6F">
      <w:pPr>
        <w:spacing w:line="242" w:lineRule="auto"/>
        <w:ind w:right="40"/>
        <w:rPr>
          <w:rFonts w:ascii="Lato" w:hAnsi="Lato"/>
          <w:color w:val="000000" w:themeColor="text1"/>
          <w:sz w:val="24"/>
          <w:szCs w:val="24"/>
        </w:rPr>
      </w:pPr>
      <w:r w:rsidRPr="0060384B">
        <w:rPr>
          <w:rFonts w:ascii="Lato" w:hAnsi="Lato"/>
          <w:color w:val="000000" w:themeColor="text1"/>
          <w:sz w:val="24"/>
          <w:szCs w:val="24"/>
        </w:rPr>
        <w:t>(</w:t>
      </w:r>
      <w:hyperlink r:id="rId121" w:history="1">
        <w:r w:rsidRPr="0060384B">
          <w:rPr>
            <w:rFonts w:ascii="Lato" w:hAnsi="Lato"/>
            <w:color w:val="000000" w:themeColor="text1"/>
            <w:sz w:val="24"/>
            <w:szCs w:val="24"/>
          </w:rPr>
          <w:t>MahmoudianDehkordi et al., 2019</w:t>
        </w:r>
      </w:hyperlink>
      <w:r w:rsidRPr="0060384B">
        <w:rPr>
          <w:rFonts w:ascii="Lato" w:hAnsi="Lato"/>
          <w:color w:val="000000" w:themeColor="text1"/>
          <w:sz w:val="24"/>
          <w:szCs w:val="24"/>
        </w:rPr>
        <w:t>) measured the levels of 15 primary and secondary bile acids (produced by the liver and gut microbiome, respectively) in blood samples from 1,464 participants in ADNI who were either cognitively healthy or who had mild cognitive impairment or Alzheimer</w:t>
      </w:r>
      <w:r w:rsidRPr="0060384B">
        <w:rPr>
          <w:rFonts w:ascii="Lato" w:hAnsi="Lato"/>
          <w:color w:val="000000" w:themeColor="text1"/>
          <w:sz w:val="24"/>
          <w:szCs w:val="24"/>
        </w:rPr>
        <w:t xml:space="preserve">’s </w:t>
      </w:r>
      <w:r w:rsidRPr="0060384B">
        <w:rPr>
          <w:rFonts w:ascii="Lato" w:hAnsi="Lato"/>
          <w:color w:val="000000" w:themeColor="text1"/>
          <w:sz w:val="24"/>
          <w:szCs w:val="24"/>
        </w:rPr>
        <w:t>disease. Compared to people with normal cognition, those with Alzheimer</w:t>
      </w:r>
      <w:r w:rsidRPr="0060384B">
        <w:rPr>
          <w:rFonts w:ascii="Lato" w:hAnsi="Lato"/>
          <w:color w:val="000000" w:themeColor="text1"/>
          <w:sz w:val="24"/>
          <w:szCs w:val="24"/>
        </w:rPr>
        <w:t>’s had reduced levels of one primary bile acid and increased levels of several secondary bile acids. Higher ratios of secondary, gut-produced bile acids, which are known to be cytotoxic</w:t>
      </w:r>
      <w:r w:rsidRPr="0060384B">
        <w:rPr>
          <w:rFonts w:ascii="Lato" w:hAnsi="Lato"/>
          <w:color w:val="000000" w:themeColor="text1"/>
          <w:sz w:val="24"/>
          <w:szCs w:val="24"/>
        </w:rPr>
        <w:t>, were also associated with worse cognitive performance in the group as a whole, a finding replicated in samples collected in two other NIH-supported cohorts, Rush University</w:t>
      </w:r>
      <w:r w:rsidRPr="0060384B">
        <w:rPr>
          <w:rFonts w:ascii="Lato" w:hAnsi="Lato"/>
          <w:color w:val="000000" w:themeColor="text1"/>
          <w:sz w:val="24"/>
          <w:szCs w:val="24"/>
        </w:rPr>
        <w:t>’s Religious Orders Study and Memory and Aging Project.</w:t>
      </w:r>
    </w:p>
    <w:p w14:paraId="66B5AFBB" w14:textId="77777777" w:rsidR="00000000" w:rsidRPr="0060384B" w:rsidRDefault="00CA5F6F">
      <w:pPr>
        <w:spacing w:line="254" w:lineRule="exact"/>
        <w:rPr>
          <w:rFonts w:ascii="Lato" w:eastAsia="Times New Roman" w:hAnsi="Lato"/>
          <w:color w:val="000000" w:themeColor="text1"/>
          <w:sz w:val="24"/>
          <w:szCs w:val="24"/>
        </w:rPr>
      </w:pPr>
    </w:p>
    <w:p w14:paraId="632379AA" w14:textId="77777777" w:rsidR="00000000" w:rsidRPr="0060384B" w:rsidRDefault="00CA5F6F">
      <w:pPr>
        <w:spacing w:line="245" w:lineRule="auto"/>
        <w:ind w:right="260"/>
        <w:rPr>
          <w:rFonts w:ascii="Lato" w:hAnsi="Lato"/>
          <w:color w:val="000000" w:themeColor="text1"/>
          <w:sz w:val="24"/>
          <w:szCs w:val="24"/>
        </w:rPr>
      </w:pPr>
      <w:r w:rsidRPr="0060384B">
        <w:rPr>
          <w:rFonts w:ascii="Lato" w:hAnsi="Lato"/>
          <w:b/>
          <w:color w:val="000000" w:themeColor="text1"/>
          <w:sz w:val="24"/>
          <w:szCs w:val="24"/>
        </w:rPr>
        <w:t>Abnormal bile acid signat</w:t>
      </w:r>
      <w:r w:rsidRPr="0060384B">
        <w:rPr>
          <w:rFonts w:ascii="Lato" w:hAnsi="Lato"/>
          <w:b/>
          <w:color w:val="000000" w:themeColor="text1"/>
          <w:sz w:val="24"/>
          <w:szCs w:val="24"/>
        </w:rPr>
        <w:t xml:space="preserve">ures linked with biomarkers of dementia. </w:t>
      </w:r>
      <w:r w:rsidRPr="0060384B">
        <w:rPr>
          <w:rFonts w:ascii="Lato" w:hAnsi="Lato"/>
          <w:color w:val="000000" w:themeColor="text1"/>
          <w:sz w:val="24"/>
          <w:szCs w:val="24"/>
        </w:rPr>
        <w:t xml:space="preserve">Another analysis </w:t>
      </w:r>
      <w:hyperlink r:id="rId122" w:history="1">
        <w:r w:rsidRPr="0060384B">
          <w:rPr>
            <w:rFonts w:ascii="Lato" w:hAnsi="Lato"/>
            <w:color w:val="000000" w:themeColor="text1"/>
            <w:sz w:val="24"/>
            <w:szCs w:val="24"/>
          </w:rPr>
          <w:t>(</w:t>
        </w:r>
        <w:r w:rsidRPr="0060384B">
          <w:rPr>
            <w:rFonts w:ascii="Lato" w:hAnsi="Lato"/>
            <w:color w:val="000000" w:themeColor="text1"/>
            <w:sz w:val="24"/>
            <w:szCs w:val="24"/>
          </w:rPr>
          <w:t>Nho et</w:t>
        </w:r>
      </w:hyperlink>
      <w:r w:rsidRPr="0060384B">
        <w:rPr>
          <w:rFonts w:ascii="Lato" w:hAnsi="Lato"/>
          <w:color w:val="000000" w:themeColor="text1"/>
          <w:sz w:val="24"/>
          <w:szCs w:val="24"/>
        </w:rPr>
        <w:t xml:space="preserve"> </w:t>
      </w:r>
      <w:hyperlink r:id="rId123" w:history="1">
        <w:r w:rsidRPr="0060384B">
          <w:rPr>
            <w:rFonts w:ascii="Lato" w:hAnsi="Lato"/>
            <w:color w:val="000000" w:themeColor="text1"/>
            <w:sz w:val="24"/>
            <w:szCs w:val="24"/>
          </w:rPr>
          <w:t>al., 2019</w:t>
        </w:r>
      </w:hyperlink>
      <w:r w:rsidRPr="0060384B">
        <w:rPr>
          <w:rFonts w:ascii="Lato" w:hAnsi="Lato"/>
          <w:color w:val="000000" w:themeColor="text1"/>
          <w:sz w:val="24"/>
          <w:szCs w:val="24"/>
        </w:rPr>
        <w:t>)</w:t>
      </w:r>
      <w:r w:rsidRPr="0060384B">
        <w:rPr>
          <w:rFonts w:ascii="Lato" w:hAnsi="Lato"/>
          <w:color w:val="000000" w:themeColor="text1"/>
          <w:sz w:val="24"/>
          <w:szCs w:val="24"/>
        </w:rPr>
        <w:t xml:space="preserve"> </w:t>
      </w:r>
      <w:r w:rsidRPr="0060384B">
        <w:rPr>
          <w:rFonts w:ascii="Lato" w:hAnsi="Lato"/>
          <w:color w:val="000000" w:themeColor="text1"/>
          <w:sz w:val="24"/>
          <w:szCs w:val="24"/>
        </w:rPr>
        <w:t xml:space="preserve">examined the relationship between the blood levels of 20 </w:t>
      </w:r>
      <w:r w:rsidRPr="0060384B">
        <w:rPr>
          <w:rFonts w:ascii="Lato" w:hAnsi="Lato"/>
          <w:color w:val="000000" w:themeColor="text1"/>
          <w:sz w:val="24"/>
          <w:szCs w:val="24"/>
        </w:rPr>
        <w:t>different bile acids from</w:t>
      </w:r>
      <w:r w:rsidRPr="0060384B">
        <w:rPr>
          <w:rFonts w:ascii="Lato" w:hAnsi="Lato"/>
          <w:color w:val="000000" w:themeColor="text1"/>
          <w:sz w:val="24"/>
          <w:szCs w:val="24"/>
        </w:rPr>
        <w:t xml:space="preserve"> </w:t>
      </w:r>
      <w:r w:rsidRPr="0060384B">
        <w:rPr>
          <w:rFonts w:ascii="Lato" w:hAnsi="Lato"/>
          <w:color w:val="000000" w:themeColor="text1"/>
          <w:sz w:val="24"/>
          <w:szCs w:val="24"/>
        </w:rPr>
        <w:t>1,562 ADNI participants and an array of cerebrospinal fluid (CSF) and imaging biomarkers of Alzheimer</w:t>
      </w:r>
      <w:r w:rsidRPr="0060384B">
        <w:rPr>
          <w:rFonts w:ascii="Lato" w:hAnsi="Lato"/>
          <w:color w:val="000000" w:themeColor="text1"/>
          <w:sz w:val="24"/>
          <w:szCs w:val="24"/>
        </w:rPr>
        <w:t>’s disease. The study identified abnormal bile acid signatures that were associated with abnormal CSF levels of beta- amyloid 42,</w:t>
      </w:r>
      <w:r w:rsidRPr="0060384B">
        <w:rPr>
          <w:rFonts w:ascii="Lato" w:hAnsi="Lato"/>
          <w:color w:val="000000" w:themeColor="text1"/>
          <w:sz w:val="24"/>
          <w:szCs w:val="24"/>
        </w:rPr>
        <w:t xml:space="preserve"> tau, or phosphorylated tau, and/or with brain atrophy or reduced brain glucose metabolism.</w:t>
      </w:r>
    </w:p>
    <w:p w14:paraId="62FF5BB4" w14:textId="77777777" w:rsidR="00000000" w:rsidRPr="0060384B" w:rsidRDefault="00CA5F6F">
      <w:pPr>
        <w:spacing w:line="246" w:lineRule="exact"/>
        <w:rPr>
          <w:rFonts w:ascii="Lato" w:eastAsia="Times New Roman" w:hAnsi="Lato"/>
          <w:color w:val="000000" w:themeColor="text1"/>
          <w:sz w:val="24"/>
          <w:szCs w:val="24"/>
        </w:rPr>
      </w:pPr>
    </w:p>
    <w:p w14:paraId="796DE646"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Cerebrovascular Contributions to Dementia</w:t>
      </w:r>
    </w:p>
    <w:p w14:paraId="0827FC20" w14:textId="77777777" w:rsidR="00000000" w:rsidRPr="0060384B" w:rsidRDefault="00CA5F6F">
      <w:pPr>
        <w:spacing w:line="281" w:lineRule="exact"/>
        <w:rPr>
          <w:rFonts w:ascii="Lato" w:eastAsia="Times New Roman" w:hAnsi="Lato"/>
          <w:color w:val="000000" w:themeColor="text1"/>
          <w:sz w:val="24"/>
          <w:szCs w:val="24"/>
        </w:rPr>
      </w:pPr>
    </w:p>
    <w:p w14:paraId="0100124C" w14:textId="77777777" w:rsidR="00000000" w:rsidRPr="0060384B" w:rsidRDefault="00CA5F6F">
      <w:pPr>
        <w:spacing w:line="284" w:lineRule="auto"/>
        <w:ind w:right="160"/>
        <w:rPr>
          <w:rFonts w:ascii="Lato" w:hAnsi="Lato"/>
          <w:color w:val="000000" w:themeColor="text1"/>
          <w:sz w:val="24"/>
          <w:szCs w:val="24"/>
        </w:rPr>
      </w:pPr>
      <w:r w:rsidRPr="0060384B">
        <w:rPr>
          <w:rFonts w:ascii="Lato" w:hAnsi="Lato"/>
          <w:color w:val="000000" w:themeColor="text1"/>
          <w:sz w:val="24"/>
          <w:szCs w:val="24"/>
        </w:rPr>
        <w:t>Cerebrovascular dysfunction has been implicated in Alzheimer</w:t>
      </w:r>
      <w:r w:rsidRPr="0060384B">
        <w:rPr>
          <w:rFonts w:ascii="Lato" w:hAnsi="Lato"/>
          <w:color w:val="000000" w:themeColor="text1"/>
          <w:sz w:val="24"/>
          <w:szCs w:val="24"/>
        </w:rPr>
        <w:t>’s disease and predicts cognitive decline independently of a</w:t>
      </w:r>
      <w:r w:rsidRPr="0060384B">
        <w:rPr>
          <w:rFonts w:ascii="Lato" w:hAnsi="Lato"/>
          <w:color w:val="000000" w:themeColor="text1"/>
          <w:sz w:val="24"/>
          <w:szCs w:val="24"/>
        </w:rPr>
        <w:t>myloid plaque accumulation. Scientists are interested in how</w:t>
      </w:r>
    </w:p>
    <w:p w14:paraId="7ACAA9B3" w14:textId="77777777" w:rsidR="00000000" w:rsidRPr="0060384B" w:rsidRDefault="00CA5F6F">
      <w:pPr>
        <w:spacing w:line="284" w:lineRule="auto"/>
        <w:ind w:right="16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4BDD2BCB" w14:textId="77777777" w:rsidR="00000000" w:rsidRPr="0060384B" w:rsidRDefault="00CA5F6F">
      <w:pPr>
        <w:spacing w:line="309"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6334884B" w14:textId="77777777">
        <w:trPr>
          <w:trHeight w:val="245"/>
        </w:trPr>
        <w:tc>
          <w:tcPr>
            <w:tcW w:w="6540" w:type="dxa"/>
            <w:shd w:val="clear" w:color="auto" w:fill="auto"/>
            <w:vAlign w:val="bottom"/>
          </w:tcPr>
          <w:p w14:paraId="7EE5E22F"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5423244D"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34</w:t>
            </w:r>
          </w:p>
        </w:tc>
      </w:tr>
      <w:tr w:rsidR="00000000" w:rsidRPr="0060384B" w14:paraId="19D2FF59" w14:textId="77777777">
        <w:trPr>
          <w:trHeight w:val="258"/>
        </w:trPr>
        <w:tc>
          <w:tcPr>
            <w:tcW w:w="6540" w:type="dxa"/>
            <w:shd w:val="clear" w:color="auto" w:fill="auto"/>
            <w:vAlign w:val="bottom"/>
          </w:tcPr>
          <w:p w14:paraId="715D9BC8"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NIH Bypass Budget Proposal for Fiscal Year 2021</w:t>
            </w:r>
          </w:p>
        </w:tc>
        <w:tc>
          <w:tcPr>
            <w:tcW w:w="2820" w:type="dxa"/>
            <w:shd w:val="clear" w:color="auto" w:fill="auto"/>
            <w:vAlign w:val="bottom"/>
          </w:tcPr>
          <w:p w14:paraId="2F2E2F22" w14:textId="77777777" w:rsidR="00000000" w:rsidRPr="0060384B" w:rsidRDefault="00CA5F6F">
            <w:pPr>
              <w:spacing w:line="0" w:lineRule="atLeast"/>
              <w:rPr>
                <w:rFonts w:ascii="Lato" w:eastAsia="Times New Roman" w:hAnsi="Lato"/>
                <w:color w:val="000000" w:themeColor="text1"/>
                <w:sz w:val="24"/>
                <w:szCs w:val="24"/>
              </w:rPr>
            </w:pPr>
          </w:p>
        </w:tc>
      </w:tr>
    </w:tbl>
    <w:p w14:paraId="4E9AC48F"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227389E0" w14:textId="77777777" w:rsidR="00000000" w:rsidRPr="0060384B" w:rsidRDefault="00CA5F6F">
      <w:pPr>
        <w:spacing w:line="251" w:lineRule="auto"/>
        <w:ind w:right="180"/>
        <w:jc w:val="both"/>
        <w:rPr>
          <w:rFonts w:ascii="Lato" w:hAnsi="Lato"/>
          <w:color w:val="000000" w:themeColor="text1"/>
          <w:sz w:val="24"/>
          <w:szCs w:val="24"/>
        </w:rPr>
      </w:pPr>
      <w:bookmarkStart w:id="37" w:name="page38"/>
      <w:bookmarkEnd w:id="37"/>
      <w:r w:rsidRPr="0060384B">
        <w:rPr>
          <w:rFonts w:ascii="Lato" w:hAnsi="Lato"/>
          <w:color w:val="000000" w:themeColor="text1"/>
          <w:sz w:val="24"/>
          <w:szCs w:val="24"/>
        </w:rPr>
        <w:lastRenderedPageBreak/>
        <w:t>vascular damage works to cause neuroinflammation and cognitive decline. Two recent studies of Alzheimer</w:t>
      </w:r>
      <w:r w:rsidRPr="0060384B">
        <w:rPr>
          <w:rFonts w:ascii="Lato" w:hAnsi="Lato"/>
          <w:color w:val="000000" w:themeColor="text1"/>
          <w:sz w:val="24"/>
          <w:szCs w:val="24"/>
        </w:rPr>
        <w:t>’s disease-asso</w:t>
      </w:r>
      <w:r w:rsidRPr="0060384B">
        <w:rPr>
          <w:rFonts w:ascii="Lato" w:hAnsi="Lato"/>
          <w:color w:val="000000" w:themeColor="text1"/>
          <w:sz w:val="24"/>
          <w:szCs w:val="24"/>
        </w:rPr>
        <w:t>ciated vascular changes focused on breakdowns in the blood-brain barrier (BBB) and reductions in brain blood flow:</w:t>
      </w:r>
    </w:p>
    <w:p w14:paraId="457D2DBE" w14:textId="77777777" w:rsidR="00000000" w:rsidRPr="0060384B" w:rsidRDefault="00CA5F6F">
      <w:pPr>
        <w:spacing w:line="237" w:lineRule="exact"/>
        <w:rPr>
          <w:rFonts w:ascii="Lato" w:eastAsia="Times New Roman" w:hAnsi="Lato"/>
          <w:color w:val="000000" w:themeColor="text1"/>
          <w:sz w:val="24"/>
          <w:szCs w:val="24"/>
        </w:rPr>
      </w:pPr>
    </w:p>
    <w:p w14:paraId="6E50A3EB" w14:textId="77777777" w:rsidR="00000000" w:rsidRPr="0060384B" w:rsidRDefault="00CA5F6F">
      <w:pPr>
        <w:spacing w:line="242" w:lineRule="auto"/>
        <w:ind w:right="260"/>
        <w:rPr>
          <w:rFonts w:ascii="Lato" w:hAnsi="Lato"/>
          <w:color w:val="000000" w:themeColor="text1"/>
          <w:sz w:val="24"/>
          <w:szCs w:val="24"/>
        </w:rPr>
      </w:pPr>
      <w:r w:rsidRPr="0060384B">
        <w:rPr>
          <w:rFonts w:ascii="Lato" w:hAnsi="Lato"/>
          <w:b/>
          <w:color w:val="000000" w:themeColor="text1"/>
          <w:sz w:val="24"/>
          <w:szCs w:val="24"/>
        </w:rPr>
        <w:t>Protecting the integrity of the blood-brain barrier</w:t>
      </w:r>
      <w:r w:rsidRPr="0060384B">
        <w:rPr>
          <w:rFonts w:ascii="Lato" w:hAnsi="Lato"/>
          <w:b/>
          <w:color w:val="000000" w:themeColor="text1"/>
          <w:sz w:val="24"/>
          <w:szCs w:val="24"/>
        </w:rPr>
        <w:t>.</w:t>
      </w:r>
      <w:r w:rsidRPr="0060384B">
        <w:rPr>
          <w:rFonts w:ascii="Lato" w:hAnsi="Lato"/>
          <w:b/>
          <w:color w:val="000000" w:themeColor="text1"/>
          <w:sz w:val="24"/>
          <w:szCs w:val="24"/>
        </w:rPr>
        <w:t xml:space="preserve"> </w:t>
      </w:r>
      <w:r w:rsidRPr="0060384B">
        <w:rPr>
          <w:rFonts w:ascii="Lato" w:hAnsi="Lato"/>
          <w:color w:val="000000" w:themeColor="text1"/>
          <w:sz w:val="24"/>
          <w:szCs w:val="24"/>
        </w:rPr>
        <w:t>The integrity of the BBB is critical to brain</w:t>
      </w:r>
      <w:r w:rsidRPr="0060384B">
        <w:rPr>
          <w:rFonts w:ascii="Lato" w:hAnsi="Lato"/>
          <w:b/>
          <w:color w:val="000000" w:themeColor="text1"/>
          <w:sz w:val="24"/>
          <w:szCs w:val="24"/>
        </w:rPr>
        <w:t xml:space="preserve"> </w:t>
      </w:r>
      <w:r w:rsidRPr="0060384B">
        <w:rPr>
          <w:rFonts w:ascii="Lato" w:hAnsi="Lato"/>
          <w:color w:val="000000" w:themeColor="text1"/>
          <w:sz w:val="24"/>
          <w:szCs w:val="24"/>
        </w:rPr>
        <w:t>health, as it prevents toxic substances i</w:t>
      </w:r>
      <w:r w:rsidRPr="0060384B">
        <w:rPr>
          <w:rFonts w:ascii="Lato" w:hAnsi="Lato"/>
          <w:color w:val="000000" w:themeColor="text1"/>
          <w:sz w:val="24"/>
          <w:szCs w:val="24"/>
        </w:rPr>
        <w:t>n the bloodstream from leaking into the brain. NIH-funded scientists found that leakage into the brain of one blood protein, the clotting factor fibrinogen, set off a series of cellular events leading to synapse loss and cognitive impairment (</w:t>
      </w:r>
      <w:hyperlink r:id="rId124" w:history="1">
        <w:r w:rsidRPr="0060384B">
          <w:rPr>
            <w:rFonts w:ascii="Lato" w:hAnsi="Lato"/>
            <w:color w:val="000000" w:themeColor="text1"/>
            <w:sz w:val="24"/>
            <w:szCs w:val="24"/>
          </w:rPr>
          <w:t>Merlini et al., 2019</w:t>
        </w:r>
      </w:hyperlink>
      <w:r w:rsidRPr="0060384B">
        <w:rPr>
          <w:rFonts w:ascii="Lato" w:hAnsi="Lato"/>
          <w:color w:val="000000" w:themeColor="text1"/>
          <w:sz w:val="24"/>
          <w:szCs w:val="24"/>
        </w:rPr>
        <w:t>). Studying the brains of people who died with Alzheimer</w:t>
      </w:r>
      <w:r w:rsidRPr="0060384B">
        <w:rPr>
          <w:rFonts w:ascii="Lato" w:hAnsi="Lato"/>
          <w:color w:val="000000" w:themeColor="text1"/>
          <w:sz w:val="24"/>
          <w:szCs w:val="24"/>
        </w:rPr>
        <w:t>’s disease, the scientists found fibrinogen deposits scattered throughout the cortex, both alone and in association with amyloid pla</w:t>
      </w:r>
      <w:r w:rsidRPr="0060384B">
        <w:rPr>
          <w:rFonts w:ascii="Lato" w:hAnsi="Lato"/>
          <w:color w:val="000000" w:themeColor="text1"/>
          <w:sz w:val="24"/>
          <w:szCs w:val="24"/>
        </w:rPr>
        <w:t>ques. The brains of Alzheimer</w:t>
      </w:r>
      <w:r w:rsidRPr="0060384B">
        <w:rPr>
          <w:rFonts w:ascii="Lato" w:hAnsi="Lato"/>
          <w:color w:val="000000" w:themeColor="text1"/>
          <w:sz w:val="24"/>
          <w:szCs w:val="24"/>
        </w:rPr>
        <w:t>’s model mice also contained fibrinogen deposits, and the mice as they aged showed a progressive loss of synapses around these deposits.</w:t>
      </w:r>
    </w:p>
    <w:p w14:paraId="26AD5CAB" w14:textId="77777777" w:rsidR="00000000" w:rsidRPr="0060384B" w:rsidRDefault="00CA5F6F">
      <w:pPr>
        <w:spacing w:line="260" w:lineRule="exact"/>
        <w:rPr>
          <w:rFonts w:ascii="Lato" w:eastAsia="Times New Roman" w:hAnsi="Lato"/>
          <w:color w:val="000000" w:themeColor="text1"/>
          <w:sz w:val="24"/>
          <w:szCs w:val="24"/>
        </w:rPr>
      </w:pPr>
    </w:p>
    <w:p w14:paraId="63C8CDFB" w14:textId="77777777" w:rsidR="00000000" w:rsidRPr="0060384B" w:rsidRDefault="00CA5F6F">
      <w:pPr>
        <w:spacing w:line="243" w:lineRule="auto"/>
        <w:ind w:right="80"/>
        <w:rPr>
          <w:rFonts w:ascii="Lato" w:hAnsi="Lato"/>
          <w:color w:val="000000" w:themeColor="text1"/>
          <w:sz w:val="24"/>
          <w:szCs w:val="24"/>
        </w:rPr>
      </w:pPr>
      <w:r w:rsidRPr="0060384B">
        <w:rPr>
          <w:rFonts w:ascii="Lato" w:hAnsi="Lato"/>
          <w:color w:val="000000" w:themeColor="text1"/>
          <w:sz w:val="24"/>
          <w:szCs w:val="24"/>
        </w:rPr>
        <w:t>To better understand why this was happening, the scientists introduced fibrinogen directl</w:t>
      </w:r>
      <w:r w:rsidRPr="0060384B">
        <w:rPr>
          <w:rFonts w:ascii="Lato" w:hAnsi="Lato"/>
          <w:color w:val="000000" w:themeColor="text1"/>
          <w:sz w:val="24"/>
          <w:szCs w:val="24"/>
        </w:rPr>
        <w:t>y into the brains of healthy mice. The synapses started disappearing from around the injection site within 3 days. The fibrinogen also triggered local microglial cells to become activated and release neurotoxic reactive oxygen species. Microglia are the ma</w:t>
      </w:r>
      <w:r w:rsidRPr="0060384B">
        <w:rPr>
          <w:rFonts w:ascii="Lato" w:hAnsi="Lato"/>
          <w:color w:val="000000" w:themeColor="text1"/>
          <w:sz w:val="24"/>
          <w:szCs w:val="24"/>
        </w:rPr>
        <w:t>jor immune cells of the brain and are involved in seeking out, destroying, and digesting foreign cells and proteins. When the scientists knocked out a specific receptor (CD11b, by which fibrinogen binds to and activates microglia) in Alzheimer</w:t>
      </w:r>
      <w:r w:rsidRPr="0060384B">
        <w:rPr>
          <w:rFonts w:ascii="Lato" w:hAnsi="Lato"/>
          <w:color w:val="000000" w:themeColor="text1"/>
          <w:sz w:val="24"/>
          <w:szCs w:val="24"/>
        </w:rPr>
        <w:t>’s model mice</w:t>
      </w:r>
      <w:r w:rsidRPr="0060384B">
        <w:rPr>
          <w:rFonts w:ascii="Lato" w:hAnsi="Lato"/>
          <w:color w:val="000000" w:themeColor="text1"/>
          <w:sz w:val="24"/>
          <w:szCs w:val="24"/>
        </w:rPr>
        <w:t>, the mice showed less synaptic loss and improved cognition.</w:t>
      </w:r>
    </w:p>
    <w:p w14:paraId="2993096D" w14:textId="77777777" w:rsidR="00000000" w:rsidRPr="0060384B" w:rsidRDefault="00CA5F6F">
      <w:pPr>
        <w:spacing w:line="247" w:lineRule="exact"/>
        <w:rPr>
          <w:rFonts w:ascii="Lato" w:eastAsia="Times New Roman" w:hAnsi="Lato"/>
          <w:color w:val="000000" w:themeColor="text1"/>
          <w:sz w:val="24"/>
          <w:szCs w:val="24"/>
        </w:rPr>
      </w:pPr>
    </w:p>
    <w:p w14:paraId="08DD5C04" w14:textId="77777777" w:rsidR="00000000" w:rsidRPr="0060384B" w:rsidRDefault="00CA5F6F">
      <w:pPr>
        <w:spacing w:line="243" w:lineRule="auto"/>
        <w:ind w:right="300"/>
        <w:rPr>
          <w:rFonts w:ascii="Lato" w:hAnsi="Lato"/>
          <w:color w:val="000000" w:themeColor="text1"/>
          <w:sz w:val="24"/>
          <w:szCs w:val="24"/>
        </w:rPr>
      </w:pPr>
      <w:r w:rsidRPr="0060384B">
        <w:rPr>
          <w:rFonts w:ascii="Lato" w:hAnsi="Lato"/>
          <w:b/>
          <w:color w:val="000000" w:themeColor="text1"/>
          <w:sz w:val="24"/>
          <w:szCs w:val="24"/>
        </w:rPr>
        <w:t xml:space="preserve">Blood-brain barrier breakdown as a biomarker of disease. </w:t>
      </w:r>
      <w:r w:rsidRPr="0060384B">
        <w:rPr>
          <w:rFonts w:ascii="Lato" w:hAnsi="Lato"/>
          <w:color w:val="000000" w:themeColor="text1"/>
          <w:sz w:val="24"/>
          <w:szCs w:val="24"/>
        </w:rPr>
        <w:t>In one study searching for early</w:t>
      </w:r>
      <w:r w:rsidRPr="0060384B">
        <w:rPr>
          <w:rFonts w:ascii="Lato" w:hAnsi="Lato"/>
          <w:b/>
          <w:color w:val="000000" w:themeColor="text1"/>
          <w:sz w:val="24"/>
          <w:szCs w:val="24"/>
        </w:rPr>
        <w:t xml:space="preserve"> </w:t>
      </w:r>
      <w:r w:rsidRPr="0060384B">
        <w:rPr>
          <w:rFonts w:ascii="Lato" w:hAnsi="Lato"/>
          <w:color w:val="000000" w:themeColor="text1"/>
          <w:sz w:val="24"/>
          <w:szCs w:val="24"/>
        </w:rPr>
        <w:t xml:space="preserve">biomarkers of cognitive decline, a team </w:t>
      </w:r>
      <w:hyperlink r:id="rId125" w:history="1">
        <w:r w:rsidRPr="0060384B">
          <w:rPr>
            <w:rFonts w:ascii="Lato" w:hAnsi="Lato"/>
            <w:color w:val="000000" w:themeColor="text1"/>
            <w:sz w:val="24"/>
            <w:szCs w:val="24"/>
          </w:rPr>
          <w:t>(</w:t>
        </w:r>
        <w:r w:rsidRPr="0060384B">
          <w:rPr>
            <w:rFonts w:ascii="Lato" w:hAnsi="Lato"/>
            <w:color w:val="000000" w:themeColor="text1"/>
            <w:sz w:val="24"/>
            <w:szCs w:val="24"/>
          </w:rPr>
          <w:t>Nat</w:t>
        </w:r>
        <w:r w:rsidRPr="0060384B">
          <w:rPr>
            <w:rFonts w:ascii="Lato" w:hAnsi="Lato"/>
            <w:color w:val="000000" w:themeColor="text1"/>
            <w:sz w:val="24"/>
            <w:szCs w:val="24"/>
          </w:rPr>
          <w:t>ion et al., 2019</w:t>
        </w:r>
      </w:hyperlink>
      <w:r w:rsidRPr="0060384B">
        <w:rPr>
          <w:rFonts w:ascii="Lato" w:hAnsi="Lato"/>
          <w:color w:val="000000" w:themeColor="text1"/>
          <w:sz w:val="24"/>
          <w:szCs w:val="24"/>
        </w:rPr>
        <w:t>) supported by NIH examined two markers involved in the breakdown of the BBB. In more than 160 people with and without cognitive impairment, researchers measured levels of the soluble form of a protein called platelet-</w:t>
      </w:r>
      <w:r w:rsidRPr="0060384B">
        <w:rPr>
          <w:rFonts w:ascii="Lato" w:hAnsi="Lato"/>
          <w:color w:val="000000" w:themeColor="text1"/>
          <w:sz w:val="24"/>
          <w:szCs w:val="24"/>
        </w:rPr>
        <w:t>derived growth factor</w:t>
      </w:r>
      <w:r w:rsidRPr="0060384B">
        <w:rPr>
          <w:rFonts w:ascii="Lato" w:hAnsi="Lato"/>
          <w:color w:val="000000" w:themeColor="text1"/>
          <w:sz w:val="24"/>
          <w:szCs w:val="24"/>
        </w:rPr>
        <w:t xml:space="preserve"> receptor beta (PDGFR</w:t>
      </w:r>
      <w:r w:rsidRPr="0060384B">
        <w:rPr>
          <w:rFonts w:cs="Calibri"/>
          <w:color w:val="000000" w:themeColor="text1"/>
          <w:sz w:val="24"/>
          <w:szCs w:val="24"/>
        </w:rPr>
        <w:t>β</w:t>
      </w:r>
      <w:r w:rsidRPr="0060384B">
        <w:rPr>
          <w:rFonts w:ascii="Lato" w:hAnsi="Lato"/>
          <w:color w:val="000000" w:themeColor="text1"/>
          <w:sz w:val="24"/>
          <w:szCs w:val="24"/>
        </w:rPr>
        <w:t>). The protein is found in the capillaries</w:t>
      </w:r>
      <w:r w:rsidRPr="0060384B">
        <w:rPr>
          <w:rFonts w:ascii="Lato" w:hAnsi="Lato"/>
          <w:color w:val="000000" w:themeColor="text1"/>
          <w:sz w:val="24"/>
          <w:szCs w:val="24"/>
        </w:rPr>
        <w:t xml:space="preserve"> that maintain the BBB</w:t>
      </w:r>
      <w:r w:rsidRPr="0060384B">
        <w:rPr>
          <w:rFonts w:ascii="Lato" w:hAnsi="Lato"/>
          <w:color w:val="000000" w:themeColor="text1"/>
          <w:sz w:val="24"/>
          <w:szCs w:val="24"/>
        </w:rPr>
        <w:t>’s integrity, and levels of the soluble form rise in CSF when the BBB is compromised. The team also tracked the integrity of the BBB in 73 participants using an imaging t</w:t>
      </w:r>
      <w:r w:rsidRPr="0060384B">
        <w:rPr>
          <w:rFonts w:ascii="Lato" w:hAnsi="Lato"/>
          <w:color w:val="000000" w:themeColor="text1"/>
          <w:sz w:val="24"/>
          <w:szCs w:val="24"/>
        </w:rPr>
        <w:t>echnique they'd previously developed.</w:t>
      </w:r>
    </w:p>
    <w:p w14:paraId="2F1FA885" w14:textId="77777777" w:rsidR="00000000" w:rsidRPr="0060384B" w:rsidRDefault="00CA5F6F">
      <w:pPr>
        <w:spacing w:line="256" w:lineRule="exact"/>
        <w:rPr>
          <w:rFonts w:ascii="Lato" w:eastAsia="Times New Roman" w:hAnsi="Lato"/>
          <w:color w:val="000000" w:themeColor="text1"/>
          <w:sz w:val="24"/>
          <w:szCs w:val="24"/>
        </w:rPr>
      </w:pPr>
    </w:p>
    <w:p w14:paraId="6C90D074" w14:textId="77777777" w:rsidR="00000000" w:rsidRPr="0060384B" w:rsidRDefault="00CA5F6F">
      <w:pPr>
        <w:spacing w:line="243" w:lineRule="auto"/>
        <w:ind w:right="20"/>
        <w:rPr>
          <w:rFonts w:ascii="Lato" w:hAnsi="Lato"/>
          <w:color w:val="000000" w:themeColor="text1"/>
          <w:sz w:val="24"/>
          <w:szCs w:val="24"/>
        </w:rPr>
      </w:pPr>
      <w:r w:rsidRPr="0060384B">
        <w:rPr>
          <w:rFonts w:ascii="Lato" w:hAnsi="Lato"/>
          <w:color w:val="000000" w:themeColor="text1"/>
          <w:sz w:val="24"/>
          <w:szCs w:val="24"/>
        </w:rPr>
        <w:t xml:space="preserve">Compared with those without cognitive impairment, participants with cognitive impairment </w:t>
      </w:r>
      <w:r w:rsidRPr="0060384B">
        <w:rPr>
          <w:rFonts w:ascii="Lato" w:hAnsi="Lato"/>
          <w:color w:val="000000" w:themeColor="text1"/>
          <w:sz w:val="24"/>
          <w:szCs w:val="24"/>
        </w:rPr>
        <w:t>had higher levels of soluble PDGFR</w:t>
      </w:r>
      <w:r w:rsidRPr="0060384B">
        <w:rPr>
          <w:rFonts w:cs="Calibri"/>
          <w:color w:val="000000" w:themeColor="text1"/>
          <w:sz w:val="24"/>
          <w:szCs w:val="24"/>
        </w:rPr>
        <w:t>β</w:t>
      </w:r>
      <w:r w:rsidRPr="0060384B">
        <w:rPr>
          <w:rFonts w:ascii="Lato" w:hAnsi="Lato"/>
          <w:color w:val="000000" w:themeColor="text1"/>
          <w:sz w:val="24"/>
          <w:szCs w:val="24"/>
        </w:rPr>
        <w:t xml:space="preserve"> and a greater breakdown in the </w:t>
      </w:r>
      <w:r w:rsidRPr="0060384B">
        <w:rPr>
          <w:rFonts w:ascii="Lato" w:hAnsi="Lato"/>
          <w:color w:val="000000" w:themeColor="text1"/>
          <w:sz w:val="24"/>
          <w:szCs w:val="24"/>
        </w:rPr>
        <w:t>BBB of certain brain</w:t>
      </w:r>
      <w:r w:rsidRPr="0060384B">
        <w:rPr>
          <w:rFonts w:ascii="Lato" w:hAnsi="Lato"/>
          <w:color w:val="000000" w:themeColor="text1"/>
          <w:sz w:val="24"/>
          <w:szCs w:val="24"/>
        </w:rPr>
        <w:t xml:space="preserve"> </w:t>
      </w:r>
      <w:r w:rsidRPr="0060384B">
        <w:rPr>
          <w:rFonts w:ascii="Lato" w:hAnsi="Lato"/>
          <w:color w:val="000000" w:themeColor="text1"/>
          <w:sz w:val="24"/>
          <w:szCs w:val="24"/>
        </w:rPr>
        <w:t>regions. Notably, both measures were ind</w:t>
      </w:r>
      <w:r w:rsidRPr="0060384B">
        <w:rPr>
          <w:rFonts w:ascii="Lato" w:hAnsi="Lato"/>
          <w:color w:val="000000" w:themeColor="text1"/>
          <w:sz w:val="24"/>
          <w:szCs w:val="24"/>
        </w:rPr>
        <w:t>ependent of beta-amyloid and tau protein levels. The findings show that individuals with early cognitive dysfunction develop brain capillary damage and BBB breakdown in the hippocampus irrespective of Alzheimer</w:t>
      </w:r>
      <w:r w:rsidRPr="0060384B">
        <w:rPr>
          <w:rFonts w:ascii="Lato" w:hAnsi="Lato"/>
          <w:color w:val="000000" w:themeColor="text1"/>
          <w:sz w:val="24"/>
          <w:szCs w:val="24"/>
        </w:rPr>
        <w:t>’s-related beta-amyloid and/or tau biomarker c</w:t>
      </w:r>
      <w:r w:rsidRPr="0060384B">
        <w:rPr>
          <w:rFonts w:ascii="Lato" w:hAnsi="Lato"/>
          <w:color w:val="000000" w:themeColor="text1"/>
          <w:sz w:val="24"/>
          <w:szCs w:val="24"/>
        </w:rPr>
        <w:t>hanges. This suggests that BBB breakdown may be an early biomarker of human cognitive dysfunction and a possible new target for disease prevention.</w:t>
      </w:r>
    </w:p>
    <w:p w14:paraId="0A99DFB0" w14:textId="77777777" w:rsidR="00000000" w:rsidRPr="0060384B" w:rsidRDefault="00CA5F6F">
      <w:pPr>
        <w:spacing w:line="251" w:lineRule="exact"/>
        <w:rPr>
          <w:rFonts w:ascii="Lato" w:eastAsia="Times New Roman" w:hAnsi="Lato"/>
          <w:color w:val="000000" w:themeColor="text1"/>
          <w:sz w:val="24"/>
          <w:szCs w:val="24"/>
        </w:rPr>
      </w:pPr>
    </w:p>
    <w:p w14:paraId="4C272BFE" w14:textId="77777777" w:rsidR="00000000" w:rsidRPr="0060384B" w:rsidRDefault="00CA5F6F">
      <w:pPr>
        <w:spacing w:line="244" w:lineRule="auto"/>
        <w:ind w:right="20"/>
        <w:rPr>
          <w:rFonts w:ascii="Lato" w:hAnsi="Lato"/>
          <w:color w:val="000000" w:themeColor="text1"/>
          <w:sz w:val="24"/>
          <w:szCs w:val="24"/>
        </w:rPr>
      </w:pPr>
      <w:r w:rsidRPr="0060384B">
        <w:rPr>
          <w:rFonts w:ascii="Lato" w:hAnsi="Lato"/>
          <w:b/>
          <w:color w:val="000000" w:themeColor="text1"/>
          <w:sz w:val="24"/>
          <w:szCs w:val="24"/>
        </w:rPr>
        <w:t xml:space="preserve">Maintaining brain blood flow. </w:t>
      </w:r>
      <w:r w:rsidRPr="0060384B">
        <w:rPr>
          <w:rFonts w:ascii="Lato" w:hAnsi="Lato"/>
          <w:color w:val="000000" w:themeColor="text1"/>
          <w:sz w:val="24"/>
          <w:szCs w:val="24"/>
        </w:rPr>
        <w:t>Brain blood flow is also compromised early in Alzheimer</w:t>
      </w:r>
      <w:r w:rsidRPr="0060384B">
        <w:rPr>
          <w:rFonts w:ascii="Lato" w:hAnsi="Lato"/>
          <w:color w:val="000000" w:themeColor="text1"/>
          <w:sz w:val="24"/>
          <w:szCs w:val="24"/>
        </w:rPr>
        <w:t>’s</w:t>
      </w:r>
      <w:r w:rsidRPr="0060384B">
        <w:rPr>
          <w:rFonts w:ascii="Lato" w:hAnsi="Lato"/>
          <w:b/>
          <w:color w:val="000000" w:themeColor="text1"/>
          <w:sz w:val="24"/>
          <w:szCs w:val="24"/>
        </w:rPr>
        <w:t xml:space="preserve"> </w:t>
      </w:r>
      <w:r w:rsidRPr="0060384B">
        <w:rPr>
          <w:rFonts w:ascii="Lato" w:hAnsi="Lato"/>
          <w:color w:val="000000" w:themeColor="text1"/>
          <w:sz w:val="24"/>
          <w:szCs w:val="24"/>
        </w:rPr>
        <w:t>disease. Reductions</w:t>
      </w:r>
      <w:r w:rsidRPr="0060384B">
        <w:rPr>
          <w:rFonts w:ascii="Lato" w:hAnsi="Lato"/>
          <w:color w:val="000000" w:themeColor="text1"/>
          <w:sz w:val="24"/>
          <w:szCs w:val="24"/>
        </w:rPr>
        <w:t xml:space="preserve"> of about 25 percent are seen in both humans and mouse models. In a study that for the first time has identified a cause of reduced cerebral blood flow, NIH-supported researchers (</w:t>
      </w:r>
      <w:hyperlink r:id="rId126" w:history="1">
        <w:r w:rsidRPr="0060384B">
          <w:rPr>
            <w:rFonts w:ascii="Lato" w:hAnsi="Lato"/>
            <w:color w:val="000000" w:themeColor="text1"/>
            <w:sz w:val="24"/>
            <w:szCs w:val="24"/>
          </w:rPr>
          <w:t>Cruz Hernández e</w:t>
        </w:r>
        <w:r w:rsidRPr="0060384B">
          <w:rPr>
            <w:rFonts w:ascii="Lato" w:hAnsi="Lato"/>
            <w:color w:val="000000" w:themeColor="text1"/>
            <w:sz w:val="24"/>
            <w:szCs w:val="24"/>
          </w:rPr>
          <w:t>t al., 2019</w:t>
        </w:r>
      </w:hyperlink>
      <w:r w:rsidRPr="0060384B">
        <w:rPr>
          <w:rFonts w:ascii="Lato" w:hAnsi="Lato"/>
          <w:color w:val="000000" w:themeColor="text1"/>
          <w:sz w:val="24"/>
          <w:szCs w:val="24"/>
        </w:rPr>
        <w:t>) found this problem can result from white blood cells (immune cells) clogging up capillaries. Capillaries are the smallest blood vessels of the brain, so tiny that blood cells squeeze through them single file and can become stuck. The scientis</w:t>
      </w:r>
      <w:r w:rsidRPr="0060384B">
        <w:rPr>
          <w:rFonts w:ascii="Lato" w:hAnsi="Lato"/>
          <w:color w:val="000000" w:themeColor="text1"/>
          <w:sz w:val="24"/>
          <w:szCs w:val="24"/>
        </w:rPr>
        <w:t>ts</w:t>
      </w:r>
    </w:p>
    <w:p w14:paraId="15CF8CF0" w14:textId="77777777" w:rsidR="00000000" w:rsidRPr="0060384B" w:rsidRDefault="00CA5F6F">
      <w:pPr>
        <w:spacing w:line="244" w:lineRule="auto"/>
        <w:ind w:right="2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565E889C" w14:textId="77777777" w:rsidR="00000000" w:rsidRPr="0060384B" w:rsidRDefault="00CA5F6F">
      <w:pPr>
        <w:spacing w:line="334"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2B18D232" w14:textId="77777777">
        <w:trPr>
          <w:trHeight w:val="245"/>
        </w:trPr>
        <w:tc>
          <w:tcPr>
            <w:tcW w:w="6540" w:type="dxa"/>
            <w:shd w:val="clear" w:color="auto" w:fill="auto"/>
            <w:vAlign w:val="bottom"/>
          </w:tcPr>
          <w:p w14:paraId="03ABB612"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TOGETHER WE SUCCEED</w:t>
            </w:r>
          </w:p>
        </w:tc>
        <w:tc>
          <w:tcPr>
            <w:tcW w:w="2820" w:type="dxa"/>
            <w:shd w:val="clear" w:color="auto" w:fill="auto"/>
            <w:vAlign w:val="bottom"/>
          </w:tcPr>
          <w:p w14:paraId="6D748B81"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35</w:t>
            </w:r>
          </w:p>
        </w:tc>
      </w:tr>
      <w:tr w:rsidR="00000000" w:rsidRPr="0060384B" w14:paraId="3372A6CC" w14:textId="77777777">
        <w:trPr>
          <w:trHeight w:val="258"/>
        </w:trPr>
        <w:tc>
          <w:tcPr>
            <w:tcW w:w="6540" w:type="dxa"/>
            <w:shd w:val="clear" w:color="auto" w:fill="auto"/>
            <w:vAlign w:val="bottom"/>
          </w:tcPr>
          <w:p w14:paraId="7244853A"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49B803B2" w14:textId="77777777" w:rsidR="00000000" w:rsidRPr="0060384B" w:rsidRDefault="00CA5F6F">
            <w:pPr>
              <w:spacing w:line="0" w:lineRule="atLeast"/>
              <w:rPr>
                <w:rFonts w:ascii="Lato" w:eastAsia="Times New Roman" w:hAnsi="Lato"/>
                <w:color w:val="000000" w:themeColor="text1"/>
                <w:sz w:val="24"/>
                <w:szCs w:val="24"/>
              </w:rPr>
            </w:pPr>
          </w:p>
        </w:tc>
      </w:tr>
    </w:tbl>
    <w:p w14:paraId="50759F7F"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4B74BE9A" w14:textId="77777777" w:rsidR="00000000" w:rsidRPr="0060384B" w:rsidRDefault="00CA5F6F">
      <w:pPr>
        <w:spacing w:line="247" w:lineRule="auto"/>
        <w:ind w:right="100"/>
        <w:rPr>
          <w:rFonts w:ascii="Lato" w:hAnsi="Lato"/>
          <w:color w:val="000000" w:themeColor="text1"/>
          <w:sz w:val="24"/>
          <w:szCs w:val="24"/>
        </w:rPr>
      </w:pPr>
      <w:bookmarkStart w:id="38" w:name="page39"/>
      <w:bookmarkEnd w:id="38"/>
      <w:r w:rsidRPr="0060384B">
        <w:rPr>
          <w:rFonts w:ascii="Lato" w:hAnsi="Lato"/>
          <w:color w:val="000000" w:themeColor="text1"/>
          <w:sz w:val="24"/>
          <w:szCs w:val="24"/>
        </w:rPr>
        <w:lastRenderedPageBreak/>
        <w:t>imaged the brains of Alzheimer</w:t>
      </w:r>
      <w:r w:rsidRPr="0060384B">
        <w:rPr>
          <w:rFonts w:ascii="Lato" w:hAnsi="Lato"/>
          <w:color w:val="000000" w:themeColor="text1"/>
          <w:sz w:val="24"/>
          <w:szCs w:val="24"/>
        </w:rPr>
        <w:t>’s model mice and saw that about 2 percent of their brain capillaries were blocked, or four times more than in healthy mice. Most of the blockages</w:t>
      </w:r>
      <w:r w:rsidRPr="0060384B">
        <w:rPr>
          <w:rFonts w:ascii="Lato" w:hAnsi="Lato"/>
          <w:color w:val="000000" w:themeColor="text1"/>
          <w:sz w:val="24"/>
          <w:szCs w:val="24"/>
        </w:rPr>
        <w:t xml:space="preserve"> lasted less than 5 minutes, although even brief blockages of brain blood flow can impair cognition. One-third of the blockages lasted for more than 15 minutes.</w:t>
      </w:r>
    </w:p>
    <w:p w14:paraId="58C0F043" w14:textId="77777777" w:rsidR="00000000" w:rsidRPr="0060384B" w:rsidRDefault="00CA5F6F">
      <w:pPr>
        <w:spacing w:line="246" w:lineRule="exact"/>
        <w:rPr>
          <w:rFonts w:ascii="Lato" w:eastAsia="Times New Roman" w:hAnsi="Lato"/>
          <w:color w:val="000000" w:themeColor="text1"/>
          <w:sz w:val="24"/>
          <w:szCs w:val="24"/>
        </w:rPr>
      </w:pPr>
    </w:p>
    <w:p w14:paraId="7CCE1DC4" w14:textId="77777777" w:rsidR="00000000" w:rsidRPr="0060384B" w:rsidRDefault="00CA5F6F">
      <w:pPr>
        <w:spacing w:line="244" w:lineRule="auto"/>
        <w:ind w:right="180"/>
        <w:rPr>
          <w:rFonts w:ascii="Lato" w:hAnsi="Lato"/>
          <w:color w:val="000000" w:themeColor="text1"/>
          <w:sz w:val="24"/>
          <w:szCs w:val="24"/>
        </w:rPr>
      </w:pPr>
      <w:r w:rsidRPr="0060384B">
        <w:rPr>
          <w:rFonts w:ascii="Lato" w:hAnsi="Lato"/>
          <w:color w:val="000000" w:themeColor="text1"/>
          <w:sz w:val="24"/>
          <w:szCs w:val="24"/>
        </w:rPr>
        <w:t>With further study, the researchers discovered that capillary blood flow was stalled by neutro</w:t>
      </w:r>
      <w:r w:rsidRPr="0060384B">
        <w:rPr>
          <w:rFonts w:ascii="Lato" w:hAnsi="Lato"/>
          <w:color w:val="000000" w:themeColor="text1"/>
          <w:sz w:val="24"/>
          <w:szCs w:val="24"/>
        </w:rPr>
        <w:t>phils, the most common type of white blood cell, sticking to capillary walls. Neutrophils can be identified based on their expression of a cell- surface protein LyG6. When the scientists treated Alzheimer</w:t>
      </w:r>
      <w:r w:rsidRPr="0060384B">
        <w:rPr>
          <w:rFonts w:ascii="Lato" w:hAnsi="Lato"/>
          <w:color w:val="000000" w:themeColor="text1"/>
          <w:sz w:val="24"/>
          <w:szCs w:val="24"/>
        </w:rPr>
        <w:t>’s model mice with an antibody to LyG6, their capill</w:t>
      </w:r>
      <w:r w:rsidRPr="0060384B">
        <w:rPr>
          <w:rFonts w:ascii="Lato" w:hAnsi="Lato"/>
          <w:color w:val="000000" w:themeColor="text1"/>
          <w:sz w:val="24"/>
          <w:szCs w:val="24"/>
        </w:rPr>
        <w:t>aries unclogged within minutes, and blood flow to their brains increased by 30 percent. Just one dose of the antibody also improved the mice</w:t>
      </w:r>
      <w:r w:rsidRPr="0060384B">
        <w:rPr>
          <w:rFonts w:ascii="Lato" w:hAnsi="Lato"/>
          <w:color w:val="000000" w:themeColor="text1"/>
          <w:sz w:val="24"/>
          <w:szCs w:val="24"/>
        </w:rPr>
        <w:t>’s spatial and working memory within 3 hours.</w:t>
      </w:r>
    </w:p>
    <w:p w14:paraId="0A58E9D5" w14:textId="77777777" w:rsidR="00000000" w:rsidRPr="0060384B" w:rsidRDefault="00CA5F6F">
      <w:pPr>
        <w:spacing w:line="250" w:lineRule="exact"/>
        <w:rPr>
          <w:rFonts w:ascii="Lato" w:eastAsia="Times New Roman" w:hAnsi="Lato"/>
          <w:color w:val="000000" w:themeColor="text1"/>
          <w:sz w:val="24"/>
          <w:szCs w:val="24"/>
        </w:rPr>
      </w:pPr>
    </w:p>
    <w:p w14:paraId="100F4D26" w14:textId="77777777" w:rsidR="00000000" w:rsidRPr="0060384B" w:rsidRDefault="00CA5F6F">
      <w:pPr>
        <w:spacing w:line="251" w:lineRule="auto"/>
        <w:ind w:right="400"/>
        <w:rPr>
          <w:rFonts w:ascii="Lato" w:hAnsi="Lato"/>
          <w:color w:val="000000" w:themeColor="text1"/>
          <w:sz w:val="24"/>
          <w:szCs w:val="24"/>
        </w:rPr>
      </w:pPr>
      <w:r w:rsidRPr="0060384B">
        <w:rPr>
          <w:rFonts w:ascii="Lato" w:hAnsi="Lato"/>
          <w:color w:val="000000" w:themeColor="text1"/>
          <w:sz w:val="24"/>
          <w:szCs w:val="24"/>
        </w:rPr>
        <w:t>This work suggests a possible new contributing mechanism for Alzheime</w:t>
      </w:r>
      <w:r w:rsidRPr="0060384B">
        <w:rPr>
          <w:rFonts w:ascii="Lato" w:hAnsi="Lato"/>
          <w:color w:val="000000" w:themeColor="text1"/>
          <w:sz w:val="24"/>
          <w:szCs w:val="24"/>
        </w:rPr>
        <w:t>r</w:t>
      </w:r>
      <w:r w:rsidRPr="0060384B">
        <w:rPr>
          <w:rFonts w:ascii="Lato" w:hAnsi="Lato"/>
          <w:color w:val="000000" w:themeColor="text1"/>
          <w:sz w:val="24"/>
          <w:szCs w:val="24"/>
        </w:rPr>
        <w:t>’s disease, representing a potential new target for early therapeutic intervention, bolstered by findings that the antibody treatment improved learning and memory in animal models.</w:t>
      </w:r>
    </w:p>
    <w:p w14:paraId="360F6A32" w14:textId="77777777" w:rsidR="00000000" w:rsidRPr="0060384B" w:rsidRDefault="00CA5F6F">
      <w:pPr>
        <w:spacing w:line="237" w:lineRule="exact"/>
        <w:rPr>
          <w:rFonts w:ascii="Lato" w:eastAsia="Times New Roman" w:hAnsi="Lato"/>
          <w:color w:val="000000" w:themeColor="text1"/>
          <w:sz w:val="24"/>
          <w:szCs w:val="24"/>
        </w:rPr>
      </w:pPr>
    </w:p>
    <w:p w14:paraId="0869CD45"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Can Better Sleep Help Reduce Risk of Dementia?</w:t>
      </w:r>
    </w:p>
    <w:p w14:paraId="5DF48005" w14:textId="77777777" w:rsidR="00000000" w:rsidRPr="0060384B" w:rsidRDefault="00CA5F6F">
      <w:pPr>
        <w:spacing w:line="284" w:lineRule="exact"/>
        <w:rPr>
          <w:rFonts w:ascii="Lato" w:eastAsia="Times New Roman" w:hAnsi="Lato"/>
          <w:color w:val="000000" w:themeColor="text1"/>
          <w:sz w:val="24"/>
          <w:szCs w:val="24"/>
        </w:rPr>
      </w:pPr>
    </w:p>
    <w:p w14:paraId="07E02340" w14:textId="77777777" w:rsidR="00000000" w:rsidRPr="0060384B" w:rsidRDefault="00CA5F6F">
      <w:pPr>
        <w:spacing w:line="251" w:lineRule="auto"/>
        <w:ind w:right="380"/>
        <w:rPr>
          <w:rFonts w:ascii="Lato" w:hAnsi="Lato"/>
          <w:color w:val="000000" w:themeColor="text1"/>
          <w:sz w:val="24"/>
          <w:szCs w:val="24"/>
        </w:rPr>
      </w:pPr>
      <w:r w:rsidRPr="0060384B">
        <w:rPr>
          <w:rFonts w:ascii="Lato" w:hAnsi="Lato"/>
          <w:color w:val="000000" w:themeColor="text1"/>
          <w:sz w:val="24"/>
          <w:szCs w:val="24"/>
        </w:rPr>
        <w:t>Sleep disturbances are kn</w:t>
      </w:r>
      <w:r w:rsidRPr="0060384B">
        <w:rPr>
          <w:rFonts w:ascii="Lato" w:hAnsi="Lato"/>
          <w:color w:val="000000" w:themeColor="text1"/>
          <w:sz w:val="24"/>
          <w:szCs w:val="24"/>
        </w:rPr>
        <w:t>own to be an early symptom of Alzheimer</w:t>
      </w:r>
      <w:r w:rsidRPr="0060384B">
        <w:rPr>
          <w:rFonts w:ascii="Lato" w:hAnsi="Lato"/>
          <w:color w:val="000000" w:themeColor="text1"/>
          <w:sz w:val="24"/>
          <w:szCs w:val="24"/>
        </w:rPr>
        <w:t>’s disease, indicative of a faulty circadian system. But it is unknown whether circadian dysfunction is a result of neurodegeneration or plays a causative role in the development of Alzheimer</w:t>
      </w:r>
      <w:r w:rsidRPr="0060384B">
        <w:rPr>
          <w:rFonts w:ascii="Lato" w:hAnsi="Lato"/>
          <w:color w:val="000000" w:themeColor="text1"/>
          <w:sz w:val="24"/>
          <w:szCs w:val="24"/>
        </w:rPr>
        <w:t>’s disease.</w:t>
      </w:r>
    </w:p>
    <w:p w14:paraId="3CB50326" w14:textId="77777777" w:rsidR="00000000" w:rsidRPr="0060384B" w:rsidRDefault="00CA5F6F">
      <w:pPr>
        <w:spacing w:line="237" w:lineRule="exact"/>
        <w:rPr>
          <w:rFonts w:ascii="Lato" w:eastAsia="Times New Roman" w:hAnsi="Lato"/>
          <w:color w:val="000000" w:themeColor="text1"/>
          <w:sz w:val="24"/>
          <w:szCs w:val="24"/>
        </w:rPr>
      </w:pPr>
    </w:p>
    <w:p w14:paraId="0746ABCA" w14:textId="77777777" w:rsidR="00000000" w:rsidRPr="0060384B" w:rsidRDefault="00CA5F6F">
      <w:pPr>
        <w:spacing w:line="242" w:lineRule="auto"/>
        <w:ind w:right="40"/>
        <w:rPr>
          <w:rFonts w:ascii="Lato" w:hAnsi="Lato"/>
          <w:color w:val="000000" w:themeColor="text1"/>
          <w:sz w:val="24"/>
          <w:szCs w:val="24"/>
        </w:rPr>
      </w:pPr>
      <w:r w:rsidRPr="0060384B">
        <w:rPr>
          <w:rFonts w:ascii="Lato" w:hAnsi="Lato"/>
          <w:b/>
          <w:color w:val="000000" w:themeColor="text1"/>
          <w:sz w:val="24"/>
          <w:szCs w:val="24"/>
        </w:rPr>
        <w:t>The circadian</w:t>
      </w:r>
      <w:r w:rsidRPr="0060384B">
        <w:rPr>
          <w:rFonts w:ascii="Lato" w:hAnsi="Lato"/>
          <w:b/>
          <w:color w:val="000000" w:themeColor="text1"/>
          <w:sz w:val="24"/>
          <w:szCs w:val="24"/>
        </w:rPr>
        <w:t xml:space="preserve"> clock influences amyloid deposition. </w:t>
      </w:r>
      <w:r w:rsidRPr="0060384B">
        <w:rPr>
          <w:rFonts w:ascii="Lato" w:hAnsi="Lato"/>
          <w:color w:val="000000" w:themeColor="text1"/>
          <w:sz w:val="24"/>
          <w:szCs w:val="24"/>
        </w:rPr>
        <w:t>In mammals, the circadian system is</w:t>
      </w:r>
      <w:r w:rsidRPr="0060384B">
        <w:rPr>
          <w:rFonts w:ascii="Lato" w:hAnsi="Lato"/>
          <w:b/>
          <w:color w:val="000000" w:themeColor="text1"/>
          <w:sz w:val="24"/>
          <w:szCs w:val="24"/>
        </w:rPr>
        <w:t xml:space="preserve"> </w:t>
      </w:r>
      <w:r w:rsidRPr="0060384B">
        <w:rPr>
          <w:rFonts w:ascii="Lato" w:hAnsi="Lato"/>
          <w:color w:val="000000" w:themeColor="text1"/>
          <w:sz w:val="24"/>
          <w:szCs w:val="24"/>
        </w:rPr>
        <w:t xml:space="preserve">organized in a hierarchy, with a central </w:t>
      </w:r>
      <w:r w:rsidRPr="0060384B">
        <w:rPr>
          <w:rFonts w:ascii="Lato" w:hAnsi="Lato"/>
          <w:color w:val="000000" w:themeColor="text1"/>
          <w:sz w:val="24"/>
          <w:szCs w:val="24"/>
        </w:rPr>
        <w:t>“master</w:t>
      </w:r>
      <w:r w:rsidRPr="0060384B">
        <w:rPr>
          <w:rFonts w:ascii="Lato" w:hAnsi="Lato"/>
          <w:color w:val="000000" w:themeColor="text1"/>
          <w:sz w:val="24"/>
          <w:szCs w:val="24"/>
        </w:rPr>
        <w:t>” circadian clock and peripheral clocks distributed throughout the brain and body to coordinate physiology and behavior rhythms over 2</w:t>
      </w:r>
      <w:r w:rsidRPr="0060384B">
        <w:rPr>
          <w:rFonts w:ascii="Lato" w:hAnsi="Lato"/>
          <w:color w:val="000000" w:themeColor="text1"/>
          <w:sz w:val="24"/>
          <w:szCs w:val="24"/>
        </w:rPr>
        <w:t xml:space="preserve">4 hours. Levels of soluble amyloid-beta have been shown in mice to fluctuate daily in phase with known circadian rhythms. In this study, researchers </w:t>
      </w:r>
      <w:hyperlink r:id="rId127" w:history="1">
        <w:r w:rsidRPr="0060384B">
          <w:rPr>
            <w:rFonts w:ascii="Lato" w:hAnsi="Lato"/>
            <w:color w:val="000000" w:themeColor="text1"/>
            <w:sz w:val="24"/>
            <w:szCs w:val="24"/>
          </w:rPr>
          <w:t>(</w:t>
        </w:r>
        <w:r w:rsidRPr="0060384B">
          <w:rPr>
            <w:rFonts w:ascii="Lato" w:hAnsi="Lato"/>
            <w:color w:val="000000" w:themeColor="text1"/>
            <w:sz w:val="24"/>
            <w:szCs w:val="24"/>
          </w:rPr>
          <w:t>Kress et al., 2018</w:t>
        </w:r>
      </w:hyperlink>
      <w:r w:rsidRPr="0060384B">
        <w:rPr>
          <w:rFonts w:ascii="Lato" w:hAnsi="Lato"/>
          <w:color w:val="000000" w:themeColor="text1"/>
          <w:sz w:val="24"/>
          <w:szCs w:val="24"/>
        </w:rPr>
        <w:t xml:space="preserve">) supported in part by NIH </w:t>
      </w:r>
      <w:r w:rsidRPr="0060384B">
        <w:rPr>
          <w:rFonts w:ascii="Lato" w:hAnsi="Lato"/>
          <w:color w:val="000000" w:themeColor="text1"/>
          <w:sz w:val="24"/>
          <w:szCs w:val="24"/>
        </w:rPr>
        <w:t xml:space="preserve">disrupted the circadian clock function in an amyloid-beta mouse model by deleting a core clock gene, </w:t>
      </w:r>
      <w:r w:rsidRPr="0060384B">
        <w:rPr>
          <w:rFonts w:ascii="Lato" w:hAnsi="Lato"/>
          <w:color w:val="000000" w:themeColor="text1"/>
          <w:sz w:val="24"/>
          <w:szCs w:val="24"/>
        </w:rPr>
        <w:t>Bmal1</w:t>
      </w:r>
      <w:r w:rsidRPr="0060384B">
        <w:rPr>
          <w:rFonts w:ascii="Lato" w:hAnsi="Lato"/>
          <w:color w:val="000000" w:themeColor="text1"/>
          <w:sz w:val="24"/>
          <w:szCs w:val="24"/>
        </w:rPr>
        <w:t>. They found that loss of the critical gene from the central locus of the circadian system resulted in a disruption of amyloid-beta oscillations in th</w:t>
      </w:r>
      <w:r w:rsidRPr="0060384B">
        <w:rPr>
          <w:rFonts w:ascii="Lato" w:hAnsi="Lato"/>
          <w:color w:val="000000" w:themeColor="text1"/>
          <w:sz w:val="24"/>
          <w:szCs w:val="24"/>
        </w:rPr>
        <w:t xml:space="preserve">e interstitial fluid of the mouse brain. Loss of </w:t>
      </w:r>
      <w:r w:rsidRPr="0060384B">
        <w:rPr>
          <w:rFonts w:ascii="Lato" w:hAnsi="Lato"/>
          <w:color w:val="000000" w:themeColor="text1"/>
          <w:sz w:val="24"/>
          <w:szCs w:val="24"/>
        </w:rPr>
        <w:t>Bmal1</w:t>
      </w:r>
      <w:r w:rsidRPr="0060384B">
        <w:rPr>
          <w:rFonts w:ascii="Lato" w:hAnsi="Lato"/>
          <w:color w:val="000000" w:themeColor="text1"/>
          <w:sz w:val="24"/>
          <w:szCs w:val="24"/>
        </w:rPr>
        <w:t xml:space="preserve"> elsewhere in the brain outside the central clock did not have the same effect on amyloid-beta oscillations but did lead to an increase in the expression of the Alzheimer</w:t>
      </w:r>
      <w:r w:rsidRPr="0060384B">
        <w:rPr>
          <w:rFonts w:ascii="Lato" w:hAnsi="Lato"/>
          <w:color w:val="000000" w:themeColor="text1"/>
          <w:sz w:val="24"/>
          <w:szCs w:val="24"/>
        </w:rPr>
        <w:t xml:space="preserve">’s disease risk gene </w:t>
      </w:r>
      <w:r w:rsidRPr="0060384B">
        <w:rPr>
          <w:rFonts w:ascii="Lato" w:hAnsi="Lato"/>
          <w:color w:val="000000" w:themeColor="text1"/>
          <w:sz w:val="24"/>
          <w:szCs w:val="24"/>
        </w:rPr>
        <w:t>APOE</w:t>
      </w:r>
      <w:r w:rsidRPr="0060384B">
        <w:rPr>
          <w:rFonts w:ascii="Lato" w:hAnsi="Lato"/>
          <w:color w:val="000000" w:themeColor="text1"/>
          <w:sz w:val="24"/>
          <w:szCs w:val="24"/>
        </w:rPr>
        <w:t xml:space="preserve"> and ac</w:t>
      </w:r>
      <w:r w:rsidRPr="0060384B">
        <w:rPr>
          <w:rFonts w:ascii="Lato" w:hAnsi="Lato"/>
          <w:color w:val="000000" w:themeColor="text1"/>
          <w:sz w:val="24"/>
          <w:szCs w:val="24"/>
        </w:rPr>
        <w:t>celerated the accumulation of amyloid plaques.</w:t>
      </w:r>
    </w:p>
    <w:p w14:paraId="3D3915D6" w14:textId="77777777" w:rsidR="00000000" w:rsidRPr="0060384B" w:rsidRDefault="00CA5F6F">
      <w:pPr>
        <w:spacing w:line="255" w:lineRule="exact"/>
        <w:rPr>
          <w:rFonts w:ascii="Lato" w:eastAsia="Times New Roman" w:hAnsi="Lato"/>
          <w:color w:val="000000" w:themeColor="text1"/>
          <w:sz w:val="24"/>
          <w:szCs w:val="24"/>
        </w:rPr>
      </w:pPr>
    </w:p>
    <w:p w14:paraId="52078816" w14:textId="77777777" w:rsidR="00000000" w:rsidRPr="0060384B" w:rsidRDefault="00CA5F6F">
      <w:pPr>
        <w:spacing w:line="245" w:lineRule="auto"/>
        <w:ind w:right="120"/>
        <w:rPr>
          <w:rFonts w:ascii="Lato" w:hAnsi="Lato"/>
          <w:color w:val="000000" w:themeColor="text1"/>
          <w:sz w:val="24"/>
          <w:szCs w:val="24"/>
        </w:rPr>
      </w:pPr>
      <w:r w:rsidRPr="0060384B">
        <w:rPr>
          <w:rFonts w:ascii="Lato" w:hAnsi="Lato"/>
          <w:color w:val="000000" w:themeColor="text1"/>
          <w:sz w:val="24"/>
          <w:szCs w:val="24"/>
        </w:rPr>
        <w:t>The study results demonstrate how the circadian system, both the central clock and peripheral local clocks, could control both the daily oscillations of soluble amyloid-beta and the local accumulation of amyl</w:t>
      </w:r>
      <w:r w:rsidRPr="0060384B">
        <w:rPr>
          <w:rFonts w:ascii="Lato" w:hAnsi="Lato"/>
          <w:color w:val="000000" w:themeColor="text1"/>
          <w:sz w:val="24"/>
          <w:szCs w:val="24"/>
        </w:rPr>
        <w:t>oid-beta plaques. It suggests a mechanism by which dysfunction in the circadian system may be a contributing factor to the development of Alzheimer</w:t>
      </w:r>
      <w:r w:rsidRPr="0060384B">
        <w:rPr>
          <w:rFonts w:ascii="Lato" w:hAnsi="Lato"/>
          <w:color w:val="000000" w:themeColor="text1"/>
          <w:sz w:val="24"/>
          <w:szCs w:val="24"/>
        </w:rPr>
        <w:t>’s disease, and that treating circadian dysfunction could be a potential target of early intervention.</w:t>
      </w:r>
    </w:p>
    <w:p w14:paraId="05FC8990" w14:textId="77777777" w:rsidR="00000000" w:rsidRPr="0060384B" w:rsidRDefault="00CA5F6F">
      <w:pPr>
        <w:spacing w:line="246" w:lineRule="exact"/>
        <w:rPr>
          <w:rFonts w:ascii="Lato" w:eastAsia="Times New Roman" w:hAnsi="Lato"/>
          <w:color w:val="000000" w:themeColor="text1"/>
          <w:sz w:val="24"/>
          <w:szCs w:val="24"/>
        </w:rPr>
      </w:pPr>
    </w:p>
    <w:p w14:paraId="44361D6C" w14:textId="77777777" w:rsidR="00000000" w:rsidRPr="0060384B" w:rsidRDefault="00CA5F6F">
      <w:pPr>
        <w:spacing w:line="246" w:lineRule="auto"/>
        <w:ind w:right="60"/>
        <w:rPr>
          <w:rFonts w:ascii="Lato" w:hAnsi="Lato"/>
          <w:color w:val="000000" w:themeColor="text1"/>
          <w:sz w:val="24"/>
          <w:szCs w:val="24"/>
        </w:rPr>
      </w:pPr>
      <w:r w:rsidRPr="0060384B">
        <w:rPr>
          <w:rFonts w:ascii="Lato" w:hAnsi="Lato"/>
          <w:b/>
          <w:color w:val="000000" w:themeColor="text1"/>
          <w:sz w:val="24"/>
          <w:szCs w:val="24"/>
        </w:rPr>
        <w:t>Sleep</w:t>
      </w:r>
      <w:r w:rsidRPr="0060384B">
        <w:rPr>
          <w:rFonts w:ascii="Lato" w:hAnsi="Lato"/>
          <w:b/>
          <w:color w:val="000000" w:themeColor="text1"/>
          <w:sz w:val="24"/>
          <w:szCs w:val="24"/>
        </w:rPr>
        <w:t xml:space="preserve"> affects levels of tau pathology. </w:t>
      </w:r>
      <w:r w:rsidRPr="0060384B">
        <w:rPr>
          <w:rFonts w:ascii="Lato" w:hAnsi="Lato"/>
          <w:color w:val="000000" w:themeColor="text1"/>
          <w:sz w:val="24"/>
          <w:szCs w:val="24"/>
        </w:rPr>
        <w:t xml:space="preserve">Studies from researchers </w:t>
      </w:r>
      <w:hyperlink r:id="rId128" w:history="1">
        <w:r w:rsidRPr="0060384B">
          <w:rPr>
            <w:rFonts w:ascii="Lato" w:hAnsi="Lato"/>
            <w:color w:val="000000" w:themeColor="text1"/>
            <w:sz w:val="24"/>
            <w:szCs w:val="24"/>
          </w:rPr>
          <w:t>(</w:t>
        </w:r>
        <w:r w:rsidRPr="0060384B">
          <w:rPr>
            <w:rFonts w:ascii="Lato" w:hAnsi="Lato"/>
            <w:color w:val="000000" w:themeColor="text1"/>
            <w:sz w:val="24"/>
            <w:szCs w:val="24"/>
          </w:rPr>
          <w:t>Holth et al., 2019</w:t>
        </w:r>
      </w:hyperlink>
      <w:r w:rsidRPr="0060384B">
        <w:rPr>
          <w:rFonts w:ascii="Lato" w:hAnsi="Lato"/>
          <w:color w:val="000000" w:themeColor="text1"/>
          <w:sz w:val="24"/>
          <w:szCs w:val="24"/>
        </w:rPr>
        <w:t>;</w:t>
      </w:r>
      <w:r w:rsidRPr="0060384B">
        <w:rPr>
          <w:rFonts w:ascii="Lato" w:hAnsi="Lato"/>
          <w:color w:val="000000" w:themeColor="text1"/>
          <w:sz w:val="24"/>
          <w:szCs w:val="24"/>
        </w:rPr>
        <w:t xml:space="preserve"> </w:t>
      </w:r>
      <w:hyperlink r:id="rId129" w:history="1">
        <w:r w:rsidRPr="0060384B">
          <w:rPr>
            <w:rFonts w:ascii="Lato" w:hAnsi="Lato"/>
            <w:color w:val="000000" w:themeColor="text1"/>
            <w:sz w:val="24"/>
            <w:szCs w:val="24"/>
          </w:rPr>
          <w:t>Lucey et al.,</w:t>
        </w:r>
      </w:hyperlink>
      <w:r w:rsidRPr="0060384B">
        <w:rPr>
          <w:rFonts w:ascii="Lato" w:hAnsi="Lato"/>
          <w:color w:val="000000" w:themeColor="text1"/>
          <w:sz w:val="24"/>
          <w:szCs w:val="24"/>
        </w:rPr>
        <w:t xml:space="preserve"> </w:t>
      </w:r>
      <w:hyperlink r:id="rId130" w:history="1">
        <w:r w:rsidRPr="0060384B">
          <w:rPr>
            <w:rFonts w:ascii="Lato" w:hAnsi="Lato"/>
            <w:color w:val="000000" w:themeColor="text1"/>
            <w:sz w:val="24"/>
            <w:szCs w:val="24"/>
          </w:rPr>
          <w:t>2019</w:t>
        </w:r>
      </w:hyperlink>
      <w:r w:rsidRPr="0060384B">
        <w:rPr>
          <w:rFonts w:ascii="Lato" w:hAnsi="Lato"/>
          <w:color w:val="000000" w:themeColor="text1"/>
          <w:sz w:val="24"/>
          <w:szCs w:val="24"/>
        </w:rPr>
        <w:t>)</w:t>
      </w:r>
      <w:r w:rsidRPr="0060384B">
        <w:rPr>
          <w:rFonts w:ascii="Lato" w:hAnsi="Lato"/>
          <w:color w:val="000000" w:themeColor="text1"/>
          <w:sz w:val="24"/>
          <w:szCs w:val="24"/>
        </w:rPr>
        <w:t xml:space="preserve"> </w:t>
      </w:r>
      <w:r w:rsidRPr="0060384B">
        <w:rPr>
          <w:rFonts w:ascii="Lato" w:hAnsi="Lato"/>
          <w:color w:val="000000" w:themeColor="text1"/>
          <w:sz w:val="24"/>
          <w:szCs w:val="24"/>
        </w:rPr>
        <w:t>supported by NIH also have established that sleep and circadian rhythms affect the</w:t>
      </w:r>
      <w:r w:rsidRPr="0060384B">
        <w:rPr>
          <w:rFonts w:ascii="Lato" w:hAnsi="Lato"/>
          <w:color w:val="000000" w:themeColor="text1"/>
          <w:sz w:val="24"/>
          <w:szCs w:val="24"/>
        </w:rPr>
        <w:t xml:space="preserve"> </w:t>
      </w:r>
      <w:r w:rsidRPr="0060384B">
        <w:rPr>
          <w:rFonts w:ascii="Lato" w:hAnsi="Lato"/>
          <w:color w:val="000000" w:themeColor="text1"/>
          <w:sz w:val="24"/>
          <w:szCs w:val="24"/>
        </w:rPr>
        <w:t>development of Alzheimer</w:t>
      </w:r>
      <w:r w:rsidRPr="0060384B">
        <w:rPr>
          <w:rFonts w:ascii="Lato" w:hAnsi="Lato"/>
          <w:color w:val="000000" w:themeColor="text1"/>
          <w:sz w:val="24"/>
          <w:szCs w:val="24"/>
        </w:rPr>
        <w:t>’s. They centered on the tau protein, which accumulates in abnormal tangles in the brains of people with Alzheimer</w:t>
      </w:r>
      <w:r w:rsidRPr="0060384B">
        <w:rPr>
          <w:rFonts w:ascii="Lato" w:hAnsi="Lato"/>
          <w:color w:val="000000" w:themeColor="text1"/>
          <w:sz w:val="24"/>
          <w:szCs w:val="24"/>
        </w:rPr>
        <w:t>’s. Whil</w:t>
      </w:r>
      <w:r w:rsidRPr="0060384B">
        <w:rPr>
          <w:rFonts w:ascii="Lato" w:hAnsi="Lato"/>
          <w:color w:val="000000" w:themeColor="text1"/>
          <w:sz w:val="24"/>
          <w:szCs w:val="24"/>
        </w:rPr>
        <w:t>e beta-amyloid is an early sign of Alzheimer</w:t>
      </w:r>
      <w:r w:rsidRPr="0060384B">
        <w:rPr>
          <w:rFonts w:ascii="Lato" w:hAnsi="Lato"/>
          <w:color w:val="000000" w:themeColor="text1"/>
          <w:sz w:val="24"/>
          <w:szCs w:val="24"/>
        </w:rPr>
        <w:t>’s disease, tau deposits track more directly with disease progression and cognitive</w:t>
      </w:r>
    </w:p>
    <w:p w14:paraId="6B139658" w14:textId="77777777" w:rsidR="00000000" w:rsidRPr="0060384B" w:rsidRDefault="00CA5F6F">
      <w:pPr>
        <w:spacing w:line="246" w:lineRule="auto"/>
        <w:ind w:right="6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697B8D33" w14:textId="77777777" w:rsidR="00000000" w:rsidRPr="0060384B" w:rsidRDefault="00CA5F6F">
      <w:pPr>
        <w:spacing w:line="200" w:lineRule="exact"/>
        <w:rPr>
          <w:rFonts w:ascii="Lato" w:hAnsi="Lato"/>
          <w:b/>
          <w:color w:val="000000" w:themeColor="text1"/>
          <w:sz w:val="24"/>
          <w:szCs w:val="24"/>
        </w:rPr>
      </w:pPr>
    </w:p>
    <w:p w14:paraId="43E4D8A2" w14:textId="77777777" w:rsidR="00000000" w:rsidRPr="0060384B" w:rsidRDefault="00CA5F6F">
      <w:pPr>
        <w:spacing w:line="200" w:lineRule="exact"/>
        <w:rPr>
          <w:rFonts w:ascii="Lato" w:hAnsi="Lato"/>
          <w:b/>
          <w:color w:val="000000" w:themeColor="text1"/>
          <w:sz w:val="24"/>
          <w:szCs w:val="24"/>
        </w:rPr>
      </w:pPr>
    </w:p>
    <w:p w14:paraId="3D57A966" w14:textId="77777777" w:rsidR="00000000" w:rsidRPr="0060384B" w:rsidRDefault="00CA5F6F">
      <w:pPr>
        <w:spacing w:line="246" w:lineRule="exact"/>
        <w:rPr>
          <w:rFonts w:ascii="Lato" w:hAnsi="Lato"/>
          <w:b/>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7D8A5C45" w14:textId="77777777">
        <w:trPr>
          <w:trHeight w:val="245"/>
        </w:trPr>
        <w:tc>
          <w:tcPr>
            <w:tcW w:w="6540" w:type="dxa"/>
            <w:shd w:val="clear" w:color="auto" w:fill="auto"/>
            <w:vAlign w:val="bottom"/>
          </w:tcPr>
          <w:p w14:paraId="670A9322"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1BBB5A78"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36</w:t>
            </w:r>
          </w:p>
        </w:tc>
      </w:tr>
      <w:tr w:rsidR="00000000" w:rsidRPr="0060384B" w14:paraId="6C7EE3B7" w14:textId="77777777">
        <w:trPr>
          <w:trHeight w:val="258"/>
        </w:trPr>
        <w:tc>
          <w:tcPr>
            <w:tcW w:w="6540" w:type="dxa"/>
            <w:shd w:val="clear" w:color="auto" w:fill="auto"/>
            <w:vAlign w:val="bottom"/>
          </w:tcPr>
          <w:p w14:paraId="4002C97D"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45F89527" w14:textId="77777777" w:rsidR="00000000" w:rsidRPr="0060384B" w:rsidRDefault="00CA5F6F">
            <w:pPr>
              <w:spacing w:line="0" w:lineRule="atLeast"/>
              <w:rPr>
                <w:rFonts w:ascii="Lato" w:eastAsia="Times New Roman" w:hAnsi="Lato"/>
                <w:color w:val="000000" w:themeColor="text1"/>
                <w:sz w:val="24"/>
                <w:szCs w:val="24"/>
              </w:rPr>
            </w:pPr>
          </w:p>
        </w:tc>
      </w:tr>
    </w:tbl>
    <w:p w14:paraId="5AF2C88F"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2F04F123" w14:textId="77777777" w:rsidR="00000000" w:rsidRPr="0060384B" w:rsidRDefault="00CA5F6F">
      <w:pPr>
        <w:spacing w:line="262" w:lineRule="auto"/>
        <w:ind w:right="340"/>
        <w:rPr>
          <w:rFonts w:ascii="Lato" w:hAnsi="Lato"/>
          <w:color w:val="000000" w:themeColor="text1"/>
          <w:sz w:val="24"/>
          <w:szCs w:val="24"/>
        </w:rPr>
      </w:pPr>
      <w:bookmarkStart w:id="39" w:name="page40"/>
      <w:bookmarkEnd w:id="39"/>
      <w:r w:rsidRPr="0060384B">
        <w:rPr>
          <w:rFonts w:ascii="Lato" w:hAnsi="Lato"/>
          <w:color w:val="000000" w:themeColor="text1"/>
          <w:sz w:val="24"/>
          <w:szCs w:val="24"/>
        </w:rPr>
        <w:lastRenderedPageBreak/>
        <w:t>decline. In the healthy brain, active neurons nat</w:t>
      </w:r>
      <w:r w:rsidRPr="0060384B">
        <w:rPr>
          <w:rFonts w:ascii="Lato" w:hAnsi="Lato"/>
          <w:color w:val="000000" w:themeColor="text1"/>
          <w:sz w:val="24"/>
          <w:szCs w:val="24"/>
        </w:rPr>
        <w:t>urally release some tau during waking hours, but it normally gets cleared away during sleep.</w:t>
      </w:r>
    </w:p>
    <w:p w14:paraId="6BA3A7B9" w14:textId="77777777" w:rsidR="00000000" w:rsidRPr="0060384B" w:rsidRDefault="00CA5F6F">
      <w:pPr>
        <w:spacing w:line="227" w:lineRule="exact"/>
        <w:rPr>
          <w:rFonts w:ascii="Lato" w:eastAsia="Times New Roman" w:hAnsi="Lato"/>
          <w:color w:val="000000" w:themeColor="text1"/>
          <w:sz w:val="24"/>
          <w:szCs w:val="24"/>
        </w:rPr>
      </w:pPr>
    </w:p>
    <w:p w14:paraId="00666683" w14:textId="77777777" w:rsidR="00000000" w:rsidRPr="0060384B" w:rsidRDefault="00CA5F6F">
      <w:pPr>
        <w:spacing w:line="242" w:lineRule="auto"/>
        <w:ind w:right="200"/>
        <w:rPr>
          <w:rFonts w:ascii="Lato" w:hAnsi="Lato"/>
          <w:color w:val="000000" w:themeColor="text1"/>
          <w:sz w:val="24"/>
          <w:szCs w:val="24"/>
        </w:rPr>
      </w:pPr>
      <w:r w:rsidRPr="0060384B">
        <w:rPr>
          <w:rFonts w:ascii="Lato" w:hAnsi="Lato"/>
          <w:color w:val="000000" w:themeColor="text1"/>
          <w:sz w:val="24"/>
          <w:szCs w:val="24"/>
        </w:rPr>
        <w:t>The new reports suggest that sleep deprivation upsets this balance, allowing more tau to be released, accumulate, and spread in toxic tangles in brain areas impor</w:t>
      </w:r>
      <w:r w:rsidRPr="0060384B">
        <w:rPr>
          <w:rFonts w:ascii="Lato" w:hAnsi="Lato"/>
          <w:color w:val="000000" w:themeColor="text1"/>
          <w:sz w:val="24"/>
          <w:szCs w:val="24"/>
        </w:rPr>
        <w:t>tant for memory. In one study, the team set out to explore whether tau levels in the brain naturally are tied to the sleep-wake cycle. They measured tau in brain fluid collected from mice during their normal waking and sleeping hours. The researchers found</w:t>
      </w:r>
      <w:r w:rsidRPr="0060384B">
        <w:rPr>
          <w:rFonts w:ascii="Lato" w:hAnsi="Lato"/>
          <w:color w:val="000000" w:themeColor="text1"/>
          <w:sz w:val="24"/>
          <w:szCs w:val="24"/>
        </w:rPr>
        <w:t xml:space="preserve"> that tau levels in brain fluid nearly doubled when the animals were awake</w:t>
      </w:r>
      <w:r w:rsidRPr="0060384B">
        <w:rPr>
          <w:rFonts w:ascii="Lato" w:hAnsi="Lato"/>
          <w:color w:val="000000" w:themeColor="text1"/>
          <w:sz w:val="24"/>
          <w:szCs w:val="24"/>
        </w:rPr>
        <w:t>—and that sleep deprivation caused those levels to double yet again. Further, the researchers reexamined CSF in people from an earlier study of healthy adults who stayed awake all ni</w:t>
      </w:r>
      <w:r w:rsidRPr="0060384B">
        <w:rPr>
          <w:rFonts w:ascii="Lato" w:hAnsi="Lato"/>
          <w:color w:val="000000" w:themeColor="text1"/>
          <w:sz w:val="24"/>
          <w:szCs w:val="24"/>
        </w:rPr>
        <w:t>ght and found that tau levels were elevated, on average, by about 50 percent.</w:t>
      </w:r>
    </w:p>
    <w:p w14:paraId="73775E44" w14:textId="77777777" w:rsidR="00000000" w:rsidRPr="0060384B" w:rsidRDefault="00CA5F6F">
      <w:pPr>
        <w:spacing w:line="257" w:lineRule="exact"/>
        <w:rPr>
          <w:rFonts w:ascii="Lato" w:eastAsia="Times New Roman" w:hAnsi="Lato"/>
          <w:color w:val="000000" w:themeColor="text1"/>
          <w:sz w:val="24"/>
          <w:szCs w:val="24"/>
        </w:rPr>
      </w:pPr>
    </w:p>
    <w:p w14:paraId="45685D20" w14:textId="77777777" w:rsidR="00000000" w:rsidRPr="0060384B" w:rsidRDefault="00CA5F6F">
      <w:pPr>
        <w:spacing w:line="243" w:lineRule="auto"/>
        <w:ind w:right="40"/>
        <w:rPr>
          <w:rFonts w:ascii="Lato" w:hAnsi="Lato"/>
          <w:color w:val="000000" w:themeColor="text1"/>
          <w:sz w:val="24"/>
          <w:szCs w:val="24"/>
        </w:rPr>
      </w:pPr>
      <w:r w:rsidRPr="0060384B">
        <w:rPr>
          <w:rFonts w:ascii="Lato" w:hAnsi="Lato"/>
          <w:color w:val="000000" w:themeColor="text1"/>
          <w:sz w:val="24"/>
          <w:szCs w:val="24"/>
        </w:rPr>
        <w:t>Tau is also known to spread from one area to the next as it accumulates in the brain, prompting the team to wonder whether a lack of sleep over longer periods also might encoura</w:t>
      </w:r>
      <w:r w:rsidRPr="0060384B">
        <w:rPr>
          <w:rFonts w:ascii="Lato" w:hAnsi="Lato"/>
          <w:color w:val="000000" w:themeColor="text1"/>
          <w:sz w:val="24"/>
          <w:szCs w:val="24"/>
        </w:rPr>
        <w:t>ge this spread. They tracked tau in model mice with human tau fibrils in their brains, who got less and reduced quality sleep over several weeks. While less sleep did not change the original deposition of tau in the brain, it did lead to a significant incr</w:t>
      </w:r>
      <w:r w:rsidRPr="0060384B">
        <w:rPr>
          <w:rFonts w:ascii="Lato" w:hAnsi="Lato"/>
          <w:color w:val="000000" w:themeColor="text1"/>
          <w:sz w:val="24"/>
          <w:szCs w:val="24"/>
        </w:rPr>
        <w:t>ease in tau</w:t>
      </w:r>
      <w:r w:rsidRPr="0060384B">
        <w:rPr>
          <w:rFonts w:ascii="Lato" w:hAnsi="Lato"/>
          <w:color w:val="000000" w:themeColor="text1"/>
          <w:sz w:val="24"/>
          <w:szCs w:val="24"/>
        </w:rPr>
        <w:t>’s spread in the same areas affected in people with Alzheimer</w:t>
      </w:r>
      <w:r w:rsidRPr="0060384B">
        <w:rPr>
          <w:rFonts w:ascii="Lato" w:hAnsi="Lato"/>
          <w:color w:val="000000" w:themeColor="text1"/>
          <w:sz w:val="24"/>
          <w:szCs w:val="24"/>
        </w:rPr>
        <w:t>’s disease. In a second paper by the same group, researchers showed that older people who had more tau tangles in their brains, as shown by PET scans, had less slow-wave, deep sleep.</w:t>
      </w:r>
    </w:p>
    <w:p w14:paraId="4FC9779B" w14:textId="77777777" w:rsidR="00000000" w:rsidRPr="0060384B" w:rsidRDefault="00CA5F6F">
      <w:pPr>
        <w:spacing w:line="250" w:lineRule="exact"/>
        <w:rPr>
          <w:rFonts w:ascii="Lato" w:eastAsia="Times New Roman" w:hAnsi="Lato"/>
          <w:color w:val="000000" w:themeColor="text1"/>
          <w:sz w:val="24"/>
          <w:szCs w:val="24"/>
        </w:rPr>
      </w:pPr>
    </w:p>
    <w:p w14:paraId="7EFE4D1F" w14:textId="77777777" w:rsidR="00000000" w:rsidRPr="0060384B" w:rsidRDefault="00CA5F6F">
      <w:pPr>
        <w:spacing w:line="247" w:lineRule="auto"/>
        <w:ind w:right="200"/>
        <w:rPr>
          <w:rFonts w:ascii="Lato" w:hAnsi="Lato"/>
          <w:color w:val="000000" w:themeColor="text1"/>
          <w:sz w:val="24"/>
          <w:szCs w:val="24"/>
        </w:rPr>
      </w:pPr>
      <w:r w:rsidRPr="0060384B">
        <w:rPr>
          <w:rFonts w:ascii="Lato" w:hAnsi="Lato"/>
          <w:color w:val="000000" w:themeColor="text1"/>
          <w:sz w:val="24"/>
          <w:szCs w:val="24"/>
        </w:rPr>
        <w:t>Sleep disturbances are pervasive in Alzheimer</w:t>
      </w:r>
      <w:r w:rsidRPr="0060384B">
        <w:rPr>
          <w:rFonts w:ascii="Lato" w:hAnsi="Lato"/>
          <w:color w:val="000000" w:themeColor="text1"/>
          <w:sz w:val="24"/>
          <w:szCs w:val="24"/>
        </w:rPr>
        <w:t>’s disease, and sleep quality generally worsens with aging. Abnormal sleep may be a biomarker for Alzheimer</w:t>
      </w:r>
      <w:r w:rsidRPr="0060384B">
        <w:rPr>
          <w:rFonts w:ascii="Lato" w:hAnsi="Lato"/>
          <w:color w:val="000000" w:themeColor="text1"/>
          <w:sz w:val="24"/>
          <w:szCs w:val="24"/>
        </w:rPr>
        <w:t>’s disease and other dementias, as all are associated with sleep disorders to one degree or another. The</w:t>
      </w:r>
      <w:r w:rsidRPr="0060384B">
        <w:rPr>
          <w:rFonts w:ascii="Lato" w:hAnsi="Lato"/>
          <w:color w:val="000000" w:themeColor="text1"/>
          <w:sz w:val="24"/>
          <w:szCs w:val="24"/>
        </w:rPr>
        <w:t>se studies suggest that improving or stabilizing sleep may be therapeutic as well.</w:t>
      </w:r>
    </w:p>
    <w:p w14:paraId="7CE199F7" w14:textId="77777777" w:rsidR="00000000" w:rsidRPr="0060384B" w:rsidRDefault="00CA5F6F">
      <w:pPr>
        <w:spacing w:line="246" w:lineRule="exact"/>
        <w:rPr>
          <w:rFonts w:ascii="Lato" w:eastAsia="Times New Roman" w:hAnsi="Lato"/>
          <w:color w:val="000000" w:themeColor="text1"/>
          <w:sz w:val="24"/>
          <w:szCs w:val="24"/>
        </w:rPr>
      </w:pPr>
    </w:p>
    <w:p w14:paraId="75DC94BC" w14:textId="77777777" w:rsidR="00000000" w:rsidRPr="0060384B" w:rsidRDefault="00CA5F6F">
      <w:pPr>
        <w:spacing w:line="243" w:lineRule="auto"/>
        <w:ind w:right="160"/>
        <w:rPr>
          <w:rFonts w:ascii="Lato" w:hAnsi="Lato"/>
          <w:color w:val="000000" w:themeColor="text1"/>
          <w:sz w:val="24"/>
          <w:szCs w:val="24"/>
        </w:rPr>
      </w:pPr>
      <w:r w:rsidRPr="0060384B">
        <w:rPr>
          <w:rFonts w:ascii="Lato" w:hAnsi="Lato"/>
          <w:color w:val="000000" w:themeColor="text1"/>
          <w:sz w:val="24"/>
          <w:szCs w:val="24"/>
        </w:rPr>
        <w:t>NIA has designated peripheral systems and their influence on Alzheimer</w:t>
      </w:r>
      <w:r w:rsidRPr="0060384B">
        <w:rPr>
          <w:rFonts w:ascii="Lato" w:hAnsi="Lato"/>
          <w:color w:val="000000" w:themeColor="text1"/>
          <w:sz w:val="24"/>
          <w:szCs w:val="24"/>
        </w:rPr>
        <w:t xml:space="preserve">’s and related dementias an important area of research, along with more closely examining dementia in </w:t>
      </w:r>
      <w:r w:rsidRPr="0060384B">
        <w:rPr>
          <w:rFonts w:ascii="Lato" w:hAnsi="Lato"/>
          <w:color w:val="000000" w:themeColor="text1"/>
          <w:sz w:val="24"/>
          <w:szCs w:val="24"/>
        </w:rPr>
        <w:t xml:space="preserve">the context of aging. Toward that end, NIA in 2017 through late 2019 let the research community know that it is seeking </w:t>
      </w:r>
      <w:hyperlink r:id="rId131" w:history="1">
        <w:r w:rsidRPr="0060384B">
          <w:rPr>
            <w:rFonts w:ascii="Lato" w:hAnsi="Lato"/>
            <w:color w:val="000000" w:themeColor="text1"/>
            <w:sz w:val="24"/>
            <w:szCs w:val="24"/>
          </w:rPr>
          <w:t>proposals for research projects</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on the role of aging-relate</w:t>
      </w:r>
      <w:r w:rsidRPr="0060384B">
        <w:rPr>
          <w:rFonts w:ascii="Lato" w:hAnsi="Lato"/>
          <w:color w:val="000000" w:themeColor="text1"/>
          <w:sz w:val="24"/>
          <w:szCs w:val="24"/>
        </w:rPr>
        <w:t>d changes in systemic, peripheral, and/or nonneuronal factors</w:t>
      </w:r>
      <w:r w:rsidRPr="0060384B">
        <w:rPr>
          <w:rFonts w:ascii="Lato" w:hAnsi="Lato"/>
          <w:color w:val="000000" w:themeColor="text1"/>
          <w:sz w:val="24"/>
          <w:szCs w:val="24"/>
        </w:rPr>
        <w:t>—individually or in combination</w:t>
      </w:r>
      <w:r w:rsidRPr="0060384B">
        <w:rPr>
          <w:rFonts w:ascii="Lato" w:hAnsi="Lato"/>
          <w:color w:val="000000" w:themeColor="text1"/>
          <w:sz w:val="24"/>
          <w:szCs w:val="24"/>
        </w:rPr>
        <w:t>—to the pathogenesis, presentation, and/or progression of Alzheimer</w:t>
      </w:r>
      <w:r w:rsidRPr="0060384B">
        <w:rPr>
          <w:rFonts w:ascii="Lato" w:hAnsi="Lato"/>
          <w:color w:val="000000" w:themeColor="text1"/>
          <w:sz w:val="24"/>
          <w:szCs w:val="24"/>
        </w:rPr>
        <w:t>’s disease. Successful studies may identify critical processes and pathophysiological pathways fo</w:t>
      </w:r>
      <w:r w:rsidRPr="0060384B">
        <w:rPr>
          <w:rFonts w:ascii="Lato" w:hAnsi="Lato"/>
          <w:color w:val="000000" w:themeColor="text1"/>
          <w:sz w:val="24"/>
          <w:szCs w:val="24"/>
        </w:rPr>
        <w:t>r novel approaches to slowing or preventing disease. A number of important projects have been funded.</w:t>
      </w:r>
    </w:p>
    <w:p w14:paraId="2A42E1D1" w14:textId="77777777" w:rsidR="00000000" w:rsidRPr="0060384B" w:rsidRDefault="00CA5F6F">
      <w:pPr>
        <w:spacing w:line="245" w:lineRule="exact"/>
        <w:rPr>
          <w:rFonts w:ascii="Lato" w:eastAsia="Times New Roman" w:hAnsi="Lato"/>
          <w:color w:val="000000" w:themeColor="text1"/>
          <w:sz w:val="24"/>
          <w:szCs w:val="24"/>
        </w:rPr>
      </w:pPr>
    </w:p>
    <w:p w14:paraId="62DDC998"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Resilience as a New Pathway to Disease Prevention, Treatment</w:t>
      </w:r>
    </w:p>
    <w:p w14:paraId="718BAEAC" w14:textId="77777777" w:rsidR="00000000" w:rsidRPr="0060384B" w:rsidRDefault="00CA5F6F">
      <w:pPr>
        <w:spacing w:line="287" w:lineRule="exact"/>
        <w:rPr>
          <w:rFonts w:ascii="Lato" w:eastAsia="Times New Roman" w:hAnsi="Lato"/>
          <w:color w:val="000000" w:themeColor="text1"/>
          <w:sz w:val="24"/>
          <w:szCs w:val="24"/>
        </w:rPr>
      </w:pPr>
    </w:p>
    <w:p w14:paraId="16B8F040" w14:textId="77777777" w:rsidR="00000000" w:rsidRPr="0060384B" w:rsidRDefault="00CA5F6F">
      <w:pPr>
        <w:spacing w:line="243" w:lineRule="auto"/>
        <w:ind w:right="60"/>
        <w:rPr>
          <w:rFonts w:ascii="Lato" w:hAnsi="Lato"/>
          <w:color w:val="000000" w:themeColor="text1"/>
          <w:sz w:val="24"/>
          <w:szCs w:val="24"/>
        </w:rPr>
      </w:pPr>
      <w:r w:rsidRPr="0060384B">
        <w:rPr>
          <w:rFonts w:ascii="Lato" w:hAnsi="Lato"/>
          <w:color w:val="000000" w:themeColor="text1"/>
          <w:sz w:val="24"/>
          <w:szCs w:val="24"/>
        </w:rPr>
        <w:t>For the most part, studies about Alzheimer</w:t>
      </w:r>
      <w:r w:rsidRPr="0060384B">
        <w:rPr>
          <w:rFonts w:ascii="Lato" w:hAnsi="Lato"/>
          <w:color w:val="000000" w:themeColor="text1"/>
          <w:sz w:val="24"/>
          <w:szCs w:val="24"/>
        </w:rPr>
        <w:t>’s have focused on people with the disease, typic</w:t>
      </w:r>
      <w:r w:rsidRPr="0060384B">
        <w:rPr>
          <w:rFonts w:ascii="Lato" w:hAnsi="Lato"/>
          <w:color w:val="000000" w:themeColor="text1"/>
          <w:sz w:val="24"/>
          <w:szCs w:val="24"/>
        </w:rPr>
        <w:t>ally comparing characteristics of those with the disease to those without it. More and more, that approach is being turned on its head</w:t>
      </w:r>
      <w:r w:rsidRPr="0060384B">
        <w:rPr>
          <w:rFonts w:ascii="Lato" w:hAnsi="Lato"/>
          <w:color w:val="000000" w:themeColor="text1"/>
          <w:sz w:val="24"/>
          <w:szCs w:val="24"/>
        </w:rPr>
        <w:t xml:space="preserve">—we now want to learn more about individuals who have managed to escape dementia. What makes them resilient to developing </w:t>
      </w:r>
      <w:r w:rsidRPr="0060384B">
        <w:rPr>
          <w:rFonts w:ascii="Lato" w:hAnsi="Lato"/>
          <w:color w:val="000000" w:themeColor="text1"/>
          <w:sz w:val="24"/>
          <w:szCs w:val="24"/>
        </w:rPr>
        <w:t>disease or not experiencing symptoms? What are the genomic, epigenomic, biological, environmental, social, and behavioral factors that promote wellness and protect against cognitive decline? Understanding such mechanisms might allow interventions to target</w:t>
      </w:r>
      <w:r w:rsidRPr="0060384B">
        <w:rPr>
          <w:rFonts w:ascii="Lato" w:hAnsi="Lato"/>
          <w:color w:val="000000" w:themeColor="text1"/>
          <w:sz w:val="24"/>
          <w:szCs w:val="24"/>
        </w:rPr>
        <w:t xml:space="preserve"> enhanced wellness as well as disease avoidance to help preserve cognition.</w:t>
      </w:r>
    </w:p>
    <w:p w14:paraId="4FE59327" w14:textId="77777777" w:rsidR="00000000" w:rsidRPr="0060384B" w:rsidRDefault="00CA5F6F">
      <w:pPr>
        <w:spacing w:line="243" w:lineRule="auto"/>
        <w:ind w:right="6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354B1915" w14:textId="77777777" w:rsidR="00000000" w:rsidRPr="0060384B" w:rsidRDefault="00CA5F6F">
      <w:pPr>
        <w:spacing w:line="294"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442098D8" w14:textId="77777777">
        <w:trPr>
          <w:trHeight w:val="245"/>
        </w:trPr>
        <w:tc>
          <w:tcPr>
            <w:tcW w:w="6540" w:type="dxa"/>
            <w:shd w:val="clear" w:color="auto" w:fill="auto"/>
            <w:vAlign w:val="bottom"/>
          </w:tcPr>
          <w:p w14:paraId="1D0E1346"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40061356"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37</w:t>
            </w:r>
          </w:p>
        </w:tc>
      </w:tr>
      <w:tr w:rsidR="00000000" w:rsidRPr="0060384B" w14:paraId="7598D998" w14:textId="77777777">
        <w:trPr>
          <w:trHeight w:val="258"/>
        </w:trPr>
        <w:tc>
          <w:tcPr>
            <w:tcW w:w="6540" w:type="dxa"/>
            <w:shd w:val="clear" w:color="auto" w:fill="auto"/>
            <w:vAlign w:val="bottom"/>
          </w:tcPr>
          <w:p w14:paraId="31945EB3"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2401D6C4" w14:textId="77777777" w:rsidR="00000000" w:rsidRPr="0060384B" w:rsidRDefault="00CA5F6F">
            <w:pPr>
              <w:spacing w:line="0" w:lineRule="atLeast"/>
              <w:rPr>
                <w:rFonts w:ascii="Lato" w:eastAsia="Times New Roman" w:hAnsi="Lato"/>
                <w:color w:val="000000" w:themeColor="text1"/>
                <w:sz w:val="24"/>
                <w:szCs w:val="24"/>
              </w:rPr>
            </w:pPr>
          </w:p>
        </w:tc>
      </w:tr>
    </w:tbl>
    <w:p w14:paraId="03E0857F"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576E148E" w14:textId="77777777" w:rsidR="00000000" w:rsidRPr="0060384B" w:rsidRDefault="00CA5F6F">
      <w:pPr>
        <w:spacing w:line="0" w:lineRule="atLeast"/>
        <w:rPr>
          <w:rFonts w:ascii="Lato" w:hAnsi="Lato"/>
          <w:b/>
          <w:color w:val="000000" w:themeColor="text1"/>
          <w:sz w:val="24"/>
          <w:szCs w:val="24"/>
        </w:rPr>
      </w:pPr>
      <w:bookmarkStart w:id="40" w:name="page41"/>
      <w:bookmarkEnd w:id="40"/>
      <w:r w:rsidRPr="0060384B">
        <w:rPr>
          <w:rFonts w:ascii="Lato" w:hAnsi="Lato"/>
          <w:b/>
          <w:color w:val="000000" w:themeColor="text1"/>
          <w:sz w:val="24"/>
          <w:szCs w:val="24"/>
        </w:rPr>
        <w:lastRenderedPageBreak/>
        <w:t>Genetic Contributions to Resilience and Risk</w:t>
      </w:r>
    </w:p>
    <w:p w14:paraId="35176700" w14:textId="77777777" w:rsidR="00000000" w:rsidRPr="0060384B" w:rsidRDefault="00CA5F6F">
      <w:pPr>
        <w:spacing w:line="284" w:lineRule="exact"/>
        <w:rPr>
          <w:rFonts w:ascii="Lato" w:eastAsia="Times New Roman" w:hAnsi="Lato"/>
          <w:color w:val="000000" w:themeColor="text1"/>
          <w:sz w:val="24"/>
          <w:szCs w:val="24"/>
        </w:rPr>
      </w:pPr>
    </w:p>
    <w:p w14:paraId="5DD7358D" w14:textId="77777777" w:rsidR="00000000" w:rsidRPr="0060384B" w:rsidRDefault="00CA5F6F">
      <w:pPr>
        <w:spacing w:line="244" w:lineRule="auto"/>
        <w:ind w:right="80"/>
        <w:rPr>
          <w:rFonts w:ascii="Lato" w:hAnsi="Lato"/>
          <w:color w:val="000000" w:themeColor="text1"/>
          <w:sz w:val="24"/>
          <w:szCs w:val="24"/>
        </w:rPr>
      </w:pPr>
      <w:r w:rsidRPr="0060384B">
        <w:rPr>
          <w:rFonts w:ascii="Lato" w:hAnsi="Lato"/>
          <w:color w:val="000000" w:themeColor="text1"/>
          <w:sz w:val="24"/>
          <w:szCs w:val="24"/>
        </w:rPr>
        <w:t>Humans carry three different forms, or alleles, of the ap</w:t>
      </w:r>
      <w:r w:rsidRPr="0060384B">
        <w:rPr>
          <w:rFonts w:ascii="Lato" w:hAnsi="Lato"/>
          <w:color w:val="000000" w:themeColor="text1"/>
          <w:sz w:val="24"/>
          <w:szCs w:val="24"/>
        </w:rPr>
        <w:t xml:space="preserve">olipoprotein, or </w:t>
      </w:r>
      <w:r w:rsidRPr="0060384B">
        <w:rPr>
          <w:rFonts w:ascii="Lato" w:hAnsi="Lato"/>
          <w:color w:val="000000" w:themeColor="text1"/>
          <w:sz w:val="24"/>
          <w:szCs w:val="24"/>
        </w:rPr>
        <w:t>APOE</w:t>
      </w:r>
      <w:r w:rsidRPr="0060384B">
        <w:rPr>
          <w:rFonts w:ascii="Lato" w:hAnsi="Lato"/>
          <w:color w:val="000000" w:themeColor="text1"/>
          <w:sz w:val="24"/>
          <w:szCs w:val="24"/>
        </w:rPr>
        <w:t xml:space="preserve">, gene: APOE </w:t>
      </w:r>
      <w:r w:rsidRPr="0060384B">
        <w:rPr>
          <w:rFonts w:ascii="Arial" w:hAnsi="Arial"/>
          <w:color w:val="000000" w:themeColor="text1"/>
          <w:sz w:val="24"/>
          <w:szCs w:val="24"/>
        </w:rPr>
        <w:t>ɛ</w:t>
      </w:r>
      <w:r w:rsidRPr="0060384B">
        <w:rPr>
          <w:rFonts w:ascii="Lato" w:hAnsi="Lato"/>
          <w:color w:val="000000" w:themeColor="text1"/>
          <w:sz w:val="24"/>
          <w:szCs w:val="24"/>
        </w:rPr>
        <w:t xml:space="preserve">2, APOE </w:t>
      </w:r>
      <w:r w:rsidRPr="0060384B">
        <w:rPr>
          <w:rFonts w:ascii="Arial" w:hAnsi="Arial"/>
          <w:color w:val="000000" w:themeColor="text1"/>
          <w:sz w:val="24"/>
          <w:szCs w:val="24"/>
        </w:rPr>
        <w:t>ɛ</w:t>
      </w:r>
      <w:r w:rsidRPr="0060384B">
        <w:rPr>
          <w:rFonts w:ascii="Lato" w:hAnsi="Lato"/>
          <w:color w:val="000000" w:themeColor="text1"/>
          <w:sz w:val="24"/>
          <w:szCs w:val="24"/>
        </w:rPr>
        <w:t xml:space="preserve">3, and APOE </w:t>
      </w:r>
      <w:r w:rsidRPr="0060384B">
        <w:rPr>
          <w:rFonts w:ascii="Arial" w:hAnsi="Arial"/>
          <w:color w:val="000000" w:themeColor="text1"/>
          <w:sz w:val="24"/>
          <w:szCs w:val="24"/>
        </w:rPr>
        <w:t>ɛ</w:t>
      </w:r>
      <w:r w:rsidRPr="0060384B">
        <w:rPr>
          <w:rFonts w:ascii="Lato" w:hAnsi="Lato"/>
          <w:color w:val="000000" w:themeColor="text1"/>
          <w:sz w:val="24"/>
          <w:szCs w:val="24"/>
        </w:rPr>
        <w:t xml:space="preserve">4. The </w:t>
      </w:r>
      <w:r w:rsidRPr="0060384B">
        <w:rPr>
          <w:rFonts w:ascii="Arial" w:hAnsi="Arial"/>
          <w:color w:val="000000" w:themeColor="text1"/>
          <w:sz w:val="24"/>
          <w:szCs w:val="24"/>
        </w:rPr>
        <w:t>ɛ</w:t>
      </w:r>
      <w:r w:rsidRPr="0060384B">
        <w:rPr>
          <w:rFonts w:ascii="Lato" w:hAnsi="Lato"/>
          <w:color w:val="000000" w:themeColor="text1"/>
          <w:sz w:val="24"/>
          <w:szCs w:val="24"/>
        </w:rPr>
        <w:t>4 allele, carried by 14 percent of the population, is associated with increased risk of Alzheimer</w:t>
      </w:r>
      <w:r w:rsidRPr="0060384B">
        <w:rPr>
          <w:rFonts w:ascii="Lato" w:hAnsi="Lato"/>
          <w:color w:val="000000" w:themeColor="text1"/>
          <w:sz w:val="24"/>
          <w:szCs w:val="24"/>
        </w:rPr>
        <w:t xml:space="preserve">’s disease. The </w:t>
      </w:r>
      <w:r w:rsidRPr="0060384B">
        <w:rPr>
          <w:rFonts w:ascii="Arial" w:hAnsi="Arial"/>
          <w:color w:val="000000" w:themeColor="text1"/>
          <w:sz w:val="24"/>
          <w:szCs w:val="24"/>
        </w:rPr>
        <w:t>ɛ</w:t>
      </w:r>
      <w:r w:rsidRPr="0060384B">
        <w:rPr>
          <w:rFonts w:ascii="Lato" w:hAnsi="Lato"/>
          <w:color w:val="000000" w:themeColor="text1"/>
          <w:sz w:val="24"/>
          <w:szCs w:val="24"/>
        </w:rPr>
        <w:t>2 allele, carried by 7 percent of the population, is protective against Alzhe</w:t>
      </w:r>
      <w:r w:rsidRPr="0060384B">
        <w:rPr>
          <w:rFonts w:ascii="Lato" w:hAnsi="Lato"/>
          <w:color w:val="000000" w:themeColor="text1"/>
          <w:sz w:val="24"/>
          <w:szCs w:val="24"/>
        </w:rPr>
        <w:t>imer</w:t>
      </w:r>
      <w:r w:rsidRPr="0060384B">
        <w:rPr>
          <w:rFonts w:ascii="Lato" w:hAnsi="Lato"/>
          <w:color w:val="000000" w:themeColor="text1"/>
          <w:sz w:val="24"/>
          <w:szCs w:val="24"/>
        </w:rPr>
        <w:t xml:space="preserve">’s disease. The </w:t>
      </w:r>
      <w:r w:rsidRPr="0060384B">
        <w:rPr>
          <w:rFonts w:ascii="Arial" w:hAnsi="Arial"/>
          <w:color w:val="000000" w:themeColor="text1"/>
          <w:sz w:val="24"/>
          <w:szCs w:val="24"/>
        </w:rPr>
        <w:t>ɛ</w:t>
      </w:r>
      <w:r w:rsidRPr="0060384B">
        <w:rPr>
          <w:rFonts w:ascii="Lato" w:hAnsi="Lato"/>
          <w:color w:val="000000" w:themeColor="text1"/>
          <w:sz w:val="24"/>
          <w:szCs w:val="24"/>
        </w:rPr>
        <w:t>3 allele, the most prevalent allele, is considered neutral with respect to Alzheimer</w:t>
      </w:r>
      <w:r w:rsidRPr="0060384B">
        <w:rPr>
          <w:rFonts w:ascii="Lato" w:hAnsi="Lato"/>
          <w:color w:val="000000" w:themeColor="text1"/>
          <w:sz w:val="24"/>
          <w:szCs w:val="24"/>
        </w:rPr>
        <w:t>’s disease risk. How these alleles confer Alzheimer</w:t>
      </w:r>
      <w:r w:rsidRPr="0060384B">
        <w:rPr>
          <w:rFonts w:ascii="Lato" w:hAnsi="Lato"/>
          <w:color w:val="000000" w:themeColor="text1"/>
          <w:sz w:val="24"/>
          <w:szCs w:val="24"/>
        </w:rPr>
        <w:t>’s disease risk or resilience is not clear.</w:t>
      </w:r>
    </w:p>
    <w:p w14:paraId="242E5829" w14:textId="77777777" w:rsidR="00000000" w:rsidRPr="0060384B" w:rsidRDefault="00CA5F6F">
      <w:pPr>
        <w:spacing w:line="250" w:lineRule="exact"/>
        <w:rPr>
          <w:rFonts w:ascii="Lato" w:eastAsia="Times New Roman" w:hAnsi="Lato"/>
          <w:color w:val="000000" w:themeColor="text1"/>
          <w:sz w:val="24"/>
          <w:szCs w:val="24"/>
        </w:rPr>
      </w:pPr>
    </w:p>
    <w:p w14:paraId="20F8F2FD" w14:textId="77777777" w:rsidR="00000000" w:rsidRPr="0060384B" w:rsidRDefault="00CA5F6F">
      <w:pPr>
        <w:spacing w:line="242" w:lineRule="auto"/>
        <w:ind w:right="20"/>
        <w:rPr>
          <w:rFonts w:ascii="Lato" w:hAnsi="Lato"/>
          <w:color w:val="000000" w:themeColor="text1"/>
          <w:sz w:val="24"/>
          <w:szCs w:val="24"/>
        </w:rPr>
      </w:pPr>
      <w:r w:rsidRPr="0060384B">
        <w:rPr>
          <w:rFonts w:ascii="Lato" w:hAnsi="Lato"/>
          <w:color w:val="000000" w:themeColor="text1"/>
          <w:sz w:val="24"/>
          <w:szCs w:val="24"/>
        </w:rPr>
        <w:t>One NIH-supported team (</w:t>
      </w:r>
      <w:hyperlink r:id="rId132" w:history="1">
        <w:r w:rsidRPr="0060384B">
          <w:rPr>
            <w:rFonts w:ascii="Lato" w:hAnsi="Lato"/>
            <w:color w:val="000000" w:themeColor="text1"/>
            <w:sz w:val="24"/>
            <w:szCs w:val="24"/>
          </w:rPr>
          <w:t>Wu et al., 2018</w:t>
        </w:r>
      </w:hyperlink>
      <w:r w:rsidRPr="0060384B">
        <w:rPr>
          <w:rFonts w:ascii="Lato" w:hAnsi="Lato"/>
          <w:color w:val="000000" w:themeColor="text1"/>
          <w:sz w:val="24"/>
          <w:szCs w:val="24"/>
        </w:rPr>
        <w:t xml:space="preserve">) found that the </w:t>
      </w:r>
      <w:r w:rsidRPr="0060384B">
        <w:rPr>
          <w:rFonts w:ascii="Lato" w:hAnsi="Lato"/>
          <w:color w:val="000000" w:themeColor="text1"/>
          <w:sz w:val="24"/>
          <w:szCs w:val="24"/>
        </w:rPr>
        <w:t>APOE</w:t>
      </w:r>
      <w:r w:rsidRPr="0060384B">
        <w:rPr>
          <w:rFonts w:ascii="Lato" w:hAnsi="Lato"/>
          <w:color w:val="000000" w:themeColor="text1"/>
          <w:sz w:val="24"/>
          <w:szCs w:val="24"/>
        </w:rPr>
        <w:t xml:space="preserve"> alleles have different effects on the brain</w:t>
      </w:r>
      <w:r w:rsidRPr="0060384B">
        <w:rPr>
          <w:rFonts w:ascii="Lato" w:hAnsi="Lato"/>
          <w:color w:val="000000" w:themeColor="text1"/>
          <w:sz w:val="24"/>
          <w:szCs w:val="24"/>
        </w:rPr>
        <w:t>’s ability to take up and process glucose, a key source of fuel for the brain</w:t>
      </w:r>
      <w:r w:rsidRPr="0060384B">
        <w:rPr>
          <w:rFonts w:ascii="Lato" w:hAnsi="Lato"/>
          <w:color w:val="000000" w:themeColor="text1"/>
          <w:sz w:val="24"/>
          <w:szCs w:val="24"/>
        </w:rPr>
        <w:t>’s high-energy demands. In laboratory mice expressing the human versi</w:t>
      </w:r>
      <w:r w:rsidRPr="0060384B">
        <w:rPr>
          <w:rFonts w:ascii="Lato" w:hAnsi="Lato"/>
          <w:color w:val="000000" w:themeColor="text1"/>
          <w:sz w:val="24"/>
          <w:szCs w:val="24"/>
        </w:rPr>
        <w:t xml:space="preserve">ons of the APOE </w:t>
      </w:r>
      <w:r w:rsidRPr="0060384B">
        <w:rPr>
          <w:rFonts w:ascii="Arial" w:hAnsi="Arial"/>
          <w:color w:val="000000" w:themeColor="text1"/>
          <w:sz w:val="24"/>
          <w:szCs w:val="24"/>
        </w:rPr>
        <w:t>ɛ</w:t>
      </w:r>
      <w:r w:rsidRPr="0060384B">
        <w:rPr>
          <w:rFonts w:ascii="Lato" w:hAnsi="Lato"/>
          <w:color w:val="000000" w:themeColor="text1"/>
          <w:sz w:val="24"/>
          <w:szCs w:val="24"/>
        </w:rPr>
        <w:t xml:space="preserve">2, APOE </w:t>
      </w:r>
      <w:r w:rsidRPr="0060384B">
        <w:rPr>
          <w:rFonts w:ascii="Arial" w:hAnsi="Arial"/>
          <w:color w:val="000000" w:themeColor="text1"/>
          <w:sz w:val="24"/>
          <w:szCs w:val="24"/>
        </w:rPr>
        <w:t>ɛ</w:t>
      </w:r>
      <w:r w:rsidRPr="0060384B">
        <w:rPr>
          <w:rFonts w:ascii="Lato" w:hAnsi="Lato"/>
          <w:color w:val="000000" w:themeColor="text1"/>
          <w:sz w:val="24"/>
          <w:szCs w:val="24"/>
        </w:rPr>
        <w:t xml:space="preserve">3, and APOE </w:t>
      </w:r>
      <w:r w:rsidRPr="0060384B">
        <w:rPr>
          <w:rFonts w:ascii="Arial" w:hAnsi="Arial"/>
          <w:color w:val="000000" w:themeColor="text1"/>
          <w:sz w:val="24"/>
          <w:szCs w:val="24"/>
        </w:rPr>
        <w:t>ɛ</w:t>
      </w:r>
      <w:r w:rsidRPr="0060384B">
        <w:rPr>
          <w:rFonts w:ascii="Lato" w:hAnsi="Lato"/>
          <w:color w:val="000000" w:themeColor="text1"/>
          <w:sz w:val="24"/>
          <w:szCs w:val="24"/>
        </w:rPr>
        <w:t xml:space="preserve">4 genes, scientists analyzed cortical tissues for the expression of 43 genes involved in glucose uptake and metabolism. The brains of the APOE </w:t>
      </w:r>
      <w:r w:rsidRPr="0060384B">
        <w:rPr>
          <w:rFonts w:ascii="Arial" w:hAnsi="Arial"/>
          <w:color w:val="000000" w:themeColor="text1"/>
          <w:sz w:val="24"/>
          <w:szCs w:val="24"/>
        </w:rPr>
        <w:t>ɛ</w:t>
      </w:r>
      <w:r w:rsidRPr="0060384B">
        <w:rPr>
          <w:rFonts w:ascii="Lato" w:hAnsi="Lato"/>
          <w:color w:val="000000" w:themeColor="text1"/>
          <w:sz w:val="24"/>
          <w:szCs w:val="24"/>
        </w:rPr>
        <w:t xml:space="preserve">2 mice showed the highest expression of those genes, while brains of the </w:t>
      </w:r>
      <w:r w:rsidRPr="0060384B">
        <w:rPr>
          <w:rFonts w:ascii="Lato" w:hAnsi="Lato"/>
          <w:color w:val="000000" w:themeColor="text1"/>
          <w:sz w:val="24"/>
          <w:szCs w:val="24"/>
        </w:rPr>
        <w:t xml:space="preserve">APOE </w:t>
      </w:r>
      <w:r w:rsidRPr="0060384B">
        <w:rPr>
          <w:rFonts w:ascii="Arial" w:hAnsi="Arial"/>
          <w:color w:val="000000" w:themeColor="text1"/>
          <w:sz w:val="24"/>
          <w:szCs w:val="24"/>
        </w:rPr>
        <w:t>ɛ</w:t>
      </w:r>
      <w:r w:rsidRPr="0060384B">
        <w:rPr>
          <w:rFonts w:ascii="Lato" w:hAnsi="Lato"/>
          <w:color w:val="000000" w:themeColor="text1"/>
          <w:sz w:val="24"/>
          <w:szCs w:val="24"/>
        </w:rPr>
        <w:t xml:space="preserve">4 mice showed the lowest. When the scientists looked at cultured mouse neural cells expressing the three ApoE forms, they found that APOE </w:t>
      </w:r>
      <w:r w:rsidRPr="0060384B">
        <w:rPr>
          <w:rFonts w:ascii="Arial" w:hAnsi="Arial"/>
          <w:color w:val="000000" w:themeColor="text1"/>
          <w:sz w:val="24"/>
          <w:szCs w:val="24"/>
        </w:rPr>
        <w:t>ɛ</w:t>
      </w:r>
      <w:r w:rsidRPr="0060384B">
        <w:rPr>
          <w:rFonts w:ascii="Lato" w:hAnsi="Lato"/>
          <w:color w:val="000000" w:themeColor="text1"/>
          <w:sz w:val="24"/>
          <w:szCs w:val="24"/>
        </w:rPr>
        <w:t xml:space="preserve">2-expressing cells were the most efficient in converting glucose to energy, and the APOE </w:t>
      </w:r>
      <w:r w:rsidRPr="0060384B">
        <w:rPr>
          <w:rFonts w:ascii="Arial" w:hAnsi="Arial"/>
          <w:color w:val="000000" w:themeColor="text1"/>
          <w:sz w:val="24"/>
          <w:szCs w:val="24"/>
        </w:rPr>
        <w:t>ɛ</w:t>
      </w:r>
      <w:r w:rsidRPr="0060384B">
        <w:rPr>
          <w:rFonts w:ascii="Lato" w:hAnsi="Lato"/>
          <w:color w:val="000000" w:themeColor="text1"/>
          <w:sz w:val="24"/>
          <w:szCs w:val="24"/>
        </w:rPr>
        <w:t>4-expressing cells we</w:t>
      </w:r>
      <w:r w:rsidRPr="0060384B">
        <w:rPr>
          <w:rFonts w:ascii="Lato" w:hAnsi="Lato"/>
          <w:color w:val="000000" w:themeColor="text1"/>
          <w:sz w:val="24"/>
          <w:szCs w:val="24"/>
        </w:rPr>
        <w:t>re the least.</w:t>
      </w:r>
    </w:p>
    <w:p w14:paraId="098EA270" w14:textId="77777777" w:rsidR="00000000" w:rsidRPr="0060384B" w:rsidRDefault="00CA5F6F">
      <w:pPr>
        <w:spacing w:line="257" w:lineRule="exact"/>
        <w:rPr>
          <w:rFonts w:ascii="Lato" w:eastAsia="Times New Roman" w:hAnsi="Lato"/>
          <w:color w:val="000000" w:themeColor="text1"/>
          <w:sz w:val="24"/>
          <w:szCs w:val="24"/>
        </w:rPr>
      </w:pPr>
    </w:p>
    <w:p w14:paraId="3FFA63F3" w14:textId="77777777" w:rsidR="00000000" w:rsidRPr="0060384B" w:rsidRDefault="00CA5F6F">
      <w:pPr>
        <w:spacing w:line="247" w:lineRule="auto"/>
        <w:ind w:right="40"/>
        <w:rPr>
          <w:rFonts w:ascii="Lato" w:hAnsi="Lato"/>
          <w:color w:val="000000" w:themeColor="text1"/>
          <w:sz w:val="24"/>
          <w:szCs w:val="24"/>
        </w:rPr>
      </w:pPr>
      <w:r w:rsidRPr="0060384B">
        <w:rPr>
          <w:rFonts w:ascii="Lato" w:hAnsi="Lato"/>
          <w:color w:val="000000" w:themeColor="text1"/>
          <w:sz w:val="24"/>
          <w:szCs w:val="24"/>
        </w:rPr>
        <w:t>Deficits in brain glucose uptake and metabolism are one of the earliest signs of incipient Alzheimer</w:t>
      </w:r>
      <w:r w:rsidRPr="0060384B">
        <w:rPr>
          <w:rFonts w:ascii="Lato" w:hAnsi="Lato"/>
          <w:color w:val="000000" w:themeColor="text1"/>
          <w:sz w:val="24"/>
          <w:szCs w:val="24"/>
        </w:rPr>
        <w:t>’s disease. This study suggests that approaches aimed at boosting the brain</w:t>
      </w:r>
      <w:r w:rsidRPr="0060384B">
        <w:rPr>
          <w:rFonts w:ascii="Lato" w:hAnsi="Lato"/>
          <w:color w:val="000000" w:themeColor="text1"/>
          <w:sz w:val="24"/>
          <w:szCs w:val="24"/>
        </w:rPr>
        <w:t>’s capacity for converting glucose to cellular energy could be inv</w:t>
      </w:r>
      <w:r w:rsidRPr="0060384B">
        <w:rPr>
          <w:rFonts w:ascii="Lato" w:hAnsi="Lato"/>
          <w:color w:val="000000" w:themeColor="text1"/>
          <w:sz w:val="24"/>
          <w:szCs w:val="24"/>
        </w:rPr>
        <w:t>estigated for staving off Alzheimer</w:t>
      </w:r>
      <w:r w:rsidRPr="0060384B">
        <w:rPr>
          <w:rFonts w:ascii="Lato" w:hAnsi="Lato"/>
          <w:color w:val="000000" w:themeColor="text1"/>
          <w:sz w:val="24"/>
          <w:szCs w:val="24"/>
        </w:rPr>
        <w:t xml:space="preserve">’s disease in people with the APOE </w:t>
      </w:r>
      <w:r w:rsidRPr="0060384B">
        <w:rPr>
          <w:rFonts w:ascii="Arial" w:hAnsi="Arial"/>
          <w:color w:val="000000" w:themeColor="text1"/>
          <w:sz w:val="24"/>
          <w:szCs w:val="24"/>
        </w:rPr>
        <w:t>ɛ</w:t>
      </w:r>
      <w:r w:rsidRPr="0060384B">
        <w:rPr>
          <w:rFonts w:ascii="Lato" w:hAnsi="Lato"/>
          <w:color w:val="000000" w:themeColor="text1"/>
          <w:sz w:val="24"/>
          <w:szCs w:val="24"/>
        </w:rPr>
        <w:t>4 allele.</w:t>
      </w:r>
    </w:p>
    <w:p w14:paraId="03D94323" w14:textId="77777777" w:rsidR="00000000" w:rsidRPr="0060384B" w:rsidRDefault="00CA5F6F">
      <w:pPr>
        <w:spacing w:line="246" w:lineRule="exact"/>
        <w:rPr>
          <w:rFonts w:ascii="Lato" w:eastAsia="Times New Roman" w:hAnsi="Lato"/>
          <w:color w:val="000000" w:themeColor="text1"/>
          <w:sz w:val="24"/>
          <w:szCs w:val="24"/>
        </w:rPr>
      </w:pPr>
    </w:p>
    <w:p w14:paraId="40F151BC" w14:textId="77777777" w:rsidR="00000000" w:rsidRPr="0060384B" w:rsidRDefault="00CA5F6F">
      <w:pPr>
        <w:spacing w:line="245" w:lineRule="auto"/>
        <w:ind w:right="480"/>
        <w:rPr>
          <w:rFonts w:ascii="Lato" w:hAnsi="Lato"/>
          <w:color w:val="000000" w:themeColor="text1"/>
          <w:sz w:val="24"/>
          <w:szCs w:val="24"/>
        </w:rPr>
      </w:pPr>
      <w:r w:rsidRPr="0060384B">
        <w:rPr>
          <w:rFonts w:ascii="Lato" w:hAnsi="Lato"/>
          <w:color w:val="000000" w:themeColor="text1"/>
          <w:sz w:val="24"/>
          <w:szCs w:val="24"/>
        </w:rPr>
        <w:t xml:space="preserve">NIA continues to support research on ApoE2. In a </w:t>
      </w:r>
      <w:hyperlink r:id="rId133" w:history="1">
        <w:r w:rsidRPr="0060384B">
          <w:rPr>
            <w:rFonts w:ascii="Lato" w:hAnsi="Lato"/>
            <w:color w:val="000000" w:themeColor="text1"/>
            <w:sz w:val="24"/>
            <w:szCs w:val="24"/>
          </w:rPr>
          <w:t>notice to the research community for</w:t>
        </w:r>
      </w:hyperlink>
      <w:r w:rsidRPr="0060384B">
        <w:rPr>
          <w:rFonts w:ascii="Lato" w:hAnsi="Lato"/>
          <w:color w:val="000000" w:themeColor="text1"/>
          <w:sz w:val="24"/>
          <w:szCs w:val="24"/>
        </w:rPr>
        <w:t xml:space="preserve"> </w:t>
      </w:r>
      <w:hyperlink r:id="rId134" w:history="1">
        <w:r w:rsidRPr="0060384B">
          <w:rPr>
            <w:rFonts w:ascii="Lato" w:hAnsi="Lato"/>
            <w:color w:val="000000" w:themeColor="text1"/>
            <w:sz w:val="24"/>
            <w:szCs w:val="24"/>
          </w:rPr>
          <w:t>proposals to study ApoE2, the brain, and aging</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xml:space="preserve">we </w:t>
      </w:r>
      <w:r w:rsidRPr="0060384B">
        <w:rPr>
          <w:rFonts w:ascii="Lato" w:hAnsi="Lato"/>
          <w:color w:val="000000" w:themeColor="text1"/>
          <w:sz w:val="24"/>
          <w:szCs w:val="24"/>
        </w:rPr>
        <w:t>want to learn more about ApoE2</w:t>
      </w:r>
      <w:r w:rsidRPr="0060384B">
        <w:rPr>
          <w:rFonts w:ascii="Lato" w:hAnsi="Lato"/>
          <w:color w:val="000000" w:themeColor="text1"/>
          <w:sz w:val="24"/>
          <w:szCs w:val="24"/>
        </w:rPr>
        <w:t>’s</w:t>
      </w:r>
      <w:r w:rsidRPr="0060384B">
        <w:rPr>
          <w:rFonts w:ascii="Lato" w:hAnsi="Lato"/>
          <w:color w:val="000000" w:themeColor="text1"/>
          <w:sz w:val="24"/>
          <w:szCs w:val="24"/>
        </w:rPr>
        <w:t xml:space="preserve"> </w:t>
      </w:r>
      <w:r w:rsidRPr="0060384B">
        <w:rPr>
          <w:rFonts w:ascii="Lato" w:hAnsi="Lato"/>
          <w:color w:val="000000" w:themeColor="text1"/>
          <w:sz w:val="24"/>
          <w:szCs w:val="24"/>
        </w:rPr>
        <w:t>functional effects on healthy aging of the brain and other tissues. New mechanistic insights could</w:t>
      </w:r>
      <w:r w:rsidRPr="0060384B">
        <w:rPr>
          <w:rFonts w:ascii="Lato" w:hAnsi="Lato"/>
          <w:color w:val="000000" w:themeColor="text1"/>
          <w:sz w:val="24"/>
          <w:szCs w:val="24"/>
        </w:rPr>
        <w:t xml:space="preserve"> help identify potential predictive and diagnostic markers and therapeutic targets for Alzheimer</w:t>
      </w:r>
      <w:r w:rsidRPr="0060384B">
        <w:rPr>
          <w:rFonts w:ascii="Lato" w:hAnsi="Lato"/>
          <w:color w:val="000000" w:themeColor="text1"/>
          <w:sz w:val="24"/>
          <w:szCs w:val="24"/>
        </w:rPr>
        <w:t>’s and other age-related cognitive disorders.</w:t>
      </w:r>
    </w:p>
    <w:p w14:paraId="04D95FBC" w14:textId="77777777" w:rsidR="00000000" w:rsidRPr="0060384B" w:rsidRDefault="00CA5F6F">
      <w:pPr>
        <w:spacing w:line="246" w:lineRule="exact"/>
        <w:rPr>
          <w:rFonts w:ascii="Lato" w:eastAsia="Times New Roman" w:hAnsi="Lato"/>
          <w:color w:val="000000" w:themeColor="text1"/>
          <w:sz w:val="24"/>
          <w:szCs w:val="24"/>
        </w:rPr>
      </w:pPr>
    </w:p>
    <w:p w14:paraId="223A58E2"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Building a Research Focus on Resilience</w:t>
      </w:r>
    </w:p>
    <w:p w14:paraId="3370A8AC" w14:textId="77777777" w:rsidR="00000000" w:rsidRPr="0060384B" w:rsidRDefault="00CA5F6F">
      <w:pPr>
        <w:spacing w:line="284" w:lineRule="exact"/>
        <w:rPr>
          <w:rFonts w:ascii="Lato" w:eastAsia="Times New Roman" w:hAnsi="Lato"/>
          <w:color w:val="000000" w:themeColor="text1"/>
          <w:sz w:val="24"/>
          <w:szCs w:val="24"/>
        </w:rPr>
      </w:pPr>
    </w:p>
    <w:p w14:paraId="0403AEC5" w14:textId="77777777" w:rsidR="00000000" w:rsidRPr="0060384B" w:rsidRDefault="00CA5F6F">
      <w:pPr>
        <w:spacing w:line="245" w:lineRule="auto"/>
        <w:ind w:right="220"/>
        <w:rPr>
          <w:rFonts w:ascii="Lato" w:hAnsi="Lato"/>
          <w:color w:val="000000" w:themeColor="text1"/>
          <w:sz w:val="24"/>
          <w:szCs w:val="24"/>
        </w:rPr>
      </w:pPr>
      <w:r w:rsidRPr="0060384B">
        <w:rPr>
          <w:rFonts w:ascii="Lato" w:hAnsi="Lato"/>
          <w:color w:val="000000" w:themeColor="text1"/>
          <w:sz w:val="24"/>
          <w:szCs w:val="24"/>
        </w:rPr>
        <w:t xml:space="preserve">Beyond ApoE2, there is a growing focus generally on resilience for both </w:t>
      </w:r>
      <w:r w:rsidRPr="0060384B">
        <w:rPr>
          <w:rFonts w:ascii="Lato" w:hAnsi="Lato"/>
          <w:color w:val="000000" w:themeColor="text1"/>
          <w:sz w:val="24"/>
          <w:szCs w:val="24"/>
        </w:rPr>
        <w:t xml:space="preserve">healthy aging overall and cognitive well -being. NIA in 2017 launched its </w:t>
      </w:r>
      <w:hyperlink r:id="rId135" w:history="1">
        <w:r w:rsidRPr="0060384B">
          <w:rPr>
            <w:rFonts w:ascii="Lato" w:hAnsi="Lato"/>
            <w:color w:val="000000" w:themeColor="text1"/>
            <w:sz w:val="24"/>
            <w:szCs w:val="24"/>
          </w:rPr>
          <w:t>Resilience in Aging</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program, which consists of several funding initiatives addressing resilience across organ systems and di</w:t>
      </w:r>
      <w:r w:rsidRPr="0060384B">
        <w:rPr>
          <w:rFonts w:ascii="Lato" w:hAnsi="Lato"/>
          <w:color w:val="000000" w:themeColor="text1"/>
          <w:sz w:val="24"/>
          <w:szCs w:val="24"/>
        </w:rPr>
        <w:t>seases of aging, including Alzheimer</w:t>
      </w:r>
      <w:r w:rsidRPr="0060384B">
        <w:rPr>
          <w:rFonts w:ascii="Lato" w:hAnsi="Lato"/>
          <w:color w:val="000000" w:themeColor="text1"/>
          <w:sz w:val="24"/>
          <w:szCs w:val="24"/>
        </w:rPr>
        <w:t>’s disease, adding to a strong foundation of research on resilience in the behavioral sciences.</w:t>
      </w:r>
    </w:p>
    <w:p w14:paraId="1C547EB4" w14:textId="77777777" w:rsidR="00000000" w:rsidRPr="0060384B" w:rsidRDefault="00CA5F6F">
      <w:pPr>
        <w:spacing w:line="249" w:lineRule="exact"/>
        <w:rPr>
          <w:rFonts w:ascii="Lato" w:eastAsia="Times New Roman" w:hAnsi="Lato"/>
          <w:color w:val="000000" w:themeColor="text1"/>
          <w:sz w:val="24"/>
          <w:szCs w:val="24"/>
        </w:rPr>
      </w:pPr>
    </w:p>
    <w:p w14:paraId="708D8FA3" w14:textId="77777777" w:rsidR="00000000" w:rsidRPr="0060384B" w:rsidRDefault="00CA5F6F">
      <w:pPr>
        <w:spacing w:line="239" w:lineRule="auto"/>
        <w:ind w:right="20"/>
        <w:rPr>
          <w:rFonts w:ascii="Lato" w:hAnsi="Lato"/>
          <w:color w:val="000000" w:themeColor="text1"/>
          <w:sz w:val="24"/>
          <w:szCs w:val="24"/>
        </w:rPr>
      </w:pPr>
      <w:r w:rsidRPr="0060384B">
        <w:rPr>
          <w:rFonts w:ascii="Lato" w:hAnsi="Lato"/>
          <w:color w:val="000000" w:themeColor="text1"/>
          <w:sz w:val="24"/>
          <w:szCs w:val="24"/>
        </w:rPr>
        <w:t>In Alzheimer</w:t>
      </w:r>
      <w:r w:rsidRPr="0060384B">
        <w:rPr>
          <w:rFonts w:ascii="Lato" w:hAnsi="Lato"/>
          <w:color w:val="000000" w:themeColor="text1"/>
          <w:sz w:val="24"/>
          <w:szCs w:val="24"/>
        </w:rPr>
        <w:t xml:space="preserve">’s specifically, NIA seeks to learn more about the </w:t>
      </w:r>
      <w:hyperlink r:id="rId136" w:history="1">
        <w:r w:rsidRPr="0060384B">
          <w:rPr>
            <w:rFonts w:ascii="Lato" w:hAnsi="Lato"/>
            <w:color w:val="000000" w:themeColor="text1"/>
            <w:sz w:val="24"/>
            <w:szCs w:val="24"/>
          </w:rPr>
          <w:t>complex biology of cognitive</w:t>
        </w:r>
      </w:hyperlink>
      <w:r w:rsidRPr="0060384B">
        <w:rPr>
          <w:rFonts w:ascii="Lato" w:hAnsi="Lato"/>
          <w:color w:val="000000" w:themeColor="text1"/>
          <w:sz w:val="24"/>
          <w:szCs w:val="24"/>
        </w:rPr>
        <w:t xml:space="preserve"> </w:t>
      </w:r>
      <w:hyperlink r:id="rId137" w:history="1">
        <w:r w:rsidRPr="0060384B">
          <w:rPr>
            <w:rFonts w:ascii="Lato" w:hAnsi="Lato"/>
            <w:color w:val="000000" w:themeColor="text1"/>
            <w:sz w:val="24"/>
            <w:szCs w:val="24"/>
          </w:rPr>
          <w:t>resilience in individuals with high risk of disease</w:t>
        </w:r>
        <w:r w:rsidRPr="0060384B">
          <w:rPr>
            <w:rFonts w:ascii="Lato" w:hAnsi="Lato"/>
            <w:color w:val="000000" w:themeColor="text1"/>
            <w:sz w:val="24"/>
            <w:szCs w:val="24"/>
          </w:rPr>
          <w:t>.</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Through</w:t>
      </w:r>
      <w:r w:rsidRPr="0060384B">
        <w:rPr>
          <w:rFonts w:ascii="Lato" w:hAnsi="Lato"/>
          <w:color w:val="000000" w:themeColor="text1"/>
          <w:sz w:val="24"/>
          <w:szCs w:val="24"/>
        </w:rPr>
        <w:t xml:space="preserve"> </w:t>
      </w:r>
      <w:r w:rsidRPr="0060384B">
        <w:rPr>
          <w:rFonts w:ascii="Lato" w:hAnsi="Lato"/>
          <w:color w:val="000000" w:themeColor="text1"/>
          <w:sz w:val="24"/>
          <w:szCs w:val="24"/>
        </w:rPr>
        <w:t>this funding initiative, NIA established</w:t>
      </w:r>
    </w:p>
    <w:p w14:paraId="01CC4EAA" w14:textId="77777777" w:rsidR="00000000" w:rsidRPr="0060384B" w:rsidRDefault="00CA5F6F">
      <w:pPr>
        <w:spacing w:line="2" w:lineRule="exact"/>
        <w:rPr>
          <w:rFonts w:ascii="Lato" w:eastAsia="Times New Roman" w:hAnsi="Lato"/>
          <w:color w:val="000000" w:themeColor="text1"/>
          <w:sz w:val="24"/>
          <w:szCs w:val="24"/>
        </w:rPr>
      </w:pPr>
    </w:p>
    <w:p w14:paraId="15F27959" w14:textId="77777777" w:rsidR="00000000" w:rsidRPr="0060384B" w:rsidRDefault="00CA5F6F">
      <w:pPr>
        <w:numPr>
          <w:ilvl w:val="0"/>
          <w:numId w:val="15"/>
        </w:numPr>
        <w:tabs>
          <w:tab w:val="left" w:pos="170"/>
        </w:tabs>
        <w:spacing w:line="0" w:lineRule="atLeast"/>
        <w:ind w:right="20"/>
        <w:rPr>
          <w:rFonts w:ascii="Lato" w:hAnsi="Lato"/>
          <w:color w:val="000000" w:themeColor="text1"/>
          <w:sz w:val="24"/>
          <w:szCs w:val="24"/>
        </w:rPr>
      </w:pPr>
      <w:r w:rsidRPr="0060384B">
        <w:rPr>
          <w:rFonts w:ascii="Lato" w:hAnsi="Lato"/>
          <w:color w:val="000000" w:themeColor="text1"/>
          <w:sz w:val="24"/>
          <w:szCs w:val="24"/>
        </w:rPr>
        <w:t xml:space="preserve">new research program, </w:t>
      </w:r>
      <w:r w:rsidRPr="0060384B">
        <w:rPr>
          <w:rFonts w:ascii="Lato" w:hAnsi="Lato"/>
          <w:color w:val="000000" w:themeColor="text1"/>
          <w:sz w:val="24"/>
          <w:szCs w:val="24"/>
        </w:rPr>
        <w:t>the Resilience-Alzheimer</w:t>
      </w:r>
      <w:r w:rsidRPr="0060384B">
        <w:rPr>
          <w:rFonts w:ascii="Lato" w:hAnsi="Lato"/>
          <w:color w:val="000000" w:themeColor="text1"/>
          <w:sz w:val="24"/>
          <w:szCs w:val="24"/>
        </w:rPr>
        <w:t>’s Disease Consortium, which complements and expands NIA</w:t>
      </w:r>
      <w:r w:rsidRPr="0060384B">
        <w:rPr>
          <w:rFonts w:ascii="Lato" w:hAnsi="Lato"/>
          <w:color w:val="000000" w:themeColor="text1"/>
          <w:sz w:val="24"/>
          <w:szCs w:val="24"/>
        </w:rPr>
        <w:t>’s existing open-science programs (AMP-AD and M</w:t>
      </w:r>
      <w:r w:rsidRPr="0060384B">
        <w:rPr>
          <w:rFonts w:ascii="Lato" w:hAnsi="Lato"/>
          <w:color w:val="000000" w:themeColor="text1"/>
          <w:sz w:val="24"/>
          <w:szCs w:val="24"/>
          <w:vertAlign w:val="superscript"/>
        </w:rPr>
        <w:t>2</w:t>
      </w:r>
      <w:r w:rsidRPr="0060384B">
        <w:rPr>
          <w:rFonts w:ascii="Lato" w:hAnsi="Lato"/>
          <w:color w:val="000000" w:themeColor="text1"/>
          <w:sz w:val="24"/>
          <w:szCs w:val="24"/>
        </w:rPr>
        <w:t>OVE-AD). The consortium is already at work building predictive molecular models for novel target and biomarker discovery in deme</w:t>
      </w:r>
      <w:r w:rsidRPr="0060384B">
        <w:rPr>
          <w:rFonts w:ascii="Lato" w:hAnsi="Lato"/>
          <w:color w:val="000000" w:themeColor="text1"/>
          <w:sz w:val="24"/>
          <w:szCs w:val="24"/>
        </w:rPr>
        <w:t>ntia. Scientists across 10 interdisciplinary teams are generating molecular data using biosamples from people who resist Alzheimer</w:t>
      </w:r>
      <w:r w:rsidRPr="0060384B">
        <w:rPr>
          <w:rFonts w:ascii="Lato" w:hAnsi="Lato"/>
          <w:color w:val="000000" w:themeColor="text1"/>
          <w:sz w:val="24"/>
          <w:szCs w:val="24"/>
        </w:rPr>
        <w:t>’s despite having high genetic risk (including those who have the ApoE4 risk gene or Down syndrome), people who remain dementi</w:t>
      </w:r>
      <w:r w:rsidRPr="0060384B">
        <w:rPr>
          <w:rFonts w:ascii="Lato" w:hAnsi="Lato"/>
          <w:color w:val="000000" w:themeColor="text1"/>
          <w:sz w:val="24"/>
          <w:szCs w:val="24"/>
        </w:rPr>
        <w:t>a-free despite</w:t>
      </w:r>
    </w:p>
    <w:p w14:paraId="1225F78C" w14:textId="77777777" w:rsidR="00000000" w:rsidRPr="0060384B" w:rsidRDefault="00CA5F6F">
      <w:pPr>
        <w:tabs>
          <w:tab w:val="left" w:pos="170"/>
        </w:tabs>
        <w:spacing w:line="0" w:lineRule="atLeast"/>
        <w:ind w:right="20"/>
        <w:rPr>
          <w:rFonts w:ascii="Lato" w:hAnsi="Lato"/>
          <w:color w:val="000000" w:themeColor="text1"/>
          <w:sz w:val="24"/>
          <w:szCs w:val="24"/>
        </w:rPr>
        <w:sectPr w:rsidR="00000000" w:rsidRPr="0060384B">
          <w:pgSz w:w="12240" w:h="15840"/>
          <w:pgMar w:top="1130" w:right="1440" w:bottom="0" w:left="1440" w:header="0" w:footer="0" w:gutter="0"/>
          <w:cols w:space="0" w:equalWidth="0">
            <w:col w:w="9360"/>
          </w:cols>
          <w:docGrid w:linePitch="360"/>
        </w:sectPr>
      </w:pPr>
    </w:p>
    <w:p w14:paraId="5596606B" w14:textId="77777777" w:rsidR="00000000" w:rsidRPr="0060384B" w:rsidRDefault="00CA5F6F">
      <w:pPr>
        <w:spacing w:line="362"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55D13226" w14:textId="77777777">
        <w:trPr>
          <w:trHeight w:val="245"/>
        </w:trPr>
        <w:tc>
          <w:tcPr>
            <w:tcW w:w="6540" w:type="dxa"/>
            <w:shd w:val="clear" w:color="auto" w:fill="auto"/>
            <w:vAlign w:val="bottom"/>
          </w:tcPr>
          <w:p w14:paraId="04FDC94F"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17208669"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38</w:t>
            </w:r>
          </w:p>
        </w:tc>
      </w:tr>
      <w:tr w:rsidR="00000000" w:rsidRPr="0060384B" w14:paraId="4821DF43" w14:textId="77777777">
        <w:trPr>
          <w:trHeight w:val="258"/>
        </w:trPr>
        <w:tc>
          <w:tcPr>
            <w:tcW w:w="6540" w:type="dxa"/>
            <w:shd w:val="clear" w:color="auto" w:fill="auto"/>
            <w:vAlign w:val="bottom"/>
          </w:tcPr>
          <w:p w14:paraId="557DCAFF"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NIH Bypass Budget Proposal for Fiscal Year 2021</w:t>
            </w:r>
          </w:p>
        </w:tc>
        <w:tc>
          <w:tcPr>
            <w:tcW w:w="2820" w:type="dxa"/>
            <w:shd w:val="clear" w:color="auto" w:fill="auto"/>
            <w:vAlign w:val="bottom"/>
          </w:tcPr>
          <w:p w14:paraId="55E187C1" w14:textId="77777777" w:rsidR="00000000" w:rsidRPr="0060384B" w:rsidRDefault="00CA5F6F">
            <w:pPr>
              <w:spacing w:line="0" w:lineRule="atLeast"/>
              <w:rPr>
                <w:rFonts w:ascii="Lato" w:eastAsia="Times New Roman" w:hAnsi="Lato"/>
                <w:color w:val="000000" w:themeColor="text1"/>
                <w:sz w:val="24"/>
                <w:szCs w:val="24"/>
              </w:rPr>
            </w:pPr>
          </w:p>
        </w:tc>
      </w:tr>
    </w:tbl>
    <w:p w14:paraId="567EF99C"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0" w:right="1440" w:bottom="0" w:left="1440" w:header="0" w:footer="0" w:gutter="0"/>
          <w:cols w:space="0" w:equalWidth="0">
            <w:col w:w="9360"/>
          </w:cols>
          <w:docGrid w:linePitch="360"/>
        </w:sectPr>
      </w:pPr>
    </w:p>
    <w:p w14:paraId="603AC191" w14:textId="77777777" w:rsidR="00000000" w:rsidRPr="0060384B" w:rsidRDefault="00CA5F6F">
      <w:pPr>
        <w:spacing w:line="247" w:lineRule="auto"/>
        <w:ind w:right="80"/>
        <w:rPr>
          <w:rFonts w:ascii="Lato" w:hAnsi="Lato"/>
          <w:color w:val="000000" w:themeColor="text1"/>
          <w:sz w:val="24"/>
          <w:szCs w:val="24"/>
        </w:rPr>
      </w:pPr>
      <w:bookmarkStart w:id="41" w:name="page42"/>
      <w:bookmarkEnd w:id="41"/>
      <w:r w:rsidRPr="0060384B">
        <w:rPr>
          <w:rFonts w:ascii="Lato" w:hAnsi="Lato"/>
          <w:color w:val="000000" w:themeColor="text1"/>
          <w:sz w:val="24"/>
          <w:szCs w:val="24"/>
        </w:rPr>
        <w:lastRenderedPageBreak/>
        <w:t xml:space="preserve">very old age (90-plus and centenarians), and people who remain cognitively normal despite the presence of biomarkers seen in neuroimaging or pathology after death. </w:t>
      </w:r>
      <w:r w:rsidRPr="0060384B">
        <w:rPr>
          <w:rFonts w:ascii="Lato" w:hAnsi="Lato"/>
          <w:color w:val="000000" w:themeColor="text1"/>
          <w:sz w:val="24"/>
          <w:szCs w:val="24"/>
        </w:rPr>
        <w:t>They are also using advanced systems and network biology approaches to build maps of resilience and test predictions of resilience from human data, with a variety of cell-based and animal models.</w:t>
      </w:r>
    </w:p>
    <w:p w14:paraId="4920C718" w14:textId="77777777" w:rsidR="00000000" w:rsidRPr="0060384B" w:rsidRDefault="00CA5F6F">
      <w:pPr>
        <w:spacing w:line="243" w:lineRule="exact"/>
        <w:rPr>
          <w:rFonts w:ascii="Lato" w:eastAsia="Times New Roman" w:hAnsi="Lato"/>
          <w:color w:val="000000" w:themeColor="text1"/>
          <w:sz w:val="24"/>
          <w:szCs w:val="24"/>
        </w:rPr>
      </w:pPr>
    </w:p>
    <w:p w14:paraId="0982C162"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A Better Mouse Model for Resilience, Vulnerability</w:t>
      </w:r>
    </w:p>
    <w:p w14:paraId="78418206" w14:textId="77777777" w:rsidR="00000000" w:rsidRPr="0060384B" w:rsidRDefault="00CA5F6F">
      <w:pPr>
        <w:spacing w:line="284" w:lineRule="exact"/>
        <w:rPr>
          <w:rFonts w:ascii="Lato" w:eastAsia="Times New Roman" w:hAnsi="Lato"/>
          <w:color w:val="000000" w:themeColor="text1"/>
          <w:sz w:val="24"/>
          <w:szCs w:val="24"/>
        </w:rPr>
      </w:pPr>
    </w:p>
    <w:p w14:paraId="04260D94" w14:textId="77777777" w:rsidR="00000000" w:rsidRPr="0060384B" w:rsidRDefault="00CA5F6F">
      <w:pPr>
        <w:spacing w:line="245" w:lineRule="auto"/>
        <w:ind w:right="360"/>
        <w:rPr>
          <w:rFonts w:ascii="Lato" w:hAnsi="Lato"/>
          <w:color w:val="000000" w:themeColor="text1"/>
          <w:sz w:val="24"/>
          <w:szCs w:val="24"/>
        </w:rPr>
      </w:pPr>
      <w:r w:rsidRPr="0060384B">
        <w:rPr>
          <w:rFonts w:ascii="Lato" w:hAnsi="Lato"/>
          <w:color w:val="000000" w:themeColor="text1"/>
          <w:sz w:val="24"/>
          <w:szCs w:val="24"/>
        </w:rPr>
        <w:t>One tea</w:t>
      </w:r>
      <w:r w:rsidRPr="0060384B">
        <w:rPr>
          <w:rFonts w:ascii="Lato" w:hAnsi="Lato"/>
          <w:color w:val="000000" w:themeColor="text1"/>
          <w:sz w:val="24"/>
          <w:szCs w:val="24"/>
        </w:rPr>
        <w:t>m from the Resilience-Alzheimer</w:t>
      </w:r>
      <w:r w:rsidRPr="0060384B">
        <w:rPr>
          <w:rFonts w:ascii="Lato" w:hAnsi="Lato"/>
          <w:color w:val="000000" w:themeColor="text1"/>
          <w:sz w:val="24"/>
          <w:szCs w:val="24"/>
        </w:rPr>
        <w:t>’s Disease Consortium (</w:t>
      </w:r>
      <w:hyperlink r:id="rId138" w:history="1">
        <w:r w:rsidRPr="0060384B">
          <w:rPr>
            <w:rFonts w:ascii="Lato" w:hAnsi="Lato"/>
            <w:color w:val="000000" w:themeColor="text1"/>
            <w:sz w:val="24"/>
            <w:szCs w:val="24"/>
          </w:rPr>
          <w:t>Neuner et al., 2019</w:t>
        </w:r>
      </w:hyperlink>
      <w:r w:rsidRPr="0060384B">
        <w:rPr>
          <w:rFonts w:ascii="Lato" w:hAnsi="Lato"/>
          <w:color w:val="000000" w:themeColor="text1"/>
          <w:sz w:val="24"/>
          <w:szCs w:val="24"/>
        </w:rPr>
        <w:t>) became the first to show that many of the molecular, genetic, and clinical features of Alzheimer</w:t>
      </w:r>
      <w:r w:rsidRPr="0060384B">
        <w:rPr>
          <w:rFonts w:ascii="Lato" w:hAnsi="Lato"/>
          <w:color w:val="000000" w:themeColor="text1"/>
          <w:sz w:val="24"/>
          <w:szCs w:val="24"/>
        </w:rPr>
        <w:t>’s disease can be replic</w:t>
      </w:r>
      <w:r w:rsidRPr="0060384B">
        <w:rPr>
          <w:rFonts w:ascii="Lato" w:hAnsi="Lato"/>
          <w:color w:val="000000" w:themeColor="text1"/>
          <w:sz w:val="24"/>
          <w:szCs w:val="24"/>
        </w:rPr>
        <w:t>ated in a genetically diverse mouse model. This is critically important to improving the predictive power of animal models and increasing their usability for precision medicine research.</w:t>
      </w:r>
    </w:p>
    <w:p w14:paraId="42E3A1BC" w14:textId="77777777" w:rsidR="00000000" w:rsidRPr="0060384B" w:rsidRDefault="00CA5F6F">
      <w:pPr>
        <w:spacing w:line="249" w:lineRule="exact"/>
        <w:rPr>
          <w:rFonts w:ascii="Lato" w:eastAsia="Times New Roman" w:hAnsi="Lato"/>
          <w:color w:val="000000" w:themeColor="text1"/>
          <w:sz w:val="24"/>
          <w:szCs w:val="24"/>
        </w:rPr>
      </w:pPr>
    </w:p>
    <w:p w14:paraId="31C08144" w14:textId="77777777" w:rsidR="00000000" w:rsidRPr="0060384B" w:rsidRDefault="00CA5F6F">
      <w:pPr>
        <w:spacing w:line="242" w:lineRule="auto"/>
        <w:ind w:right="140"/>
        <w:rPr>
          <w:rFonts w:ascii="Lato" w:hAnsi="Lato"/>
          <w:color w:val="000000" w:themeColor="text1"/>
          <w:sz w:val="24"/>
          <w:szCs w:val="24"/>
        </w:rPr>
      </w:pPr>
      <w:r w:rsidRPr="0060384B">
        <w:rPr>
          <w:rFonts w:ascii="Lato" w:hAnsi="Lato"/>
          <w:color w:val="000000" w:themeColor="text1"/>
          <w:sz w:val="24"/>
          <w:szCs w:val="24"/>
        </w:rPr>
        <w:t>In this study, scientists combined a well-established model of inher</w:t>
      </w:r>
      <w:r w:rsidRPr="0060384B">
        <w:rPr>
          <w:rFonts w:ascii="Lato" w:hAnsi="Lato"/>
          <w:color w:val="000000" w:themeColor="text1"/>
          <w:sz w:val="24"/>
          <w:szCs w:val="24"/>
        </w:rPr>
        <w:t>ited Alzheimer</w:t>
      </w:r>
      <w:r w:rsidRPr="0060384B">
        <w:rPr>
          <w:rFonts w:ascii="Lato" w:hAnsi="Lato"/>
          <w:color w:val="000000" w:themeColor="text1"/>
          <w:sz w:val="24"/>
          <w:szCs w:val="24"/>
        </w:rPr>
        <w:t>’s with a genetically diverse set of mice. A detailed analysis of the new panel of mice, referred to as AD-BXD, showed a high degree of overlap with the genetic, molecular, pathologic, and cognitive features of Alzheimer</w:t>
      </w:r>
      <w:r w:rsidRPr="0060384B">
        <w:rPr>
          <w:rFonts w:ascii="Lato" w:hAnsi="Lato"/>
          <w:color w:val="000000" w:themeColor="text1"/>
          <w:sz w:val="24"/>
          <w:szCs w:val="24"/>
        </w:rPr>
        <w:t>’s in humans. The team</w:t>
      </w:r>
      <w:r w:rsidRPr="0060384B">
        <w:rPr>
          <w:rFonts w:ascii="Lato" w:hAnsi="Lato"/>
          <w:color w:val="000000" w:themeColor="text1"/>
          <w:sz w:val="24"/>
          <w:szCs w:val="24"/>
        </w:rPr>
        <w:t xml:space="preserve"> also discovered that one mouse strain commonly used to generate Alzheimer</w:t>
      </w:r>
      <w:r w:rsidRPr="0060384B">
        <w:rPr>
          <w:rFonts w:ascii="Lato" w:hAnsi="Lato"/>
          <w:color w:val="000000" w:themeColor="text1"/>
          <w:sz w:val="24"/>
          <w:szCs w:val="24"/>
        </w:rPr>
        <w:t>’s transgenic mouse models harbored resilience factors protecting against the disease. This feature lessened the impact of Alzheimer</w:t>
      </w:r>
      <w:r w:rsidRPr="0060384B">
        <w:rPr>
          <w:rFonts w:ascii="Lato" w:hAnsi="Lato"/>
          <w:color w:val="000000" w:themeColor="text1"/>
          <w:sz w:val="24"/>
          <w:szCs w:val="24"/>
        </w:rPr>
        <w:t>’s risk-factor genes, interfering with that model</w:t>
      </w:r>
      <w:r w:rsidRPr="0060384B">
        <w:rPr>
          <w:rFonts w:ascii="Lato" w:hAnsi="Lato"/>
          <w:color w:val="000000" w:themeColor="text1"/>
          <w:sz w:val="24"/>
          <w:szCs w:val="24"/>
        </w:rPr>
        <w:t>’</w:t>
      </w:r>
      <w:r w:rsidRPr="0060384B">
        <w:rPr>
          <w:rFonts w:ascii="Lato" w:hAnsi="Lato"/>
          <w:color w:val="000000" w:themeColor="text1"/>
          <w:sz w:val="24"/>
          <w:szCs w:val="24"/>
        </w:rPr>
        <w:t>s suitability for testing novel therapeutic agents. The researchers noted this finding may help explain the poor predictive power of drug screening studies using current Alzheimer</w:t>
      </w:r>
      <w:r w:rsidRPr="0060384B">
        <w:rPr>
          <w:rFonts w:ascii="Lato" w:hAnsi="Lato"/>
          <w:color w:val="000000" w:themeColor="text1"/>
          <w:sz w:val="24"/>
          <w:szCs w:val="24"/>
        </w:rPr>
        <w:t>’s transgenic mouse models.</w:t>
      </w:r>
    </w:p>
    <w:p w14:paraId="412BCA9F" w14:textId="77777777" w:rsidR="00000000" w:rsidRPr="0060384B" w:rsidRDefault="00CA5F6F">
      <w:pPr>
        <w:spacing w:line="257" w:lineRule="exact"/>
        <w:rPr>
          <w:rFonts w:ascii="Lato" w:eastAsia="Times New Roman" w:hAnsi="Lato"/>
          <w:color w:val="000000" w:themeColor="text1"/>
          <w:sz w:val="24"/>
          <w:szCs w:val="24"/>
        </w:rPr>
      </w:pPr>
    </w:p>
    <w:p w14:paraId="48090316" w14:textId="77777777" w:rsidR="00000000" w:rsidRPr="0060384B" w:rsidRDefault="00CA5F6F">
      <w:pPr>
        <w:spacing w:line="245" w:lineRule="auto"/>
        <w:ind w:right="160"/>
        <w:rPr>
          <w:rFonts w:ascii="Lato" w:hAnsi="Lato"/>
          <w:color w:val="000000" w:themeColor="text1"/>
          <w:sz w:val="24"/>
          <w:szCs w:val="24"/>
        </w:rPr>
      </w:pPr>
      <w:r w:rsidRPr="0060384B">
        <w:rPr>
          <w:rFonts w:ascii="Lato" w:hAnsi="Lato"/>
          <w:color w:val="000000" w:themeColor="text1"/>
          <w:sz w:val="24"/>
          <w:szCs w:val="24"/>
        </w:rPr>
        <w:t xml:space="preserve">The new, genetically diverse model incorporates </w:t>
      </w:r>
      <w:r w:rsidRPr="0060384B">
        <w:rPr>
          <w:rFonts w:ascii="Lato" w:hAnsi="Lato"/>
          <w:color w:val="000000" w:themeColor="text1"/>
          <w:sz w:val="24"/>
          <w:szCs w:val="24"/>
        </w:rPr>
        <w:t>the protective genes and allows their mechanisms to be identified, while at the same time letting scientists better account for the heterogeneous nature of normal aging and Alzheimer</w:t>
      </w:r>
      <w:r w:rsidRPr="0060384B">
        <w:rPr>
          <w:rFonts w:ascii="Lato" w:hAnsi="Lato"/>
          <w:color w:val="000000" w:themeColor="text1"/>
          <w:sz w:val="24"/>
          <w:szCs w:val="24"/>
        </w:rPr>
        <w:t>’s and more precisely describe molecular factors that lead to resilience a</w:t>
      </w:r>
      <w:r w:rsidRPr="0060384B">
        <w:rPr>
          <w:rFonts w:ascii="Lato" w:hAnsi="Lato"/>
          <w:color w:val="000000" w:themeColor="text1"/>
          <w:sz w:val="24"/>
          <w:szCs w:val="24"/>
        </w:rPr>
        <w:t>nd vulnerabilities to genetic and environmental disease risk factors.</w:t>
      </w:r>
    </w:p>
    <w:p w14:paraId="1CC84E38" w14:textId="77777777" w:rsidR="00000000" w:rsidRPr="0060384B" w:rsidRDefault="00CA5F6F">
      <w:pPr>
        <w:spacing w:line="249" w:lineRule="exact"/>
        <w:rPr>
          <w:rFonts w:ascii="Lato" w:eastAsia="Times New Roman" w:hAnsi="Lato"/>
          <w:color w:val="000000" w:themeColor="text1"/>
          <w:sz w:val="24"/>
          <w:szCs w:val="24"/>
        </w:rPr>
      </w:pPr>
    </w:p>
    <w:p w14:paraId="4B6D6B0C" w14:textId="77777777" w:rsidR="00000000" w:rsidRPr="0060384B" w:rsidRDefault="00CA5F6F">
      <w:pPr>
        <w:spacing w:line="245" w:lineRule="auto"/>
        <w:ind w:right="120"/>
        <w:rPr>
          <w:rFonts w:ascii="Lato" w:hAnsi="Lato"/>
          <w:color w:val="000000" w:themeColor="text1"/>
          <w:sz w:val="24"/>
          <w:szCs w:val="24"/>
        </w:rPr>
      </w:pPr>
      <w:r w:rsidRPr="0060384B">
        <w:rPr>
          <w:rFonts w:ascii="Lato" w:hAnsi="Lato"/>
          <w:color w:val="000000" w:themeColor="text1"/>
          <w:sz w:val="24"/>
          <w:szCs w:val="24"/>
        </w:rPr>
        <w:t xml:space="preserve">An infrastructure and new analytics tools support studies in cognitive reserve and resilience. After seeking ideas for a new </w:t>
      </w:r>
      <w:hyperlink r:id="rId139" w:history="1">
        <w:r w:rsidRPr="0060384B">
          <w:rPr>
            <w:rFonts w:ascii="Lato" w:hAnsi="Lato"/>
            <w:color w:val="000000" w:themeColor="text1"/>
            <w:sz w:val="24"/>
            <w:szCs w:val="24"/>
          </w:rPr>
          <w:t>Collaboratory on Research Definitions for Cognitive Reserve and</w:t>
        </w:r>
      </w:hyperlink>
      <w:r w:rsidRPr="0060384B">
        <w:rPr>
          <w:rFonts w:ascii="Lato" w:hAnsi="Lato"/>
          <w:color w:val="000000" w:themeColor="text1"/>
          <w:sz w:val="24"/>
          <w:szCs w:val="24"/>
        </w:rPr>
        <w:t xml:space="preserve"> </w:t>
      </w:r>
      <w:hyperlink r:id="rId140" w:history="1">
        <w:r w:rsidRPr="0060384B">
          <w:rPr>
            <w:rFonts w:ascii="Lato" w:hAnsi="Lato"/>
            <w:color w:val="000000" w:themeColor="text1"/>
            <w:sz w:val="24"/>
            <w:szCs w:val="24"/>
          </w:rPr>
          <w:t>Resilience to Alzheimer's Disease</w:t>
        </w:r>
        <w:r w:rsidRPr="0060384B">
          <w:rPr>
            <w:rFonts w:ascii="Lato" w:hAnsi="Lato"/>
            <w:color w:val="000000" w:themeColor="text1"/>
            <w:sz w:val="24"/>
            <w:szCs w:val="24"/>
          </w:rPr>
          <w:t>,</w:t>
        </w:r>
        <w:r w:rsidRPr="0060384B">
          <w:rPr>
            <w:rFonts w:ascii="Lato" w:hAnsi="Lato"/>
            <w:color w:val="000000" w:themeColor="text1"/>
            <w:sz w:val="24"/>
            <w:szCs w:val="24"/>
          </w:rPr>
          <w:t xml:space="preserve"> </w:t>
        </w:r>
      </w:hyperlink>
      <w:hyperlink r:id="rId141" w:history="1">
        <w:r w:rsidRPr="0060384B">
          <w:rPr>
            <w:rFonts w:ascii="Lato" w:hAnsi="Lato"/>
            <w:color w:val="000000" w:themeColor="text1"/>
            <w:sz w:val="24"/>
            <w:szCs w:val="24"/>
          </w:rPr>
          <w:t>an award to establish the collaboratory</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was</w:t>
      </w:r>
      <w:r w:rsidRPr="0060384B">
        <w:rPr>
          <w:rFonts w:ascii="Lato" w:hAnsi="Lato"/>
          <w:color w:val="000000" w:themeColor="text1"/>
          <w:sz w:val="24"/>
          <w:szCs w:val="24"/>
        </w:rPr>
        <w:t xml:space="preserve"> </w:t>
      </w:r>
      <w:r w:rsidRPr="0060384B">
        <w:rPr>
          <w:rFonts w:ascii="Lato" w:hAnsi="Lato"/>
          <w:color w:val="000000" w:themeColor="text1"/>
          <w:sz w:val="24"/>
          <w:szCs w:val="24"/>
        </w:rPr>
        <w:t>made in 2018 to</w:t>
      </w:r>
      <w:r w:rsidRPr="0060384B">
        <w:rPr>
          <w:rFonts w:ascii="Lato" w:hAnsi="Lato"/>
          <w:color w:val="000000" w:themeColor="text1"/>
          <w:sz w:val="24"/>
          <w:szCs w:val="24"/>
        </w:rPr>
        <w:t xml:space="preserve"> </w:t>
      </w:r>
      <w:r w:rsidRPr="0060384B">
        <w:rPr>
          <w:rFonts w:ascii="Lato" w:hAnsi="Lato"/>
          <w:color w:val="000000" w:themeColor="text1"/>
          <w:sz w:val="24"/>
          <w:szCs w:val="24"/>
        </w:rPr>
        <w:t xml:space="preserve">help define and clarify the concepts of cognitive reserve and resilience more uniformly for </w:t>
      </w:r>
      <w:r w:rsidRPr="0060384B">
        <w:rPr>
          <w:rFonts w:ascii="Lato" w:hAnsi="Lato"/>
          <w:color w:val="000000" w:themeColor="text1"/>
          <w:sz w:val="24"/>
          <w:szCs w:val="24"/>
        </w:rPr>
        <w:t>research.</w:t>
      </w:r>
    </w:p>
    <w:p w14:paraId="3FB087BF" w14:textId="77777777" w:rsidR="00000000" w:rsidRPr="0060384B" w:rsidRDefault="00CA5F6F">
      <w:pPr>
        <w:spacing w:line="249" w:lineRule="exact"/>
        <w:rPr>
          <w:rFonts w:ascii="Lato" w:hAnsi="Lato"/>
          <w:color w:val="000000" w:themeColor="text1"/>
          <w:sz w:val="24"/>
          <w:szCs w:val="24"/>
        </w:rPr>
      </w:pPr>
    </w:p>
    <w:p w14:paraId="725482CD" w14:textId="77777777" w:rsidR="00000000" w:rsidRPr="0060384B" w:rsidRDefault="00CA5F6F">
      <w:pPr>
        <w:spacing w:line="262" w:lineRule="auto"/>
        <w:ind w:right="960"/>
        <w:rPr>
          <w:rFonts w:ascii="Lato" w:hAnsi="Lato"/>
          <w:color w:val="000000" w:themeColor="text1"/>
          <w:sz w:val="24"/>
          <w:szCs w:val="24"/>
        </w:rPr>
      </w:pPr>
      <w:r w:rsidRPr="0060384B">
        <w:rPr>
          <w:rFonts w:ascii="Lato" w:hAnsi="Lato"/>
          <w:color w:val="000000" w:themeColor="text1"/>
          <w:sz w:val="24"/>
          <w:szCs w:val="24"/>
        </w:rPr>
        <w:t xml:space="preserve">The NIA has also </w:t>
      </w:r>
      <w:hyperlink r:id="rId142" w:history="1">
        <w:r w:rsidRPr="0060384B">
          <w:rPr>
            <w:rFonts w:ascii="Lato" w:hAnsi="Lato"/>
            <w:color w:val="000000" w:themeColor="text1"/>
            <w:sz w:val="24"/>
            <w:szCs w:val="24"/>
          </w:rPr>
          <w:t>invited small businesses</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xml:space="preserve">to join these efforts, seeking to develop </w:t>
      </w:r>
      <w:hyperlink r:id="rId143" w:history="1">
        <w:r w:rsidRPr="0060384B">
          <w:rPr>
            <w:rFonts w:ascii="Lato" w:hAnsi="Lato"/>
            <w:color w:val="000000" w:themeColor="text1"/>
            <w:sz w:val="24"/>
            <w:szCs w:val="24"/>
          </w:rPr>
          <w:t>new</w:t>
        </w:r>
      </w:hyperlink>
      <w:r w:rsidRPr="0060384B">
        <w:rPr>
          <w:rFonts w:ascii="Lato" w:hAnsi="Lato"/>
          <w:color w:val="000000" w:themeColor="text1"/>
          <w:sz w:val="24"/>
          <w:szCs w:val="24"/>
        </w:rPr>
        <w:t xml:space="preserve"> </w:t>
      </w:r>
      <w:hyperlink r:id="rId144" w:history="1">
        <w:r w:rsidRPr="0060384B">
          <w:rPr>
            <w:rFonts w:ascii="Lato" w:hAnsi="Lato"/>
            <w:color w:val="000000" w:themeColor="text1"/>
            <w:sz w:val="24"/>
            <w:szCs w:val="24"/>
          </w:rPr>
          <w:t>analytical tools, such as assays</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xml:space="preserve">that </w:t>
      </w:r>
      <w:r w:rsidRPr="0060384B">
        <w:rPr>
          <w:rFonts w:ascii="Lato" w:hAnsi="Lato"/>
          <w:color w:val="000000" w:themeColor="text1"/>
          <w:sz w:val="24"/>
          <w:szCs w:val="24"/>
        </w:rPr>
        <w:t>can measure resiliencies at the cellular level.</w:t>
      </w:r>
    </w:p>
    <w:p w14:paraId="2F2AD933" w14:textId="77777777" w:rsidR="00000000" w:rsidRPr="0060384B" w:rsidRDefault="00CA5F6F">
      <w:pPr>
        <w:spacing w:line="220" w:lineRule="exact"/>
        <w:rPr>
          <w:rFonts w:ascii="Lato" w:hAnsi="Lato"/>
          <w:color w:val="000000" w:themeColor="text1"/>
          <w:sz w:val="24"/>
          <w:szCs w:val="24"/>
        </w:rPr>
      </w:pPr>
    </w:p>
    <w:p w14:paraId="19DB5491"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Understanding the Intersection of Aging and Neurodegeneration</w:t>
      </w:r>
    </w:p>
    <w:p w14:paraId="0E480CC1" w14:textId="77777777" w:rsidR="00000000" w:rsidRPr="0060384B" w:rsidRDefault="00CA5F6F">
      <w:pPr>
        <w:spacing w:line="287" w:lineRule="exact"/>
        <w:rPr>
          <w:rFonts w:ascii="Lato" w:hAnsi="Lato"/>
          <w:color w:val="000000" w:themeColor="text1"/>
          <w:sz w:val="24"/>
          <w:szCs w:val="24"/>
        </w:rPr>
      </w:pPr>
    </w:p>
    <w:p w14:paraId="7D1E05ED" w14:textId="77777777" w:rsidR="00000000" w:rsidRPr="0060384B" w:rsidRDefault="00CA5F6F">
      <w:pPr>
        <w:spacing w:line="251" w:lineRule="auto"/>
        <w:ind w:right="340"/>
        <w:rPr>
          <w:rFonts w:ascii="Lato" w:hAnsi="Lato"/>
          <w:color w:val="000000" w:themeColor="text1"/>
          <w:sz w:val="24"/>
          <w:szCs w:val="24"/>
        </w:rPr>
      </w:pPr>
      <w:r w:rsidRPr="0060384B">
        <w:rPr>
          <w:rFonts w:ascii="Lato" w:hAnsi="Lato"/>
          <w:color w:val="000000" w:themeColor="text1"/>
          <w:sz w:val="24"/>
          <w:szCs w:val="24"/>
        </w:rPr>
        <w:t>NIH</w:t>
      </w:r>
      <w:r w:rsidRPr="0060384B">
        <w:rPr>
          <w:rFonts w:ascii="Lato" w:hAnsi="Lato"/>
          <w:color w:val="000000" w:themeColor="text1"/>
          <w:sz w:val="24"/>
          <w:szCs w:val="24"/>
        </w:rPr>
        <w:t>’s expanded effo</w:t>
      </w:r>
      <w:r w:rsidRPr="0060384B">
        <w:rPr>
          <w:rFonts w:ascii="Lato" w:hAnsi="Lato"/>
          <w:color w:val="000000" w:themeColor="text1"/>
          <w:sz w:val="24"/>
          <w:szCs w:val="24"/>
        </w:rPr>
        <w:t>rts to learn more about the basic biology of dementia freshly focus on implications of the most fundamental fact about Alzheimer</w:t>
      </w:r>
      <w:r w:rsidRPr="0060384B">
        <w:rPr>
          <w:rFonts w:ascii="Lato" w:hAnsi="Lato"/>
          <w:color w:val="000000" w:themeColor="text1"/>
          <w:sz w:val="24"/>
          <w:szCs w:val="24"/>
        </w:rPr>
        <w:t>’s disease and related dementias: Most are diseases of aging.</w:t>
      </w:r>
    </w:p>
    <w:p w14:paraId="03D64FAF" w14:textId="77777777" w:rsidR="00000000" w:rsidRPr="0060384B" w:rsidRDefault="00CA5F6F">
      <w:pPr>
        <w:spacing w:line="240" w:lineRule="exact"/>
        <w:rPr>
          <w:rFonts w:ascii="Lato" w:hAnsi="Lato"/>
          <w:color w:val="000000" w:themeColor="text1"/>
          <w:sz w:val="24"/>
          <w:szCs w:val="24"/>
        </w:rPr>
      </w:pPr>
    </w:p>
    <w:p w14:paraId="4FBBA658" w14:textId="77777777" w:rsidR="00000000" w:rsidRPr="0060384B" w:rsidRDefault="00CA5F6F">
      <w:pPr>
        <w:spacing w:line="262" w:lineRule="auto"/>
        <w:rPr>
          <w:rFonts w:ascii="Lato" w:hAnsi="Lato"/>
          <w:color w:val="000000" w:themeColor="text1"/>
          <w:sz w:val="24"/>
          <w:szCs w:val="24"/>
        </w:rPr>
      </w:pPr>
      <w:r w:rsidRPr="0060384B">
        <w:rPr>
          <w:rFonts w:ascii="Lato" w:hAnsi="Lato"/>
          <w:color w:val="000000" w:themeColor="text1"/>
          <w:sz w:val="24"/>
          <w:szCs w:val="24"/>
        </w:rPr>
        <w:t xml:space="preserve">The scientific community studying aging and age-related diseases </w:t>
      </w:r>
      <w:r w:rsidRPr="0060384B">
        <w:rPr>
          <w:rFonts w:ascii="Lato" w:hAnsi="Lato"/>
          <w:color w:val="000000" w:themeColor="text1"/>
          <w:sz w:val="24"/>
          <w:szCs w:val="24"/>
        </w:rPr>
        <w:t>has conceptualized the notion of geroscience, a field of research that aims to understand, at the cellular and molecular level,</w:t>
      </w:r>
    </w:p>
    <w:p w14:paraId="6CE95987" w14:textId="77777777" w:rsidR="00000000" w:rsidRPr="0060384B" w:rsidRDefault="00CA5F6F">
      <w:pPr>
        <w:spacing w:line="262" w:lineRule="auto"/>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4F1C8EE5" w14:textId="77777777" w:rsidR="00000000" w:rsidRPr="0060384B" w:rsidRDefault="00CA5F6F">
      <w:pPr>
        <w:spacing w:line="309" w:lineRule="exact"/>
        <w:rPr>
          <w:rFonts w:ascii="Lato"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3D430B12" w14:textId="77777777">
        <w:trPr>
          <w:trHeight w:val="245"/>
        </w:trPr>
        <w:tc>
          <w:tcPr>
            <w:tcW w:w="6540" w:type="dxa"/>
            <w:shd w:val="clear" w:color="auto" w:fill="auto"/>
            <w:vAlign w:val="bottom"/>
          </w:tcPr>
          <w:p w14:paraId="15A2D4F7"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22D0BF2E"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39</w:t>
            </w:r>
          </w:p>
        </w:tc>
      </w:tr>
      <w:tr w:rsidR="00000000" w:rsidRPr="0060384B" w14:paraId="607C0E86" w14:textId="77777777">
        <w:trPr>
          <w:trHeight w:val="258"/>
        </w:trPr>
        <w:tc>
          <w:tcPr>
            <w:tcW w:w="6540" w:type="dxa"/>
            <w:shd w:val="clear" w:color="auto" w:fill="auto"/>
            <w:vAlign w:val="bottom"/>
          </w:tcPr>
          <w:p w14:paraId="500C96B1"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0DFDE663" w14:textId="77777777" w:rsidR="00000000" w:rsidRPr="0060384B" w:rsidRDefault="00CA5F6F">
            <w:pPr>
              <w:spacing w:line="0" w:lineRule="atLeast"/>
              <w:rPr>
                <w:rFonts w:ascii="Lato" w:eastAsia="Times New Roman" w:hAnsi="Lato"/>
                <w:color w:val="000000" w:themeColor="text1"/>
                <w:sz w:val="24"/>
                <w:szCs w:val="24"/>
              </w:rPr>
            </w:pPr>
          </w:p>
        </w:tc>
      </w:tr>
    </w:tbl>
    <w:p w14:paraId="12460B1E"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2425289C" w14:textId="77777777" w:rsidR="00000000" w:rsidRPr="0060384B" w:rsidRDefault="00CA5F6F">
      <w:pPr>
        <w:spacing w:line="242" w:lineRule="auto"/>
        <w:ind w:right="60"/>
        <w:rPr>
          <w:rFonts w:ascii="Lato" w:hAnsi="Lato"/>
          <w:color w:val="000000" w:themeColor="text1"/>
          <w:sz w:val="24"/>
          <w:szCs w:val="24"/>
        </w:rPr>
      </w:pPr>
      <w:bookmarkStart w:id="42" w:name="page43"/>
      <w:bookmarkEnd w:id="42"/>
      <w:r w:rsidRPr="0060384B">
        <w:rPr>
          <w:rFonts w:ascii="Lato" w:hAnsi="Lato"/>
          <w:color w:val="000000" w:themeColor="text1"/>
          <w:sz w:val="24"/>
          <w:szCs w:val="24"/>
        </w:rPr>
        <w:lastRenderedPageBreak/>
        <w:t>the connections between aging, disease, and disabil</w:t>
      </w:r>
      <w:r w:rsidRPr="0060384B">
        <w:rPr>
          <w:rFonts w:ascii="Lato" w:hAnsi="Lato"/>
          <w:color w:val="000000" w:themeColor="text1"/>
          <w:sz w:val="24"/>
          <w:szCs w:val="24"/>
        </w:rPr>
        <w:t>ity. It focuses on understanding the mechanisms by which aging contributes as the major risk factor for most chronic diseases. Geroscience posits that affecting the aging process will simultaneously delay the appearance or severity of multiple chronic dise</w:t>
      </w:r>
      <w:r w:rsidRPr="0060384B">
        <w:rPr>
          <w:rFonts w:ascii="Lato" w:hAnsi="Lato"/>
          <w:color w:val="000000" w:themeColor="text1"/>
          <w:sz w:val="24"/>
          <w:szCs w:val="24"/>
        </w:rPr>
        <w:t>ases because these diseases share aging as an underlying major risk factor. Supporting this theory are data from NIA-supported programs and initiatives, through which researchers have identified behavioral, genetic, and pharmacological approaches to extend</w:t>
      </w:r>
      <w:r w:rsidRPr="0060384B">
        <w:rPr>
          <w:rFonts w:ascii="Lato" w:hAnsi="Lato"/>
          <w:color w:val="000000" w:themeColor="text1"/>
          <w:sz w:val="24"/>
          <w:szCs w:val="24"/>
        </w:rPr>
        <w:t xml:space="preserve"> lifespan in a variety of model systems. Importantly, interventions that extend lifespan often result in significant delays in the appearance of pathology and frailty. Conversely, when lifespan is shortened, diseases and frailty occur earlier.</w:t>
      </w:r>
    </w:p>
    <w:p w14:paraId="4093B0AE" w14:textId="77777777" w:rsidR="00000000" w:rsidRPr="0060384B" w:rsidRDefault="00CA5F6F">
      <w:pPr>
        <w:spacing w:line="257" w:lineRule="exact"/>
        <w:rPr>
          <w:rFonts w:ascii="Lato" w:eastAsia="Times New Roman" w:hAnsi="Lato"/>
          <w:color w:val="000000" w:themeColor="text1"/>
          <w:sz w:val="24"/>
          <w:szCs w:val="24"/>
        </w:rPr>
      </w:pPr>
    </w:p>
    <w:p w14:paraId="7CEDCC0A" w14:textId="77777777" w:rsidR="00000000" w:rsidRPr="0060384B" w:rsidRDefault="00CA5F6F">
      <w:pPr>
        <w:spacing w:line="242" w:lineRule="auto"/>
        <w:ind w:right="40"/>
        <w:rPr>
          <w:rFonts w:ascii="Lato" w:hAnsi="Lato"/>
          <w:color w:val="000000" w:themeColor="text1"/>
          <w:sz w:val="24"/>
          <w:szCs w:val="24"/>
        </w:rPr>
      </w:pPr>
      <w:r w:rsidRPr="0060384B">
        <w:rPr>
          <w:rFonts w:ascii="Lato" w:hAnsi="Lato"/>
          <w:color w:val="000000" w:themeColor="text1"/>
          <w:sz w:val="24"/>
          <w:szCs w:val="24"/>
        </w:rPr>
        <w:t>In 2015, NI</w:t>
      </w:r>
      <w:r w:rsidRPr="0060384B">
        <w:rPr>
          <w:rFonts w:ascii="Lato" w:hAnsi="Lato"/>
          <w:color w:val="000000" w:themeColor="text1"/>
          <w:sz w:val="24"/>
          <w:szCs w:val="24"/>
        </w:rPr>
        <w:t>A initiated a program to understand Alzheimer</w:t>
      </w:r>
      <w:r w:rsidRPr="0060384B">
        <w:rPr>
          <w:rFonts w:ascii="Lato" w:hAnsi="Lato"/>
          <w:color w:val="000000" w:themeColor="text1"/>
          <w:sz w:val="24"/>
          <w:szCs w:val="24"/>
        </w:rPr>
        <w:t xml:space="preserve">’s disease in the context of the aging brain. </w:t>
      </w:r>
      <w:hyperlink r:id="rId145" w:history="1">
        <w:r w:rsidRPr="0060384B">
          <w:rPr>
            <w:rFonts w:ascii="Lato" w:hAnsi="Lato"/>
            <w:color w:val="000000" w:themeColor="text1"/>
            <w:sz w:val="24"/>
            <w:szCs w:val="24"/>
          </w:rPr>
          <w:t>These efforts</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have continued, along with new opportunities for more targeted rese</w:t>
      </w:r>
      <w:r w:rsidRPr="0060384B">
        <w:rPr>
          <w:rFonts w:ascii="Lato" w:hAnsi="Lato"/>
          <w:color w:val="000000" w:themeColor="text1"/>
          <w:sz w:val="24"/>
          <w:szCs w:val="24"/>
        </w:rPr>
        <w:t xml:space="preserve">arch. In 2019, NIA </w:t>
      </w:r>
      <w:hyperlink r:id="rId146" w:history="1">
        <w:r w:rsidRPr="0060384B">
          <w:rPr>
            <w:rFonts w:ascii="Lato" w:hAnsi="Lato"/>
            <w:color w:val="000000" w:themeColor="text1"/>
            <w:sz w:val="24"/>
            <w:szCs w:val="24"/>
          </w:rPr>
          <w:t>invited research teams to investigate</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xml:space="preserve">how established approaches to manipulate the rate of aging in model systems could advance understanding of the effect </w:t>
      </w:r>
      <w:r w:rsidRPr="0060384B">
        <w:rPr>
          <w:rFonts w:ascii="Lato" w:hAnsi="Lato"/>
          <w:color w:val="000000" w:themeColor="text1"/>
          <w:sz w:val="24"/>
          <w:szCs w:val="24"/>
        </w:rPr>
        <w:t xml:space="preserve">of aging on development of dementia. It asked scientists, too, to propose how they would </w:t>
      </w:r>
      <w:hyperlink r:id="rId147" w:history="1">
        <w:r w:rsidRPr="0060384B">
          <w:rPr>
            <w:rFonts w:ascii="Lato" w:hAnsi="Lato"/>
            <w:color w:val="000000" w:themeColor="text1"/>
            <w:sz w:val="24"/>
            <w:szCs w:val="24"/>
          </w:rPr>
          <w:t>examine the role</w:t>
        </w:r>
      </w:hyperlink>
      <w:r w:rsidRPr="0060384B">
        <w:rPr>
          <w:rFonts w:ascii="Lato" w:hAnsi="Lato"/>
          <w:color w:val="000000" w:themeColor="text1"/>
          <w:sz w:val="24"/>
          <w:szCs w:val="24"/>
        </w:rPr>
        <w:t xml:space="preserve"> </w:t>
      </w:r>
      <w:hyperlink r:id="rId148" w:history="1">
        <w:r w:rsidRPr="0060384B">
          <w:rPr>
            <w:rFonts w:ascii="Lato" w:hAnsi="Lato"/>
            <w:color w:val="000000" w:themeColor="text1"/>
            <w:sz w:val="24"/>
            <w:szCs w:val="24"/>
          </w:rPr>
          <w:t>played by known mechanisms of aging</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xml:space="preserve">cell </w:t>
      </w:r>
      <w:r w:rsidRPr="0060384B">
        <w:rPr>
          <w:rFonts w:ascii="Lato" w:hAnsi="Lato"/>
          <w:color w:val="000000" w:themeColor="text1"/>
          <w:sz w:val="24"/>
          <w:szCs w:val="24"/>
        </w:rPr>
        <w:t>senescence, systemic inflammation, proteostasis</w:t>
      </w:r>
      <w:r w:rsidRPr="0060384B">
        <w:rPr>
          <w:rFonts w:ascii="Lato" w:hAnsi="Lato"/>
          <w:color w:val="000000" w:themeColor="text1"/>
          <w:sz w:val="24"/>
          <w:szCs w:val="24"/>
        </w:rPr>
        <w:t xml:space="preserve"> </w:t>
      </w:r>
      <w:r w:rsidRPr="0060384B">
        <w:rPr>
          <w:rFonts w:ascii="Lato" w:hAnsi="Lato"/>
          <w:color w:val="000000" w:themeColor="text1"/>
          <w:sz w:val="24"/>
          <w:szCs w:val="24"/>
        </w:rPr>
        <w:t>(the complex pathway that maintains proteins within and around a cell), and others. These types of studies will help us articulate how aging and other bio</w:t>
      </w:r>
      <w:r w:rsidRPr="0060384B">
        <w:rPr>
          <w:rFonts w:ascii="Lato" w:hAnsi="Lato"/>
          <w:color w:val="000000" w:themeColor="text1"/>
          <w:sz w:val="24"/>
          <w:szCs w:val="24"/>
        </w:rPr>
        <w:t>logical processes may make us vulnerable or resistant to the development of dementia.</w:t>
      </w:r>
    </w:p>
    <w:p w14:paraId="49B98AC0" w14:textId="77777777" w:rsidR="00000000" w:rsidRPr="0060384B" w:rsidRDefault="00CA5F6F">
      <w:pPr>
        <w:spacing w:line="260" w:lineRule="exact"/>
        <w:rPr>
          <w:rFonts w:ascii="Lato" w:hAnsi="Lato"/>
          <w:color w:val="000000" w:themeColor="text1"/>
          <w:sz w:val="24"/>
          <w:szCs w:val="24"/>
        </w:rPr>
      </w:pPr>
    </w:p>
    <w:p w14:paraId="6E0CCFF9" w14:textId="77777777" w:rsidR="00000000" w:rsidRPr="0060384B" w:rsidRDefault="00CA5F6F">
      <w:pPr>
        <w:spacing w:line="245" w:lineRule="auto"/>
        <w:ind w:right="460"/>
        <w:rPr>
          <w:rFonts w:ascii="Lato" w:hAnsi="Lato"/>
          <w:color w:val="000000" w:themeColor="text1"/>
          <w:sz w:val="24"/>
          <w:szCs w:val="24"/>
        </w:rPr>
      </w:pPr>
      <w:r w:rsidRPr="0060384B">
        <w:rPr>
          <w:rFonts w:ascii="Lato" w:hAnsi="Lato"/>
          <w:color w:val="000000" w:themeColor="text1"/>
          <w:sz w:val="24"/>
          <w:szCs w:val="24"/>
        </w:rPr>
        <w:t xml:space="preserve">Highlighted here are a few recent findings focused on how the forms of the </w:t>
      </w:r>
      <w:r w:rsidRPr="0060384B">
        <w:rPr>
          <w:rFonts w:ascii="Lato" w:hAnsi="Lato"/>
          <w:color w:val="000000" w:themeColor="text1"/>
          <w:sz w:val="24"/>
          <w:szCs w:val="24"/>
        </w:rPr>
        <w:t>APOE</w:t>
      </w:r>
      <w:r w:rsidRPr="0060384B">
        <w:rPr>
          <w:rFonts w:ascii="Lato" w:hAnsi="Lato"/>
          <w:color w:val="000000" w:themeColor="text1"/>
          <w:sz w:val="24"/>
          <w:szCs w:val="24"/>
        </w:rPr>
        <w:t xml:space="preserve"> gene, the best-known genetic risk factor for late-onset Alzheimer</w:t>
      </w:r>
      <w:r w:rsidRPr="0060384B">
        <w:rPr>
          <w:rFonts w:ascii="Lato" w:hAnsi="Lato"/>
          <w:color w:val="000000" w:themeColor="text1"/>
          <w:sz w:val="24"/>
          <w:szCs w:val="24"/>
        </w:rPr>
        <w:t>’s disease, influences a</w:t>
      </w:r>
      <w:r w:rsidRPr="0060384B">
        <w:rPr>
          <w:rFonts w:ascii="Lato" w:hAnsi="Lato"/>
          <w:color w:val="000000" w:themeColor="text1"/>
          <w:sz w:val="24"/>
          <w:szCs w:val="24"/>
        </w:rPr>
        <w:t>ging; the maintenance of proteostasis in Alzheimer</w:t>
      </w:r>
      <w:r w:rsidRPr="0060384B">
        <w:rPr>
          <w:rFonts w:ascii="Lato" w:hAnsi="Lato"/>
          <w:color w:val="000000" w:themeColor="text1"/>
          <w:sz w:val="24"/>
          <w:szCs w:val="24"/>
        </w:rPr>
        <w:t>’s; and mechanistic links between TDP-43 proteinopathy and ApoE4. We continue to explore possible known, and new, targets for intervention:</w:t>
      </w:r>
    </w:p>
    <w:p w14:paraId="7C9376B2" w14:textId="77777777" w:rsidR="00000000" w:rsidRPr="0060384B" w:rsidRDefault="00CA5F6F">
      <w:pPr>
        <w:spacing w:line="246" w:lineRule="exact"/>
        <w:rPr>
          <w:rFonts w:ascii="Lato" w:hAnsi="Lato"/>
          <w:color w:val="000000" w:themeColor="text1"/>
          <w:sz w:val="24"/>
          <w:szCs w:val="24"/>
        </w:rPr>
      </w:pPr>
    </w:p>
    <w:p w14:paraId="403D7297" w14:textId="77777777" w:rsidR="00000000" w:rsidRPr="0060384B" w:rsidRDefault="00CA5F6F">
      <w:pPr>
        <w:spacing w:line="242" w:lineRule="auto"/>
        <w:ind w:right="100"/>
        <w:rPr>
          <w:rFonts w:ascii="Lato" w:hAnsi="Lato"/>
          <w:color w:val="000000" w:themeColor="text1"/>
          <w:sz w:val="24"/>
          <w:szCs w:val="24"/>
        </w:rPr>
      </w:pPr>
      <w:r w:rsidRPr="0060384B">
        <w:rPr>
          <w:rFonts w:ascii="Lato" w:hAnsi="Lato"/>
          <w:b/>
          <w:color w:val="000000" w:themeColor="text1"/>
          <w:sz w:val="24"/>
          <w:szCs w:val="24"/>
        </w:rPr>
        <w:t>Preserving proteostasis: Allowing cellular proteins to maintain p</w:t>
      </w:r>
      <w:r w:rsidRPr="0060384B">
        <w:rPr>
          <w:rFonts w:ascii="Lato" w:hAnsi="Lato"/>
          <w:b/>
          <w:color w:val="000000" w:themeColor="text1"/>
          <w:sz w:val="24"/>
          <w:szCs w:val="24"/>
        </w:rPr>
        <w:t xml:space="preserve">roper function clearing senescent cells to preserve cognition. </w:t>
      </w:r>
      <w:r w:rsidRPr="0060384B">
        <w:rPr>
          <w:rFonts w:ascii="Lato" w:hAnsi="Lato"/>
          <w:color w:val="000000" w:themeColor="text1"/>
          <w:sz w:val="24"/>
          <w:szCs w:val="24"/>
        </w:rPr>
        <w:t>Geroscience approaches are already opening new</w:t>
      </w:r>
      <w:r w:rsidRPr="0060384B">
        <w:rPr>
          <w:rFonts w:ascii="Lato" w:hAnsi="Lato"/>
          <w:b/>
          <w:color w:val="000000" w:themeColor="text1"/>
          <w:sz w:val="24"/>
          <w:szCs w:val="24"/>
        </w:rPr>
        <w:t xml:space="preserve"> </w:t>
      </w:r>
      <w:r w:rsidRPr="0060384B">
        <w:rPr>
          <w:rFonts w:ascii="Lato" w:hAnsi="Lato"/>
          <w:color w:val="000000" w:themeColor="text1"/>
          <w:sz w:val="24"/>
          <w:szCs w:val="24"/>
        </w:rPr>
        <w:t xml:space="preserve">avenues for translational research. Last year, investigators supported by NIA </w:t>
      </w:r>
      <w:hyperlink r:id="rId149" w:history="1">
        <w:r w:rsidRPr="0060384B">
          <w:rPr>
            <w:rFonts w:ascii="Lato" w:hAnsi="Lato"/>
            <w:color w:val="000000" w:themeColor="text1"/>
            <w:sz w:val="24"/>
            <w:szCs w:val="24"/>
          </w:rPr>
          <w:t>(</w:t>
        </w:r>
        <w:r w:rsidRPr="0060384B">
          <w:rPr>
            <w:rFonts w:ascii="Lato" w:hAnsi="Lato"/>
            <w:color w:val="000000" w:themeColor="text1"/>
            <w:sz w:val="24"/>
            <w:szCs w:val="24"/>
          </w:rPr>
          <w:t>Bussian</w:t>
        </w:r>
        <w:r w:rsidRPr="0060384B">
          <w:rPr>
            <w:rFonts w:ascii="Lato" w:hAnsi="Lato"/>
            <w:color w:val="000000" w:themeColor="text1"/>
            <w:sz w:val="24"/>
            <w:szCs w:val="24"/>
          </w:rPr>
          <w:t xml:space="preserve"> et al.,</w:t>
        </w:r>
      </w:hyperlink>
      <w:r w:rsidRPr="0060384B">
        <w:rPr>
          <w:rFonts w:ascii="Lato" w:hAnsi="Lato"/>
          <w:color w:val="000000" w:themeColor="text1"/>
          <w:sz w:val="24"/>
          <w:szCs w:val="24"/>
        </w:rPr>
        <w:t xml:space="preserve"> </w:t>
      </w:r>
      <w:hyperlink r:id="rId150" w:history="1">
        <w:r w:rsidRPr="0060384B">
          <w:rPr>
            <w:rFonts w:ascii="Lato" w:hAnsi="Lato"/>
            <w:color w:val="000000" w:themeColor="text1"/>
            <w:sz w:val="24"/>
            <w:szCs w:val="24"/>
          </w:rPr>
          <w:t>2018</w:t>
        </w:r>
      </w:hyperlink>
      <w:r w:rsidRPr="0060384B">
        <w:rPr>
          <w:rFonts w:ascii="Lato" w:hAnsi="Lato"/>
          <w:color w:val="000000" w:themeColor="text1"/>
          <w:sz w:val="24"/>
          <w:szCs w:val="24"/>
        </w:rPr>
        <w:t>)</w:t>
      </w:r>
      <w:r w:rsidRPr="0060384B">
        <w:rPr>
          <w:rFonts w:ascii="Lato" w:hAnsi="Lato"/>
          <w:color w:val="000000" w:themeColor="text1"/>
          <w:sz w:val="24"/>
          <w:szCs w:val="24"/>
        </w:rPr>
        <w:t xml:space="preserve"> </w:t>
      </w:r>
      <w:r w:rsidRPr="0060384B">
        <w:rPr>
          <w:rFonts w:ascii="Lato" w:hAnsi="Lato"/>
          <w:color w:val="000000" w:themeColor="text1"/>
          <w:sz w:val="24"/>
          <w:szCs w:val="24"/>
        </w:rPr>
        <w:t>found in a mouse model that senescent cells, which are alive but no longer divide or</w:t>
      </w:r>
      <w:r w:rsidRPr="0060384B">
        <w:rPr>
          <w:rFonts w:ascii="Lato" w:hAnsi="Lato"/>
          <w:color w:val="000000" w:themeColor="text1"/>
          <w:sz w:val="24"/>
          <w:szCs w:val="24"/>
        </w:rPr>
        <w:t xml:space="preserve"> </w:t>
      </w:r>
      <w:r w:rsidRPr="0060384B">
        <w:rPr>
          <w:rFonts w:ascii="Lato" w:hAnsi="Lato"/>
          <w:color w:val="000000" w:themeColor="text1"/>
          <w:sz w:val="24"/>
          <w:szCs w:val="24"/>
        </w:rPr>
        <w:t>function normally, played a role in the neurodegeneration associated with Alzheimer</w:t>
      </w:r>
      <w:r w:rsidRPr="0060384B">
        <w:rPr>
          <w:rFonts w:ascii="Lato" w:hAnsi="Lato"/>
          <w:color w:val="000000" w:themeColor="text1"/>
          <w:sz w:val="24"/>
          <w:szCs w:val="24"/>
        </w:rPr>
        <w:t>’s and rela</w:t>
      </w:r>
      <w:r w:rsidRPr="0060384B">
        <w:rPr>
          <w:rFonts w:ascii="Lato" w:hAnsi="Lato"/>
          <w:color w:val="000000" w:themeColor="text1"/>
          <w:sz w:val="24"/>
          <w:szCs w:val="24"/>
        </w:rPr>
        <w:t>ted dementias. The analysis showed a causal link between the accumulation of senescent glial cells and neuronal loss associated with cognition. Additionally, the researchers found that eliminating senescent cells before they cause damage to neurons appeare</w:t>
      </w:r>
      <w:r w:rsidRPr="0060384B">
        <w:rPr>
          <w:rFonts w:ascii="Lato" w:hAnsi="Lato"/>
          <w:color w:val="000000" w:themeColor="text1"/>
          <w:sz w:val="24"/>
          <w:szCs w:val="24"/>
        </w:rPr>
        <w:t>d to preserve cognition. Further study could investigate whether these findings apply to other mouse models of disease and ultimately to humans, and whether treatments to destroy or inhibit senescent cells can reverse cognitive damage that has already occu</w:t>
      </w:r>
      <w:r w:rsidRPr="0060384B">
        <w:rPr>
          <w:rFonts w:ascii="Lato" w:hAnsi="Lato"/>
          <w:color w:val="000000" w:themeColor="text1"/>
          <w:sz w:val="24"/>
          <w:szCs w:val="24"/>
        </w:rPr>
        <w:t>rred.</w:t>
      </w:r>
    </w:p>
    <w:p w14:paraId="1061E24D" w14:textId="77777777" w:rsidR="00000000" w:rsidRPr="0060384B" w:rsidRDefault="00CA5F6F">
      <w:pPr>
        <w:spacing w:line="252" w:lineRule="exact"/>
        <w:rPr>
          <w:rFonts w:ascii="Lato" w:eastAsia="Times New Roman" w:hAnsi="Lato"/>
          <w:color w:val="000000" w:themeColor="text1"/>
          <w:sz w:val="24"/>
          <w:szCs w:val="24"/>
        </w:rPr>
      </w:pPr>
    </w:p>
    <w:p w14:paraId="1633567A" w14:textId="77777777" w:rsidR="00000000" w:rsidRPr="0060384B" w:rsidRDefault="00CA5F6F">
      <w:pPr>
        <w:spacing w:line="244" w:lineRule="auto"/>
        <w:ind w:right="20"/>
        <w:rPr>
          <w:rFonts w:ascii="Lato" w:hAnsi="Lato"/>
          <w:color w:val="000000" w:themeColor="text1"/>
          <w:sz w:val="24"/>
          <w:szCs w:val="24"/>
        </w:rPr>
      </w:pPr>
      <w:r w:rsidRPr="0060384B">
        <w:rPr>
          <w:rFonts w:ascii="Lato" w:hAnsi="Lato"/>
          <w:b/>
          <w:color w:val="000000" w:themeColor="text1"/>
          <w:sz w:val="24"/>
          <w:szCs w:val="24"/>
        </w:rPr>
        <w:t xml:space="preserve">Beta-amyloid provokes tau formation, spread. </w:t>
      </w:r>
      <w:r w:rsidRPr="0060384B">
        <w:rPr>
          <w:rFonts w:ascii="Lato" w:hAnsi="Lato"/>
          <w:color w:val="000000" w:themeColor="text1"/>
          <w:sz w:val="24"/>
          <w:szCs w:val="24"/>
        </w:rPr>
        <w:t>Alzheimer</w:t>
      </w:r>
      <w:r w:rsidRPr="0060384B">
        <w:rPr>
          <w:rFonts w:ascii="Lato" w:hAnsi="Lato"/>
          <w:color w:val="000000" w:themeColor="text1"/>
          <w:sz w:val="24"/>
          <w:szCs w:val="24"/>
        </w:rPr>
        <w:t>’s disease is characterized by beta-</w:t>
      </w:r>
      <w:r w:rsidRPr="0060384B">
        <w:rPr>
          <w:rFonts w:ascii="Lato" w:hAnsi="Lato"/>
          <w:color w:val="000000" w:themeColor="text1"/>
          <w:sz w:val="24"/>
          <w:szCs w:val="24"/>
        </w:rPr>
        <w:t xml:space="preserve">amyloid plaques outside cells and clumps of tau inside cells. To better understand the mechanistic link between these two pathologies, NIH-funded researchers </w:t>
      </w:r>
      <w:hyperlink r:id="rId151" w:history="1">
        <w:r w:rsidRPr="0060384B">
          <w:rPr>
            <w:rFonts w:ascii="Lato" w:hAnsi="Lato"/>
            <w:color w:val="000000" w:themeColor="text1"/>
            <w:sz w:val="24"/>
            <w:szCs w:val="24"/>
          </w:rPr>
          <w:t>(</w:t>
        </w:r>
        <w:r w:rsidRPr="0060384B">
          <w:rPr>
            <w:rFonts w:ascii="Lato" w:hAnsi="Lato"/>
            <w:color w:val="000000" w:themeColor="text1"/>
            <w:sz w:val="24"/>
            <w:szCs w:val="24"/>
          </w:rPr>
          <w:t>He et al., 2018</w:t>
        </w:r>
      </w:hyperlink>
      <w:r w:rsidRPr="0060384B">
        <w:rPr>
          <w:rFonts w:ascii="Lato" w:hAnsi="Lato"/>
          <w:color w:val="000000" w:themeColor="text1"/>
          <w:sz w:val="24"/>
          <w:szCs w:val="24"/>
        </w:rPr>
        <w:t>) studied the brains of a strain of transgenic mice that develop beta-amyloid but normally not tau pathology as they age. After the mice had developed amyloid plaques, the scientis</w:t>
      </w:r>
      <w:r w:rsidRPr="0060384B">
        <w:rPr>
          <w:rFonts w:ascii="Lato" w:hAnsi="Lato"/>
          <w:color w:val="000000" w:themeColor="text1"/>
          <w:sz w:val="24"/>
          <w:szCs w:val="24"/>
        </w:rPr>
        <w:t>ts introduced pathological tau isolated from post mortem Alzheimer</w:t>
      </w:r>
      <w:r w:rsidRPr="0060384B">
        <w:rPr>
          <w:rFonts w:ascii="Lato" w:hAnsi="Lato"/>
          <w:color w:val="000000" w:themeColor="text1"/>
          <w:sz w:val="24"/>
          <w:szCs w:val="24"/>
        </w:rPr>
        <w:t>’s brain tissue. The mice subsequently developed all three forms of tau pathology seen in human Alzheimer</w:t>
      </w:r>
      <w:r w:rsidRPr="0060384B">
        <w:rPr>
          <w:rFonts w:ascii="Lato" w:hAnsi="Lato"/>
          <w:color w:val="000000" w:themeColor="text1"/>
          <w:sz w:val="24"/>
          <w:szCs w:val="24"/>
        </w:rPr>
        <w:t>’s disease. The researchers</w:t>
      </w:r>
    </w:p>
    <w:p w14:paraId="4A894A21" w14:textId="77777777" w:rsidR="00000000" w:rsidRPr="0060384B" w:rsidRDefault="00CA5F6F">
      <w:pPr>
        <w:spacing w:line="244" w:lineRule="auto"/>
        <w:ind w:right="2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0FEDBC97" w14:textId="77777777" w:rsidR="00000000" w:rsidRPr="0060384B" w:rsidRDefault="00CA5F6F">
      <w:pPr>
        <w:spacing w:line="200" w:lineRule="exact"/>
        <w:rPr>
          <w:rFonts w:ascii="Lato" w:eastAsia="Times New Roman" w:hAnsi="Lato"/>
          <w:color w:val="000000" w:themeColor="text1"/>
          <w:sz w:val="24"/>
          <w:szCs w:val="24"/>
        </w:rPr>
      </w:pPr>
    </w:p>
    <w:p w14:paraId="2E68B636" w14:textId="77777777" w:rsidR="00000000" w:rsidRPr="0060384B" w:rsidRDefault="00CA5F6F">
      <w:pPr>
        <w:spacing w:line="200" w:lineRule="exact"/>
        <w:rPr>
          <w:rFonts w:ascii="Lato" w:eastAsia="Times New Roman" w:hAnsi="Lato"/>
          <w:color w:val="000000" w:themeColor="text1"/>
          <w:sz w:val="24"/>
          <w:szCs w:val="24"/>
        </w:rPr>
      </w:pPr>
    </w:p>
    <w:p w14:paraId="022308CB" w14:textId="77777777" w:rsidR="00000000" w:rsidRPr="0060384B" w:rsidRDefault="00CA5F6F">
      <w:pPr>
        <w:spacing w:line="210"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58D725D7" w14:textId="77777777">
        <w:trPr>
          <w:trHeight w:val="245"/>
        </w:trPr>
        <w:tc>
          <w:tcPr>
            <w:tcW w:w="6540" w:type="dxa"/>
            <w:shd w:val="clear" w:color="auto" w:fill="auto"/>
            <w:vAlign w:val="bottom"/>
          </w:tcPr>
          <w:p w14:paraId="1514F8B0"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60954078"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40</w:t>
            </w:r>
          </w:p>
        </w:tc>
      </w:tr>
      <w:tr w:rsidR="00000000" w:rsidRPr="0060384B" w14:paraId="4BE4FB2C" w14:textId="77777777">
        <w:trPr>
          <w:trHeight w:val="258"/>
        </w:trPr>
        <w:tc>
          <w:tcPr>
            <w:tcW w:w="6540" w:type="dxa"/>
            <w:shd w:val="clear" w:color="auto" w:fill="auto"/>
            <w:vAlign w:val="bottom"/>
          </w:tcPr>
          <w:p w14:paraId="50D398AC"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w:t>
            </w:r>
            <w:r w:rsidRPr="0060384B">
              <w:rPr>
                <w:rFonts w:ascii="Lato" w:hAnsi="Lato"/>
                <w:color w:val="000000" w:themeColor="text1"/>
                <w:sz w:val="24"/>
                <w:szCs w:val="24"/>
              </w:rPr>
              <w:t>r Fiscal Year 2021</w:t>
            </w:r>
          </w:p>
        </w:tc>
        <w:tc>
          <w:tcPr>
            <w:tcW w:w="2820" w:type="dxa"/>
            <w:shd w:val="clear" w:color="auto" w:fill="auto"/>
            <w:vAlign w:val="bottom"/>
          </w:tcPr>
          <w:p w14:paraId="6094EA14" w14:textId="77777777" w:rsidR="00000000" w:rsidRPr="0060384B" w:rsidRDefault="00CA5F6F">
            <w:pPr>
              <w:spacing w:line="0" w:lineRule="atLeast"/>
              <w:rPr>
                <w:rFonts w:ascii="Lato" w:eastAsia="Times New Roman" w:hAnsi="Lato"/>
                <w:color w:val="000000" w:themeColor="text1"/>
                <w:sz w:val="24"/>
                <w:szCs w:val="24"/>
              </w:rPr>
            </w:pPr>
          </w:p>
        </w:tc>
      </w:tr>
    </w:tbl>
    <w:p w14:paraId="2A84B521"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40258D47" w14:textId="77777777" w:rsidR="00000000" w:rsidRPr="0060384B" w:rsidRDefault="00CA5F6F">
      <w:pPr>
        <w:spacing w:line="262" w:lineRule="auto"/>
        <w:ind w:right="220"/>
        <w:rPr>
          <w:rFonts w:ascii="Lato" w:hAnsi="Lato"/>
          <w:color w:val="000000" w:themeColor="text1"/>
          <w:sz w:val="24"/>
          <w:szCs w:val="24"/>
        </w:rPr>
      </w:pPr>
      <w:bookmarkStart w:id="43" w:name="page44"/>
      <w:bookmarkEnd w:id="43"/>
      <w:r w:rsidRPr="0060384B">
        <w:rPr>
          <w:rFonts w:ascii="Lato" w:hAnsi="Lato"/>
          <w:color w:val="000000" w:themeColor="text1"/>
          <w:sz w:val="24"/>
          <w:szCs w:val="24"/>
        </w:rPr>
        <w:lastRenderedPageBreak/>
        <w:t>also could track the spread of tau, first in neurites surrounding amyloid plaques, which in turn seeded the formation of neurofibrillary tangles and neuropil threads.</w:t>
      </w:r>
    </w:p>
    <w:p w14:paraId="7BA9B1E8" w14:textId="77777777" w:rsidR="00000000" w:rsidRPr="0060384B" w:rsidRDefault="00CA5F6F">
      <w:pPr>
        <w:spacing w:line="227" w:lineRule="exact"/>
        <w:rPr>
          <w:rFonts w:ascii="Lato" w:eastAsia="Times New Roman" w:hAnsi="Lato"/>
          <w:color w:val="000000" w:themeColor="text1"/>
          <w:sz w:val="24"/>
          <w:szCs w:val="24"/>
        </w:rPr>
      </w:pPr>
    </w:p>
    <w:p w14:paraId="381B1EAC" w14:textId="77777777" w:rsidR="00000000" w:rsidRPr="0060384B" w:rsidRDefault="00CA5F6F">
      <w:pPr>
        <w:spacing w:line="244" w:lineRule="auto"/>
        <w:ind w:right="180"/>
        <w:rPr>
          <w:rFonts w:ascii="Lato" w:hAnsi="Lato"/>
          <w:color w:val="000000" w:themeColor="text1"/>
          <w:sz w:val="24"/>
          <w:szCs w:val="24"/>
        </w:rPr>
      </w:pPr>
      <w:r w:rsidRPr="0060384B">
        <w:rPr>
          <w:rFonts w:ascii="Lato" w:hAnsi="Lato"/>
          <w:color w:val="000000" w:themeColor="text1"/>
          <w:sz w:val="24"/>
          <w:szCs w:val="24"/>
        </w:rPr>
        <w:t>This study has demonstrated for the first time how beta-amyloid pl</w:t>
      </w:r>
      <w:r w:rsidRPr="0060384B">
        <w:rPr>
          <w:rFonts w:ascii="Lato" w:hAnsi="Lato"/>
          <w:color w:val="000000" w:themeColor="text1"/>
          <w:sz w:val="24"/>
          <w:szCs w:val="24"/>
        </w:rPr>
        <w:t>aques create an environment that accelerates the formation and spread of tau pathology in the brain. It is also the first mouse model with beta-amyloid plaques, as well as the three major forms of pathological tau. With this new model, scientists will be a</w:t>
      </w:r>
      <w:r w:rsidRPr="0060384B">
        <w:rPr>
          <w:rFonts w:ascii="Lato" w:hAnsi="Lato"/>
          <w:color w:val="000000" w:themeColor="text1"/>
          <w:sz w:val="24"/>
          <w:szCs w:val="24"/>
        </w:rPr>
        <w:t>ble to further investigate the link between beta-amyloid plaques and tau pathology and the progression of Alzheimer</w:t>
      </w:r>
      <w:r w:rsidRPr="0060384B">
        <w:rPr>
          <w:rFonts w:ascii="Lato" w:hAnsi="Lato"/>
          <w:color w:val="000000" w:themeColor="text1"/>
          <w:sz w:val="24"/>
          <w:szCs w:val="24"/>
        </w:rPr>
        <w:t>’s disease, making it a more useful resource for studying and testing potential therapies.</w:t>
      </w:r>
    </w:p>
    <w:p w14:paraId="03747D09" w14:textId="77777777" w:rsidR="00000000" w:rsidRPr="0060384B" w:rsidRDefault="00CA5F6F">
      <w:pPr>
        <w:spacing w:line="250" w:lineRule="exact"/>
        <w:rPr>
          <w:rFonts w:ascii="Lato" w:eastAsia="Times New Roman" w:hAnsi="Lato"/>
          <w:color w:val="000000" w:themeColor="text1"/>
          <w:sz w:val="24"/>
          <w:szCs w:val="24"/>
        </w:rPr>
      </w:pPr>
    </w:p>
    <w:p w14:paraId="26ED7FDD" w14:textId="77777777" w:rsidR="00000000" w:rsidRPr="0060384B" w:rsidRDefault="00CA5F6F">
      <w:pPr>
        <w:spacing w:line="242" w:lineRule="auto"/>
        <w:ind w:right="60"/>
        <w:rPr>
          <w:rFonts w:ascii="Lato" w:hAnsi="Lato"/>
          <w:color w:val="000000" w:themeColor="text1"/>
          <w:sz w:val="24"/>
          <w:szCs w:val="24"/>
        </w:rPr>
      </w:pPr>
      <w:r w:rsidRPr="0060384B">
        <w:rPr>
          <w:rFonts w:ascii="Lato" w:hAnsi="Lato"/>
          <w:color w:val="000000" w:themeColor="text1"/>
          <w:sz w:val="24"/>
          <w:szCs w:val="24"/>
        </w:rPr>
        <w:t>Better understanding of the dynamics of amyloid i</w:t>
      </w:r>
      <w:r w:rsidRPr="0060384B">
        <w:rPr>
          <w:rFonts w:ascii="Lato" w:hAnsi="Lato"/>
          <w:color w:val="000000" w:themeColor="text1"/>
          <w:sz w:val="24"/>
          <w:szCs w:val="24"/>
        </w:rPr>
        <w:t>n Alzheimer</w:t>
      </w:r>
      <w:r w:rsidRPr="0060384B">
        <w:rPr>
          <w:rFonts w:ascii="Lato" w:hAnsi="Lato"/>
          <w:color w:val="000000" w:themeColor="text1"/>
          <w:sz w:val="24"/>
          <w:szCs w:val="24"/>
        </w:rPr>
        <w:t>’s remains an important research question, as its accumulation into plaques is one of the hallmarks of the disease. Alzheimer</w:t>
      </w:r>
      <w:r w:rsidRPr="0060384B">
        <w:rPr>
          <w:rFonts w:ascii="Lato" w:hAnsi="Lato"/>
          <w:color w:val="000000" w:themeColor="text1"/>
          <w:sz w:val="24"/>
          <w:szCs w:val="24"/>
        </w:rPr>
        <w:t>’s is one of a large class of diseases known as protein conformational disorders, in which the formation and accumulatio</w:t>
      </w:r>
      <w:r w:rsidRPr="0060384B">
        <w:rPr>
          <w:rFonts w:ascii="Lato" w:hAnsi="Lato"/>
          <w:color w:val="000000" w:themeColor="text1"/>
          <w:sz w:val="24"/>
          <w:szCs w:val="24"/>
        </w:rPr>
        <w:t>n of certain protein aggregates, or groupings, is one of the most common features. Our understanding of the molecular structures of protein aggregates associated with these diseases has advanced considerably. Scientists have learned that not all amyloid st</w:t>
      </w:r>
      <w:r w:rsidRPr="0060384B">
        <w:rPr>
          <w:rFonts w:ascii="Lato" w:hAnsi="Lato"/>
          <w:color w:val="000000" w:themeColor="text1"/>
          <w:sz w:val="24"/>
          <w:szCs w:val="24"/>
        </w:rPr>
        <w:t>ructures in Alzheimer</w:t>
      </w:r>
      <w:r w:rsidRPr="0060384B">
        <w:rPr>
          <w:rFonts w:ascii="Lato" w:hAnsi="Lato"/>
          <w:color w:val="000000" w:themeColor="text1"/>
          <w:sz w:val="24"/>
          <w:szCs w:val="24"/>
        </w:rPr>
        <w:t>’s are the same. There appear to be at least five and maybe 10 beta-amyloid fibril polymorphs (or conformers), with this type of polymorphism shown in other protein aggregates associated with disease, such as alpha-synuclein and tau. T</w:t>
      </w:r>
      <w:r w:rsidRPr="0060384B">
        <w:rPr>
          <w:rFonts w:ascii="Lato" w:hAnsi="Lato"/>
          <w:color w:val="000000" w:themeColor="text1"/>
          <w:sz w:val="24"/>
          <w:szCs w:val="24"/>
        </w:rPr>
        <w:t>here also is evidence that these structural variations could correlate with different stages and subtypes of Alzheimer</w:t>
      </w:r>
      <w:r w:rsidRPr="0060384B">
        <w:rPr>
          <w:rFonts w:ascii="Lato" w:hAnsi="Lato"/>
          <w:color w:val="000000" w:themeColor="text1"/>
          <w:sz w:val="24"/>
          <w:szCs w:val="24"/>
        </w:rPr>
        <w:t>’s disease.</w:t>
      </w:r>
    </w:p>
    <w:p w14:paraId="004F009B" w14:textId="77777777" w:rsidR="00000000" w:rsidRPr="0060384B" w:rsidRDefault="00CA5F6F">
      <w:pPr>
        <w:spacing w:line="252" w:lineRule="exact"/>
        <w:rPr>
          <w:rFonts w:ascii="Lato" w:eastAsia="Times New Roman" w:hAnsi="Lato"/>
          <w:color w:val="000000" w:themeColor="text1"/>
          <w:sz w:val="24"/>
          <w:szCs w:val="24"/>
        </w:rPr>
      </w:pPr>
    </w:p>
    <w:p w14:paraId="71D6DA13" w14:textId="77777777" w:rsidR="00000000" w:rsidRPr="0060384B" w:rsidRDefault="00CA5F6F">
      <w:pPr>
        <w:spacing w:line="245" w:lineRule="auto"/>
        <w:ind w:right="60"/>
        <w:rPr>
          <w:rFonts w:ascii="Lato" w:hAnsi="Lato"/>
          <w:color w:val="000000" w:themeColor="text1"/>
          <w:sz w:val="24"/>
          <w:szCs w:val="24"/>
        </w:rPr>
      </w:pPr>
      <w:r w:rsidRPr="0060384B">
        <w:rPr>
          <w:rFonts w:ascii="Lato" w:hAnsi="Lato"/>
          <w:color w:val="000000" w:themeColor="text1"/>
          <w:sz w:val="24"/>
          <w:szCs w:val="24"/>
        </w:rPr>
        <w:t>With the identification of many different types of tau and beta-amyloid strains, a next step is finding out what regulates th</w:t>
      </w:r>
      <w:r w:rsidRPr="0060384B">
        <w:rPr>
          <w:rFonts w:ascii="Lato" w:hAnsi="Lato"/>
          <w:color w:val="000000" w:themeColor="text1"/>
          <w:sz w:val="24"/>
          <w:szCs w:val="24"/>
        </w:rPr>
        <w:t xml:space="preserve">e initial assembly and spread of these protein conformers. NIA has </w:t>
      </w:r>
      <w:hyperlink r:id="rId152" w:history="1">
        <w:r w:rsidRPr="0060384B">
          <w:rPr>
            <w:rFonts w:ascii="Lato" w:hAnsi="Lato"/>
            <w:color w:val="000000" w:themeColor="text1"/>
            <w:sz w:val="24"/>
            <w:szCs w:val="24"/>
          </w:rPr>
          <w:t>called for proposals</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in</w:t>
      </w:r>
      <w:r w:rsidRPr="0060384B">
        <w:rPr>
          <w:rFonts w:ascii="Lato" w:hAnsi="Lato"/>
          <w:color w:val="000000" w:themeColor="text1"/>
          <w:sz w:val="24"/>
          <w:szCs w:val="24"/>
        </w:rPr>
        <w:t xml:space="preserve"> </w:t>
      </w:r>
      <w:r w:rsidRPr="0060384B">
        <w:rPr>
          <w:rFonts w:ascii="Lato" w:hAnsi="Lato"/>
          <w:color w:val="000000" w:themeColor="text1"/>
          <w:sz w:val="24"/>
          <w:szCs w:val="24"/>
        </w:rPr>
        <w:t>this area</w:t>
      </w:r>
      <w:r w:rsidRPr="0060384B">
        <w:rPr>
          <w:rFonts w:ascii="Lato" w:hAnsi="Lato"/>
          <w:color w:val="000000" w:themeColor="text1"/>
          <w:sz w:val="24"/>
          <w:szCs w:val="24"/>
        </w:rPr>
        <w:t>.</w:t>
      </w:r>
      <w:r w:rsidRPr="0060384B">
        <w:rPr>
          <w:rFonts w:ascii="Lato" w:hAnsi="Lato"/>
          <w:color w:val="000000" w:themeColor="text1"/>
          <w:sz w:val="24"/>
          <w:szCs w:val="24"/>
        </w:rPr>
        <w:t xml:space="preserve"> </w:t>
      </w:r>
      <w:hyperlink r:id="rId153" w:history="1">
        <w:r w:rsidRPr="0060384B">
          <w:rPr>
            <w:rFonts w:ascii="Lato" w:hAnsi="Lato"/>
            <w:color w:val="000000" w:themeColor="text1"/>
            <w:sz w:val="24"/>
            <w:szCs w:val="24"/>
          </w:rPr>
          <w:t>One award was recently made</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for</w:t>
      </w:r>
      <w:r w:rsidRPr="0060384B">
        <w:rPr>
          <w:rFonts w:ascii="Lato" w:hAnsi="Lato"/>
          <w:color w:val="000000" w:themeColor="text1"/>
          <w:sz w:val="24"/>
          <w:szCs w:val="24"/>
        </w:rPr>
        <w:t xml:space="preserve"> </w:t>
      </w:r>
      <w:r w:rsidRPr="0060384B">
        <w:rPr>
          <w:rFonts w:ascii="Lato" w:hAnsi="Lato"/>
          <w:color w:val="000000" w:themeColor="text1"/>
          <w:sz w:val="24"/>
          <w:szCs w:val="24"/>
        </w:rPr>
        <w:t>research</w:t>
      </w:r>
      <w:r w:rsidRPr="0060384B">
        <w:rPr>
          <w:rFonts w:ascii="Lato" w:hAnsi="Lato"/>
          <w:color w:val="000000" w:themeColor="text1"/>
          <w:sz w:val="24"/>
          <w:szCs w:val="24"/>
        </w:rPr>
        <w:t xml:space="preserve"> </w:t>
      </w:r>
      <w:r w:rsidRPr="0060384B">
        <w:rPr>
          <w:rFonts w:ascii="Lato" w:hAnsi="Lato"/>
          <w:color w:val="000000" w:themeColor="text1"/>
          <w:sz w:val="24"/>
          <w:szCs w:val="24"/>
        </w:rPr>
        <w:t>that aims to</w:t>
      </w:r>
      <w:r w:rsidRPr="0060384B">
        <w:rPr>
          <w:rFonts w:ascii="Lato" w:hAnsi="Lato"/>
          <w:color w:val="000000" w:themeColor="text1"/>
          <w:sz w:val="24"/>
          <w:szCs w:val="24"/>
        </w:rPr>
        <w:t xml:space="preserve"> </w:t>
      </w:r>
      <w:r w:rsidRPr="0060384B">
        <w:rPr>
          <w:rFonts w:ascii="Lato" w:hAnsi="Lato"/>
          <w:color w:val="000000" w:themeColor="text1"/>
          <w:sz w:val="24"/>
          <w:szCs w:val="24"/>
        </w:rPr>
        <w:t>analyze the different strains of beta-amyloid that occur both within and between individual mouse models, and what characteristics and factors may play a role in that variation.</w:t>
      </w:r>
    </w:p>
    <w:p w14:paraId="5A790BB4" w14:textId="77777777" w:rsidR="00000000" w:rsidRPr="0060384B" w:rsidRDefault="00CA5F6F">
      <w:pPr>
        <w:spacing w:line="246" w:lineRule="exact"/>
        <w:rPr>
          <w:rFonts w:ascii="Lato" w:eastAsia="Times New Roman" w:hAnsi="Lato"/>
          <w:color w:val="000000" w:themeColor="text1"/>
          <w:sz w:val="24"/>
          <w:szCs w:val="24"/>
        </w:rPr>
      </w:pPr>
    </w:p>
    <w:p w14:paraId="70C2E9E8" w14:textId="77777777" w:rsidR="00000000" w:rsidRPr="0060384B" w:rsidRDefault="00CA5F6F">
      <w:pPr>
        <w:spacing w:line="242" w:lineRule="auto"/>
        <w:ind w:right="80"/>
        <w:rPr>
          <w:rFonts w:ascii="Lato" w:hAnsi="Lato"/>
          <w:color w:val="000000" w:themeColor="text1"/>
          <w:sz w:val="24"/>
          <w:szCs w:val="24"/>
        </w:rPr>
      </w:pPr>
      <w:r w:rsidRPr="0060384B">
        <w:rPr>
          <w:rFonts w:ascii="Lato" w:hAnsi="Lato"/>
          <w:b/>
          <w:color w:val="000000" w:themeColor="text1"/>
          <w:sz w:val="24"/>
          <w:szCs w:val="24"/>
        </w:rPr>
        <w:t xml:space="preserve">Pursuing a shared drug target for aging and dementia. </w:t>
      </w:r>
      <w:r w:rsidRPr="0060384B">
        <w:rPr>
          <w:rFonts w:ascii="Lato" w:hAnsi="Lato"/>
          <w:color w:val="000000" w:themeColor="text1"/>
          <w:sz w:val="24"/>
          <w:szCs w:val="24"/>
        </w:rPr>
        <w:t>Because Alzheimer</w:t>
      </w:r>
      <w:r w:rsidRPr="0060384B">
        <w:rPr>
          <w:rFonts w:ascii="Lato" w:hAnsi="Lato"/>
          <w:color w:val="000000" w:themeColor="text1"/>
          <w:sz w:val="24"/>
          <w:szCs w:val="24"/>
        </w:rPr>
        <w:t>’s is a disease of</w:t>
      </w:r>
      <w:r w:rsidRPr="0060384B">
        <w:rPr>
          <w:rFonts w:ascii="Lato" w:hAnsi="Lato"/>
          <w:b/>
          <w:color w:val="000000" w:themeColor="text1"/>
          <w:sz w:val="24"/>
          <w:szCs w:val="24"/>
        </w:rPr>
        <w:t xml:space="preserve"> </w:t>
      </w:r>
      <w:r w:rsidRPr="0060384B">
        <w:rPr>
          <w:rFonts w:ascii="Lato" w:hAnsi="Lato"/>
          <w:color w:val="000000" w:themeColor="text1"/>
          <w:sz w:val="24"/>
          <w:szCs w:val="24"/>
        </w:rPr>
        <w:t>aging, scientists have been interested in targeting aging as a therapeutic strategy for dementia. But the relationship has not been well understood at the molecular l</w:t>
      </w:r>
      <w:r w:rsidRPr="0060384B">
        <w:rPr>
          <w:rFonts w:ascii="Lato" w:hAnsi="Lato"/>
          <w:color w:val="000000" w:themeColor="text1"/>
          <w:sz w:val="24"/>
          <w:szCs w:val="24"/>
        </w:rPr>
        <w:t>evel. In an ongoing study, scientists (</w:t>
      </w:r>
      <w:hyperlink r:id="rId154" w:history="1">
        <w:r w:rsidRPr="0060384B">
          <w:rPr>
            <w:rFonts w:ascii="Lato" w:hAnsi="Lato"/>
            <w:color w:val="000000" w:themeColor="text1"/>
            <w:sz w:val="24"/>
            <w:szCs w:val="24"/>
          </w:rPr>
          <w:t>Goldberg et al., 2018</w:t>
        </w:r>
      </w:hyperlink>
      <w:r w:rsidRPr="0060384B">
        <w:rPr>
          <w:rFonts w:ascii="Lato" w:hAnsi="Lato"/>
          <w:color w:val="000000" w:themeColor="text1"/>
          <w:sz w:val="24"/>
          <w:szCs w:val="24"/>
        </w:rPr>
        <w:t>) funded by NIH reported a novel molecular link through identification of a drug candidate, J147. The compound was developed to address</w:t>
      </w:r>
      <w:r w:rsidRPr="0060384B">
        <w:rPr>
          <w:rFonts w:ascii="Lato" w:hAnsi="Lato"/>
          <w:color w:val="000000" w:themeColor="text1"/>
          <w:sz w:val="24"/>
          <w:szCs w:val="24"/>
        </w:rPr>
        <w:t xml:space="preserve"> disease toxicities in the aging brain and shown to have a positive effect against dementia in various mouse models. Further study identified mitochondrial ATP synthase, an enzyme that powers cellular activities, as the compound</w:t>
      </w:r>
      <w:r w:rsidRPr="0060384B">
        <w:rPr>
          <w:rFonts w:ascii="Lato" w:hAnsi="Lato"/>
          <w:color w:val="000000" w:themeColor="text1"/>
          <w:sz w:val="24"/>
          <w:szCs w:val="24"/>
        </w:rPr>
        <w:t>’s target, with its regulati</w:t>
      </w:r>
      <w:r w:rsidRPr="0060384B">
        <w:rPr>
          <w:rFonts w:ascii="Lato" w:hAnsi="Lato"/>
          <w:color w:val="000000" w:themeColor="text1"/>
          <w:sz w:val="24"/>
          <w:szCs w:val="24"/>
        </w:rPr>
        <w:t>on of mitochondrial processes found in animal models to prevent age-related adverse effects in the hippocampus and plasma metabolome and to extend life. By linking aging and age-associated dementia through the ATP synthase, the researchers believe that the</w:t>
      </w:r>
      <w:r w:rsidRPr="0060384B">
        <w:rPr>
          <w:rFonts w:ascii="Lato" w:hAnsi="Lato"/>
          <w:color w:val="000000" w:themeColor="text1"/>
          <w:sz w:val="24"/>
          <w:szCs w:val="24"/>
        </w:rPr>
        <w:t>re is an unexpectedly close relationship between the two, which offers a novel molecular drug target to investigate for both.</w:t>
      </w:r>
    </w:p>
    <w:p w14:paraId="00944A3E" w14:textId="77777777" w:rsidR="00000000" w:rsidRPr="0060384B" w:rsidRDefault="00CA5F6F">
      <w:pPr>
        <w:spacing w:line="252" w:lineRule="exact"/>
        <w:rPr>
          <w:rFonts w:ascii="Lato" w:eastAsia="Times New Roman" w:hAnsi="Lato"/>
          <w:color w:val="000000" w:themeColor="text1"/>
          <w:sz w:val="24"/>
          <w:szCs w:val="24"/>
        </w:rPr>
      </w:pPr>
    </w:p>
    <w:p w14:paraId="53F0E1CC"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TDP-43: Learning More About an Important Protein in Dementia</w:t>
      </w:r>
    </w:p>
    <w:p w14:paraId="5B132E91" w14:textId="77777777" w:rsidR="00000000" w:rsidRPr="0060384B" w:rsidRDefault="00CA5F6F">
      <w:pPr>
        <w:spacing w:line="281" w:lineRule="exact"/>
        <w:rPr>
          <w:rFonts w:ascii="Lato" w:eastAsia="Times New Roman" w:hAnsi="Lato"/>
          <w:color w:val="000000" w:themeColor="text1"/>
          <w:sz w:val="24"/>
          <w:szCs w:val="24"/>
        </w:rPr>
      </w:pPr>
    </w:p>
    <w:p w14:paraId="09EE65B8" w14:textId="77777777" w:rsidR="00000000" w:rsidRPr="0060384B" w:rsidRDefault="00CA5F6F">
      <w:pPr>
        <w:spacing w:line="252" w:lineRule="auto"/>
        <w:rPr>
          <w:rFonts w:ascii="Lato" w:hAnsi="Lato"/>
          <w:color w:val="000000" w:themeColor="text1"/>
          <w:sz w:val="24"/>
          <w:szCs w:val="24"/>
        </w:rPr>
      </w:pPr>
      <w:r w:rsidRPr="0060384B">
        <w:rPr>
          <w:rFonts w:ascii="Lato" w:hAnsi="Lato"/>
          <w:b/>
          <w:color w:val="000000" w:themeColor="text1"/>
          <w:sz w:val="24"/>
          <w:szCs w:val="24"/>
        </w:rPr>
        <w:t xml:space="preserve">ApoE4 increases TDP-43 pathology. </w:t>
      </w:r>
      <w:r w:rsidRPr="0060384B">
        <w:rPr>
          <w:rFonts w:ascii="Lato" w:hAnsi="Lato"/>
          <w:color w:val="000000" w:themeColor="text1"/>
          <w:sz w:val="24"/>
          <w:szCs w:val="24"/>
        </w:rPr>
        <w:t>TDP-43 (transactive response DNA-</w:t>
      </w:r>
      <w:r w:rsidRPr="0060384B">
        <w:rPr>
          <w:rFonts w:ascii="Lato" w:hAnsi="Lato"/>
          <w:color w:val="000000" w:themeColor="text1"/>
          <w:sz w:val="24"/>
          <w:szCs w:val="24"/>
        </w:rPr>
        <w:t>binding protein of 43</w:t>
      </w:r>
      <w:r w:rsidRPr="0060384B">
        <w:rPr>
          <w:rFonts w:ascii="Lato" w:hAnsi="Lato"/>
          <w:b/>
          <w:color w:val="000000" w:themeColor="text1"/>
          <w:sz w:val="24"/>
          <w:szCs w:val="24"/>
        </w:rPr>
        <w:t xml:space="preserve"> </w:t>
      </w:r>
      <w:r w:rsidRPr="0060384B">
        <w:rPr>
          <w:rFonts w:ascii="Lato" w:hAnsi="Lato"/>
          <w:color w:val="000000" w:themeColor="text1"/>
          <w:sz w:val="24"/>
          <w:szCs w:val="24"/>
        </w:rPr>
        <w:t>kDa) proteinopathy first came into the scientific spotlight when it was discovered to be the primary aggregated protein in amyotrophic lateral sclerosis (ALS) and in the most common form</w:t>
      </w:r>
    </w:p>
    <w:p w14:paraId="19C0ECAF" w14:textId="77777777" w:rsidR="00000000" w:rsidRPr="0060384B" w:rsidRDefault="00CA5F6F">
      <w:pPr>
        <w:spacing w:line="252" w:lineRule="auto"/>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1944A8D4" w14:textId="77777777" w:rsidR="00000000" w:rsidRPr="0060384B" w:rsidRDefault="00CA5F6F">
      <w:pPr>
        <w:spacing w:line="332"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6068C065" w14:textId="77777777">
        <w:trPr>
          <w:trHeight w:val="245"/>
        </w:trPr>
        <w:tc>
          <w:tcPr>
            <w:tcW w:w="6540" w:type="dxa"/>
            <w:shd w:val="clear" w:color="auto" w:fill="auto"/>
            <w:vAlign w:val="bottom"/>
          </w:tcPr>
          <w:p w14:paraId="7A0D89C7"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746BA368"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41</w:t>
            </w:r>
          </w:p>
        </w:tc>
      </w:tr>
      <w:tr w:rsidR="00000000" w:rsidRPr="0060384B" w14:paraId="2043E45A" w14:textId="77777777">
        <w:trPr>
          <w:trHeight w:val="258"/>
        </w:trPr>
        <w:tc>
          <w:tcPr>
            <w:tcW w:w="6540" w:type="dxa"/>
            <w:shd w:val="clear" w:color="auto" w:fill="auto"/>
            <w:vAlign w:val="bottom"/>
          </w:tcPr>
          <w:p w14:paraId="2DA9C706"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w:t>
            </w:r>
            <w:r w:rsidRPr="0060384B">
              <w:rPr>
                <w:rFonts w:ascii="Lato" w:hAnsi="Lato"/>
                <w:color w:val="000000" w:themeColor="text1"/>
                <w:sz w:val="24"/>
                <w:szCs w:val="24"/>
              </w:rPr>
              <w:t>posal for Fiscal Year 2021</w:t>
            </w:r>
          </w:p>
        </w:tc>
        <w:tc>
          <w:tcPr>
            <w:tcW w:w="2820" w:type="dxa"/>
            <w:shd w:val="clear" w:color="auto" w:fill="auto"/>
            <w:vAlign w:val="bottom"/>
          </w:tcPr>
          <w:p w14:paraId="6544ECF8" w14:textId="77777777" w:rsidR="00000000" w:rsidRPr="0060384B" w:rsidRDefault="00CA5F6F">
            <w:pPr>
              <w:spacing w:line="0" w:lineRule="atLeast"/>
              <w:rPr>
                <w:rFonts w:ascii="Lato" w:eastAsia="Times New Roman" w:hAnsi="Lato"/>
                <w:color w:val="000000" w:themeColor="text1"/>
                <w:sz w:val="24"/>
                <w:szCs w:val="24"/>
              </w:rPr>
            </w:pPr>
          </w:p>
        </w:tc>
      </w:tr>
    </w:tbl>
    <w:p w14:paraId="679C06A4"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67B7B963" w14:textId="77777777" w:rsidR="00000000" w:rsidRPr="0060384B" w:rsidRDefault="00CA5F6F">
      <w:pPr>
        <w:spacing w:line="242" w:lineRule="auto"/>
        <w:rPr>
          <w:rFonts w:ascii="Lato" w:hAnsi="Lato"/>
          <w:color w:val="000000" w:themeColor="text1"/>
          <w:sz w:val="24"/>
          <w:szCs w:val="24"/>
        </w:rPr>
      </w:pPr>
      <w:bookmarkStart w:id="44" w:name="page45"/>
      <w:bookmarkEnd w:id="44"/>
      <w:r w:rsidRPr="0060384B">
        <w:rPr>
          <w:rFonts w:ascii="Lato" w:hAnsi="Lato"/>
          <w:color w:val="000000" w:themeColor="text1"/>
          <w:sz w:val="24"/>
          <w:szCs w:val="24"/>
        </w:rPr>
        <w:lastRenderedPageBreak/>
        <w:t>of frontotemporal dementia (FTD). More recently, studies are pointing to TDP-43 pathology as a feature of clinical Alzheimer</w:t>
      </w:r>
      <w:r w:rsidRPr="0060384B">
        <w:rPr>
          <w:rFonts w:ascii="Lato" w:hAnsi="Lato"/>
          <w:color w:val="000000" w:themeColor="text1"/>
          <w:sz w:val="24"/>
          <w:szCs w:val="24"/>
        </w:rPr>
        <w:t xml:space="preserve">’s disease. In 2018, scientists supported by NIH found a strong association of APOE </w:t>
      </w:r>
      <w:r w:rsidRPr="0060384B">
        <w:rPr>
          <w:rFonts w:ascii="Arial" w:hAnsi="Arial"/>
          <w:color w:val="000000" w:themeColor="text1"/>
          <w:sz w:val="24"/>
          <w:szCs w:val="24"/>
        </w:rPr>
        <w:t>ɛ</w:t>
      </w:r>
      <w:r w:rsidRPr="0060384B">
        <w:rPr>
          <w:rFonts w:ascii="Lato" w:hAnsi="Lato"/>
          <w:color w:val="000000" w:themeColor="text1"/>
          <w:sz w:val="24"/>
          <w:szCs w:val="24"/>
        </w:rPr>
        <w:t>4, the leading ge</w:t>
      </w:r>
      <w:r w:rsidRPr="0060384B">
        <w:rPr>
          <w:rFonts w:ascii="Lato" w:hAnsi="Lato"/>
          <w:color w:val="000000" w:themeColor="text1"/>
          <w:sz w:val="24"/>
          <w:szCs w:val="24"/>
        </w:rPr>
        <w:t>netic risk factor for late-onset Alzheimer</w:t>
      </w:r>
      <w:r w:rsidRPr="0060384B">
        <w:rPr>
          <w:rFonts w:ascii="Lato" w:hAnsi="Lato"/>
          <w:color w:val="000000" w:themeColor="text1"/>
          <w:sz w:val="24"/>
          <w:szCs w:val="24"/>
        </w:rPr>
        <w:t>’s disease, with TDP-43 pathology (</w:t>
      </w:r>
      <w:hyperlink r:id="rId155" w:history="1">
        <w:r w:rsidRPr="0060384B">
          <w:rPr>
            <w:rFonts w:ascii="Lato" w:hAnsi="Lato"/>
            <w:color w:val="000000" w:themeColor="text1"/>
            <w:sz w:val="24"/>
            <w:szCs w:val="24"/>
          </w:rPr>
          <w:t>Yang et al., 2018</w:t>
        </w:r>
      </w:hyperlink>
      <w:r w:rsidRPr="0060384B">
        <w:rPr>
          <w:rFonts w:ascii="Lato" w:hAnsi="Lato"/>
          <w:color w:val="000000" w:themeColor="text1"/>
          <w:sz w:val="24"/>
          <w:szCs w:val="24"/>
        </w:rPr>
        <w:t>). The team analyzed genetic and autopsy data from 1,044 older adults in the Rush Religious Orders St</w:t>
      </w:r>
      <w:r w:rsidRPr="0060384B">
        <w:rPr>
          <w:rFonts w:ascii="Lato" w:hAnsi="Lato"/>
          <w:color w:val="000000" w:themeColor="text1"/>
          <w:sz w:val="24"/>
          <w:szCs w:val="24"/>
        </w:rPr>
        <w:t>udy and the Rush Memory and Aging Project. In those who had died with a diagnosis of Alzheimer</w:t>
      </w:r>
      <w:r w:rsidRPr="0060384B">
        <w:rPr>
          <w:rFonts w:ascii="Lato" w:hAnsi="Lato"/>
          <w:color w:val="000000" w:themeColor="text1"/>
          <w:sz w:val="24"/>
          <w:szCs w:val="24"/>
        </w:rPr>
        <w:t xml:space="preserve">’s, there was a clear association between APOE </w:t>
      </w:r>
      <w:r w:rsidRPr="0060384B">
        <w:rPr>
          <w:rFonts w:ascii="Arial" w:hAnsi="Arial"/>
          <w:color w:val="000000" w:themeColor="text1"/>
          <w:sz w:val="24"/>
          <w:szCs w:val="24"/>
        </w:rPr>
        <w:t>ɛ</w:t>
      </w:r>
      <w:r w:rsidRPr="0060384B">
        <w:rPr>
          <w:rFonts w:ascii="Lato" w:hAnsi="Lato"/>
          <w:color w:val="000000" w:themeColor="text1"/>
          <w:sz w:val="24"/>
          <w:szCs w:val="24"/>
        </w:rPr>
        <w:t>4 and brain TDP-43 pathology, stronger than any seen previously. The link remained even after accounting for level</w:t>
      </w:r>
      <w:r w:rsidRPr="0060384B">
        <w:rPr>
          <w:rFonts w:ascii="Lato" w:hAnsi="Lato"/>
          <w:color w:val="000000" w:themeColor="text1"/>
          <w:sz w:val="24"/>
          <w:szCs w:val="24"/>
        </w:rPr>
        <w:t>s of beta -amyloid and other neurodegenerative proteins. The study further showed that LATE (limbic predominant age- related TDP disease), a late-onset amnestic syndrome with TDP-43 that often co-exists with the clinical syndrome of Alzheimer</w:t>
      </w:r>
      <w:r w:rsidRPr="0060384B">
        <w:rPr>
          <w:rFonts w:ascii="Lato" w:hAnsi="Lato"/>
          <w:color w:val="000000" w:themeColor="text1"/>
          <w:sz w:val="24"/>
          <w:szCs w:val="24"/>
        </w:rPr>
        <w:t>’s, is also as</w:t>
      </w:r>
      <w:r w:rsidRPr="0060384B">
        <w:rPr>
          <w:rFonts w:ascii="Lato" w:hAnsi="Lato"/>
          <w:color w:val="000000" w:themeColor="text1"/>
          <w:sz w:val="24"/>
          <w:szCs w:val="24"/>
        </w:rPr>
        <w:t xml:space="preserve">sociated with APOE </w:t>
      </w:r>
      <w:r w:rsidRPr="0060384B">
        <w:rPr>
          <w:rFonts w:ascii="Arial" w:hAnsi="Arial"/>
          <w:color w:val="000000" w:themeColor="text1"/>
          <w:sz w:val="24"/>
          <w:szCs w:val="24"/>
        </w:rPr>
        <w:t>ɛ</w:t>
      </w:r>
      <w:r w:rsidRPr="0060384B">
        <w:rPr>
          <w:rFonts w:ascii="Lato" w:hAnsi="Lato"/>
          <w:color w:val="000000" w:themeColor="text1"/>
          <w:sz w:val="24"/>
          <w:szCs w:val="24"/>
        </w:rPr>
        <w:t>4.</w:t>
      </w:r>
    </w:p>
    <w:p w14:paraId="0E4FF5D1" w14:textId="77777777" w:rsidR="00000000" w:rsidRPr="0060384B" w:rsidRDefault="00CA5F6F">
      <w:pPr>
        <w:spacing w:line="252" w:lineRule="exact"/>
        <w:rPr>
          <w:rFonts w:ascii="Lato" w:eastAsia="Times New Roman" w:hAnsi="Lato"/>
          <w:color w:val="000000" w:themeColor="text1"/>
          <w:sz w:val="24"/>
          <w:szCs w:val="24"/>
        </w:rPr>
      </w:pPr>
    </w:p>
    <w:p w14:paraId="2C960727" w14:textId="77777777" w:rsidR="00000000" w:rsidRPr="0060384B" w:rsidRDefault="00CA5F6F">
      <w:pPr>
        <w:spacing w:line="244" w:lineRule="auto"/>
        <w:ind w:right="60"/>
        <w:rPr>
          <w:rFonts w:ascii="Lato" w:hAnsi="Lato"/>
          <w:color w:val="000000" w:themeColor="text1"/>
          <w:sz w:val="24"/>
          <w:szCs w:val="24"/>
        </w:rPr>
      </w:pPr>
      <w:r w:rsidRPr="0060384B">
        <w:rPr>
          <w:rFonts w:ascii="Lato" w:hAnsi="Lato"/>
          <w:color w:val="000000" w:themeColor="text1"/>
          <w:sz w:val="24"/>
          <w:szCs w:val="24"/>
        </w:rPr>
        <w:t>This research adds important insights into the relationships among Alzheimer</w:t>
      </w:r>
      <w:r w:rsidRPr="0060384B">
        <w:rPr>
          <w:rFonts w:ascii="Lato" w:hAnsi="Lato"/>
          <w:color w:val="000000" w:themeColor="text1"/>
          <w:sz w:val="24"/>
          <w:szCs w:val="24"/>
        </w:rPr>
        <w:t>’s disease, TDP-43 proteinopathy, and hippocampal sclerosis through a shared risk factor, ApoE4. It implies a further mechanistic link between Alzheimer</w:t>
      </w:r>
      <w:r w:rsidRPr="0060384B">
        <w:rPr>
          <w:rFonts w:ascii="Lato" w:hAnsi="Lato"/>
          <w:color w:val="000000" w:themeColor="text1"/>
          <w:sz w:val="24"/>
          <w:szCs w:val="24"/>
        </w:rPr>
        <w:t>’s d</w:t>
      </w:r>
      <w:r w:rsidRPr="0060384B">
        <w:rPr>
          <w:rFonts w:ascii="Lato" w:hAnsi="Lato"/>
          <w:color w:val="000000" w:themeColor="text1"/>
          <w:sz w:val="24"/>
          <w:szCs w:val="24"/>
        </w:rPr>
        <w:t>isease and TDP-43 proteinopathy. TDP-43 proteinopathy, the investigators suggested, should be considered an integral component of ApoE-related neurodegeneration and assessed in future translational research and clinical trials.</w:t>
      </w:r>
    </w:p>
    <w:p w14:paraId="129D2DCD" w14:textId="77777777" w:rsidR="00000000" w:rsidRPr="0060384B" w:rsidRDefault="00CA5F6F">
      <w:pPr>
        <w:spacing w:line="250" w:lineRule="exact"/>
        <w:rPr>
          <w:rFonts w:ascii="Lato" w:eastAsia="Times New Roman" w:hAnsi="Lato"/>
          <w:color w:val="000000" w:themeColor="text1"/>
          <w:sz w:val="24"/>
          <w:szCs w:val="24"/>
        </w:rPr>
      </w:pPr>
    </w:p>
    <w:p w14:paraId="32F2C1A7" w14:textId="77777777" w:rsidR="00000000" w:rsidRPr="0060384B" w:rsidRDefault="00CA5F6F">
      <w:pPr>
        <w:spacing w:line="242" w:lineRule="auto"/>
        <w:ind w:right="100"/>
        <w:rPr>
          <w:rFonts w:ascii="Lato" w:hAnsi="Lato"/>
          <w:color w:val="000000" w:themeColor="text1"/>
          <w:sz w:val="24"/>
          <w:szCs w:val="24"/>
        </w:rPr>
      </w:pPr>
      <w:r w:rsidRPr="0060384B">
        <w:rPr>
          <w:rFonts w:ascii="Lato" w:hAnsi="Lato"/>
          <w:b/>
          <w:color w:val="000000" w:themeColor="text1"/>
          <w:sz w:val="24"/>
          <w:szCs w:val="24"/>
        </w:rPr>
        <w:t xml:space="preserve">TDP-43 may disrupt nuclear </w:t>
      </w:r>
      <w:r w:rsidRPr="0060384B">
        <w:rPr>
          <w:rFonts w:ascii="Lato" w:hAnsi="Lato"/>
          <w:b/>
          <w:color w:val="000000" w:themeColor="text1"/>
          <w:sz w:val="24"/>
          <w:szCs w:val="24"/>
        </w:rPr>
        <w:t xml:space="preserve">traffic in ALS, FTD. </w:t>
      </w:r>
      <w:r w:rsidRPr="0060384B">
        <w:rPr>
          <w:rFonts w:ascii="Lato" w:hAnsi="Lato"/>
          <w:color w:val="000000" w:themeColor="text1"/>
          <w:sz w:val="24"/>
          <w:szCs w:val="24"/>
        </w:rPr>
        <w:t>TDP-43 is normally found in the cell nucleus,</w:t>
      </w:r>
      <w:r w:rsidRPr="0060384B">
        <w:rPr>
          <w:rFonts w:ascii="Lato" w:hAnsi="Lato"/>
          <w:b/>
          <w:color w:val="000000" w:themeColor="text1"/>
          <w:sz w:val="24"/>
          <w:szCs w:val="24"/>
        </w:rPr>
        <w:t xml:space="preserve"> </w:t>
      </w:r>
      <w:r w:rsidRPr="0060384B">
        <w:rPr>
          <w:rFonts w:ascii="Lato" w:hAnsi="Lato"/>
          <w:color w:val="000000" w:themeColor="text1"/>
          <w:sz w:val="24"/>
          <w:szCs w:val="24"/>
        </w:rPr>
        <w:t>where it is thought to regulate RNA processing and transport. In several neurodegenerative diseases, however, including ALS, FTD, and Alzheimer</w:t>
      </w:r>
      <w:r w:rsidRPr="0060384B">
        <w:rPr>
          <w:rFonts w:ascii="Lato" w:hAnsi="Lato"/>
          <w:color w:val="000000" w:themeColor="text1"/>
          <w:sz w:val="24"/>
          <w:szCs w:val="24"/>
        </w:rPr>
        <w:t>’s, TDP -43 forms abnormal aggregates inside t</w:t>
      </w:r>
      <w:r w:rsidRPr="0060384B">
        <w:rPr>
          <w:rFonts w:ascii="Lato" w:hAnsi="Lato"/>
          <w:color w:val="000000" w:themeColor="text1"/>
          <w:sz w:val="24"/>
          <w:szCs w:val="24"/>
        </w:rPr>
        <w:t>he cell. In a recent study, scientists supported by the National Institute of Neurological Disorders and Stroke and NIA (</w:t>
      </w:r>
      <w:hyperlink r:id="rId156" w:history="1">
        <w:r w:rsidRPr="0060384B">
          <w:rPr>
            <w:rFonts w:ascii="Lato" w:hAnsi="Lato"/>
            <w:color w:val="000000" w:themeColor="text1"/>
            <w:sz w:val="24"/>
            <w:szCs w:val="24"/>
          </w:rPr>
          <w:t>Chou et al., 2018</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examined the composition of these abnormal aggregates</w:t>
      </w:r>
      <w:r w:rsidRPr="0060384B">
        <w:rPr>
          <w:rFonts w:ascii="Lato" w:hAnsi="Lato"/>
          <w:color w:val="000000" w:themeColor="text1"/>
          <w:sz w:val="24"/>
          <w:szCs w:val="24"/>
        </w:rPr>
        <w:t xml:space="preserve"> by engineering cultured neural cells to express a form of TDP-43 linked to an enzyme that tags all proteins lying in close proximity to it. Prominent among the tagged proteins were components of the nuclear pore and other proteins involved in shuttling mo</w:t>
      </w:r>
      <w:r w:rsidRPr="0060384B">
        <w:rPr>
          <w:rFonts w:ascii="Lato" w:hAnsi="Lato"/>
          <w:color w:val="000000" w:themeColor="text1"/>
          <w:sz w:val="24"/>
          <w:szCs w:val="24"/>
        </w:rPr>
        <w:t>lecules across the nuclear membrane (the membrane that separates the nucleus from the cytoplasm).</w:t>
      </w:r>
    </w:p>
    <w:p w14:paraId="25FBF5A4" w14:textId="77777777" w:rsidR="00000000" w:rsidRPr="0060384B" w:rsidRDefault="00CA5F6F">
      <w:pPr>
        <w:spacing w:line="258" w:lineRule="exact"/>
        <w:rPr>
          <w:rFonts w:ascii="Lato" w:eastAsia="Times New Roman" w:hAnsi="Lato"/>
          <w:color w:val="000000" w:themeColor="text1"/>
          <w:sz w:val="24"/>
          <w:szCs w:val="24"/>
        </w:rPr>
      </w:pPr>
    </w:p>
    <w:p w14:paraId="4E0B637A" w14:textId="77777777" w:rsidR="00000000" w:rsidRPr="0060384B" w:rsidRDefault="00CA5F6F">
      <w:pPr>
        <w:spacing w:line="243" w:lineRule="auto"/>
        <w:ind w:right="80"/>
        <w:rPr>
          <w:rFonts w:ascii="Lato" w:hAnsi="Lato"/>
          <w:color w:val="000000" w:themeColor="text1"/>
          <w:sz w:val="24"/>
          <w:szCs w:val="24"/>
        </w:rPr>
      </w:pPr>
      <w:r w:rsidRPr="0060384B">
        <w:rPr>
          <w:rFonts w:ascii="Lato" w:hAnsi="Lato"/>
          <w:color w:val="000000" w:themeColor="text1"/>
          <w:sz w:val="24"/>
          <w:szCs w:val="24"/>
        </w:rPr>
        <w:t>When the scientists introduced a disease-causing form of the TDP-43 gene into the cultured mouse cortical neurons or into human skin cells, they discovered a</w:t>
      </w:r>
      <w:r w:rsidRPr="0060384B">
        <w:rPr>
          <w:rFonts w:ascii="Lato" w:hAnsi="Lato"/>
          <w:color w:val="000000" w:themeColor="text1"/>
          <w:sz w:val="24"/>
          <w:szCs w:val="24"/>
        </w:rPr>
        <w:t>bnormalities in the structure of the nucleus and nuclear membrane, together with disruptions of protein and RNA transport between the nucleus and cytoplasm. These appeared similar to the structural damage seen in people with both familial and sporadic form</w:t>
      </w:r>
      <w:r w:rsidRPr="0060384B">
        <w:rPr>
          <w:rFonts w:ascii="Lato" w:hAnsi="Lato"/>
          <w:color w:val="000000" w:themeColor="text1"/>
          <w:sz w:val="24"/>
          <w:szCs w:val="24"/>
        </w:rPr>
        <w:t>s of ALS and suggest that TDP-43- mediated disruptions of traffic between the nucleus and cytoplasm are a major disease mechanism in both ALS and FTD.</w:t>
      </w:r>
    </w:p>
    <w:p w14:paraId="25F4236D" w14:textId="77777777" w:rsidR="00000000" w:rsidRPr="0060384B" w:rsidRDefault="00CA5F6F">
      <w:pPr>
        <w:spacing w:line="254" w:lineRule="exact"/>
        <w:rPr>
          <w:rFonts w:ascii="Lato" w:eastAsia="Times New Roman" w:hAnsi="Lato"/>
          <w:color w:val="000000" w:themeColor="text1"/>
          <w:sz w:val="24"/>
          <w:szCs w:val="24"/>
        </w:rPr>
      </w:pPr>
    </w:p>
    <w:p w14:paraId="21FFD9DA" w14:textId="77777777" w:rsidR="00000000" w:rsidRPr="0060384B" w:rsidRDefault="00CA5F6F">
      <w:pPr>
        <w:spacing w:line="243" w:lineRule="auto"/>
        <w:ind w:right="200"/>
        <w:rPr>
          <w:rFonts w:ascii="Lato" w:hAnsi="Lato"/>
          <w:color w:val="000000" w:themeColor="text1"/>
          <w:sz w:val="24"/>
          <w:szCs w:val="24"/>
        </w:rPr>
      </w:pPr>
      <w:r w:rsidRPr="0060384B">
        <w:rPr>
          <w:rFonts w:ascii="Lato" w:hAnsi="Lato"/>
          <w:color w:val="000000" w:themeColor="text1"/>
          <w:sz w:val="24"/>
          <w:szCs w:val="24"/>
        </w:rPr>
        <w:t>Additional funds for Alzheimer</w:t>
      </w:r>
      <w:r w:rsidRPr="0060384B">
        <w:rPr>
          <w:rFonts w:ascii="Lato" w:hAnsi="Lato"/>
          <w:color w:val="000000" w:themeColor="text1"/>
          <w:sz w:val="24"/>
          <w:szCs w:val="24"/>
        </w:rPr>
        <w:t>’s and related dementias research in FY 2018 allowed NIH to support severa</w:t>
      </w:r>
      <w:r w:rsidRPr="0060384B">
        <w:rPr>
          <w:rFonts w:ascii="Lato" w:hAnsi="Lato"/>
          <w:color w:val="000000" w:themeColor="text1"/>
          <w:sz w:val="24"/>
          <w:szCs w:val="24"/>
        </w:rPr>
        <w:t xml:space="preserve">l new research projects in this area. A focus on the </w:t>
      </w:r>
      <w:hyperlink r:id="rId157" w:history="1">
        <w:r w:rsidRPr="0060384B">
          <w:rPr>
            <w:rFonts w:ascii="Lato" w:hAnsi="Lato"/>
            <w:color w:val="000000" w:themeColor="text1"/>
            <w:sz w:val="24"/>
            <w:szCs w:val="24"/>
          </w:rPr>
          <w:t>structural biology of related</w:t>
        </w:r>
      </w:hyperlink>
      <w:r w:rsidRPr="0060384B">
        <w:rPr>
          <w:rFonts w:ascii="Lato" w:hAnsi="Lato"/>
          <w:color w:val="000000" w:themeColor="text1"/>
          <w:sz w:val="24"/>
          <w:szCs w:val="24"/>
        </w:rPr>
        <w:t xml:space="preserve"> </w:t>
      </w:r>
      <w:hyperlink r:id="rId158" w:history="1">
        <w:r w:rsidRPr="0060384B">
          <w:rPr>
            <w:rFonts w:ascii="Lato" w:hAnsi="Lato"/>
            <w:color w:val="000000" w:themeColor="text1"/>
            <w:sz w:val="24"/>
            <w:szCs w:val="24"/>
          </w:rPr>
          <w:t>dementias pr</w:t>
        </w:r>
        <w:r w:rsidRPr="0060384B">
          <w:rPr>
            <w:rFonts w:ascii="Lato" w:hAnsi="Lato"/>
            <w:color w:val="000000" w:themeColor="text1"/>
            <w:sz w:val="24"/>
            <w:szCs w:val="24"/>
          </w:rPr>
          <w:t>oteinopathies</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is</w:t>
      </w:r>
      <w:r w:rsidRPr="0060384B">
        <w:rPr>
          <w:rFonts w:ascii="Lato" w:hAnsi="Lato"/>
          <w:color w:val="000000" w:themeColor="text1"/>
          <w:sz w:val="24"/>
          <w:szCs w:val="24"/>
        </w:rPr>
        <w:t xml:space="preserve"> </w:t>
      </w:r>
      <w:r w:rsidRPr="0060384B">
        <w:rPr>
          <w:rFonts w:ascii="Lato" w:hAnsi="Lato"/>
          <w:color w:val="000000" w:themeColor="text1"/>
          <w:sz w:val="24"/>
          <w:szCs w:val="24"/>
        </w:rPr>
        <w:t>supporting three projects that leverage recent advances in cryo-</w:t>
      </w:r>
      <w:r w:rsidRPr="0060384B">
        <w:rPr>
          <w:rFonts w:ascii="Lato" w:hAnsi="Lato"/>
          <w:color w:val="000000" w:themeColor="text1"/>
          <w:sz w:val="24"/>
          <w:szCs w:val="24"/>
        </w:rPr>
        <w:t>electron microscopy to investigate structural differences in proteins such as tau, alpha-synuclein, and TDP-43. The consortium on these projects will connect with another res</w:t>
      </w:r>
      <w:r w:rsidRPr="0060384B">
        <w:rPr>
          <w:rFonts w:ascii="Lato" w:hAnsi="Lato"/>
          <w:color w:val="000000" w:themeColor="text1"/>
          <w:sz w:val="24"/>
          <w:szCs w:val="24"/>
        </w:rPr>
        <w:t xml:space="preserve">earch team working on biomarkers for related dementias to integrate structural biology efforts with the development of PET radioligands for related dementias. </w:t>
      </w:r>
      <w:hyperlink r:id="rId159" w:history="1">
        <w:r w:rsidRPr="0060384B">
          <w:rPr>
            <w:rFonts w:ascii="Lato" w:hAnsi="Lato"/>
            <w:color w:val="000000" w:themeColor="text1"/>
            <w:sz w:val="24"/>
            <w:szCs w:val="24"/>
          </w:rPr>
          <w:t>Another program</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supp</w:t>
      </w:r>
      <w:r w:rsidRPr="0060384B">
        <w:rPr>
          <w:rFonts w:ascii="Lato" w:hAnsi="Lato"/>
          <w:color w:val="000000" w:themeColor="text1"/>
          <w:sz w:val="24"/>
          <w:szCs w:val="24"/>
        </w:rPr>
        <w:t>orts use of</w:t>
      </w:r>
    </w:p>
    <w:p w14:paraId="6F553E15" w14:textId="77777777" w:rsidR="00000000" w:rsidRPr="0060384B" w:rsidRDefault="00CA5F6F">
      <w:pPr>
        <w:spacing w:line="243" w:lineRule="auto"/>
        <w:ind w:right="20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343BAD2E" w14:textId="77777777" w:rsidR="00000000" w:rsidRPr="0060384B" w:rsidRDefault="00CA5F6F">
      <w:pPr>
        <w:spacing w:line="200" w:lineRule="exact"/>
        <w:rPr>
          <w:rFonts w:ascii="Lato" w:hAnsi="Lato"/>
          <w:color w:val="000000" w:themeColor="text1"/>
          <w:sz w:val="24"/>
          <w:szCs w:val="24"/>
        </w:rPr>
      </w:pPr>
    </w:p>
    <w:p w14:paraId="706F99CC" w14:textId="77777777" w:rsidR="00000000" w:rsidRPr="0060384B" w:rsidRDefault="00CA5F6F">
      <w:pPr>
        <w:spacing w:line="200" w:lineRule="exact"/>
        <w:rPr>
          <w:rFonts w:ascii="Lato" w:hAnsi="Lato"/>
          <w:color w:val="000000" w:themeColor="text1"/>
          <w:sz w:val="24"/>
          <w:szCs w:val="24"/>
        </w:rPr>
      </w:pPr>
    </w:p>
    <w:p w14:paraId="046C0A05" w14:textId="77777777" w:rsidR="00000000" w:rsidRPr="0060384B" w:rsidRDefault="00CA5F6F">
      <w:pPr>
        <w:spacing w:line="215" w:lineRule="exact"/>
        <w:rPr>
          <w:rFonts w:ascii="Lato"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086200E2" w14:textId="77777777">
        <w:trPr>
          <w:trHeight w:val="245"/>
        </w:trPr>
        <w:tc>
          <w:tcPr>
            <w:tcW w:w="6540" w:type="dxa"/>
            <w:shd w:val="clear" w:color="auto" w:fill="auto"/>
            <w:vAlign w:val="bottom"/>
          </w:tcPr>
          <w:p w14:paraId="3FC90C4D"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1EE9BF70"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42</w:t>
            </w:r>
          </w:p>
        </w:tc>
      </w:tr>
      <w:tr w:rsidR="00000000" w:rsidRPr="0060384B" w14:paraId="2A3262AB" w14:textId="77777777">
        <w:trPr>
          <w:trHeight w:val="258"/>
        </w:trPr>
        <w:tc>
          <w:tcPr>
            <w:tcW w:w="6540" w:type="dxa"/>
            <w:shd w:val="clear" w:color="auto" w:fill="auto"/>
            <w:vAlign w:val="bottom"/>
          </w:tcPr>
          <w:p w14:paraId="32C8A5BC"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NIH Bypass Budget Proposal for Fiscal Year 2021</w:t>
            </w:r>
          </w:p>
        </w:tc>
        <w:tc>
          <w:tcPr>
            <w:tcW w:w="2820" w:type="dxa"/>
            <w:shd w:val="clear" w:color="auto" w:fill="auto"/>
            <w:vAlign w:val="bottom"/>
          </w:tcPr>
          <w:p w14:paraId="568AE9A6" w14:textId="77777777" w:rsidR="00000000" w:rsidRPr="0060384B" w:rsidRDefault="00CA5F6F">
            <w:pPr>
              <w:spacing w:line="0" w:lineRule="atLeast"/>
              <w:rPr>
                <w:rFonts w:ascii="Lato" w:eastAsia="Times New Roman" w:hAnsi="Lato"/>
                <w:color w:val="000000" w:themeColor="text1"/>
                <w:sz w:val="24"/>
                <w:szCs w:val="24"/>
              </w:rPr>
            </w:pPr>
          </w:p>
        </w:tc>
      </w:tr>
    </w:tbl>
    <w:p w14:paraId="69FFFA08"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1C2802CA" w14:textId="77777777" w:rsidR="00000000" w:rsidRPr="0060384B" w:rsidRDefault="00CA5F6F">
      <w:pPr>
        <w:spacing w:line="262" w:lineRule="auto"/>
        <w:ind w:right="480"/>
        <w:rPr>
          <w:rFonts w:ascii="Lato" w:hAnsi="Lato"/>
          <w:color w:val="000000" w:themeColor="text1"/>
          <w:sz w:val="24"/>
          <w:szCs w:val="24"/>
        </w:rPr>
      </w:pPr>
      <w:bookmarkStart w:id="45" w:name="page46"/>
      <w:bookmarkEnd w:id="45"/>
      <w:r w:rsidRPr="0060384B">
        <w:rPr>
          <w:rFonts w:ascii="Lato" w:hAnsi="Lato"/>
          <w:color w:val="000000" w:themeColor="text1"/>
          <w:sz w:val="24"/>
          <w:szCs w:val="24"/>
        </w:rPr>
        <w:lastRenderedPageBreak/>
        <w:t>enhanced bioinformatics for large-scale data analysis and disease modeling to discover and validate new pathways, targets, and potential biomarkers.</w:t>
      </w:r>
    </w:p>
    <w:p w14:paraId="45FFB8DA" w14:textId="77777777" w:rsidR="00000000" w:rsidRPr="0060384B" w:rsidRDefault="00CA5F6F">
      <w:pPr>
        <w:spacing w:line="220" w:lineRule="exact"/>
        <w:rPr>
          <w:rFonts w:ascii="Lato" w:eastAsia="Times New Roman" w:hAnsi="Lato"/>
          <w:color w:val="000000" w:themeColor="text1"/>
          <w:sz w:val="24"/>
          <w:szCs w:val="24"/>
        </w:rPr>
      </w:pPr>
    </w:p>
    <w:p w14:paraId="7E63693F"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Identifying Ris</w:t>
      </w:r>
      <w:r w:rsidRPr="0060384B">
        <w:rPr>
          <w:rFonts w:ascii="Lato" w:hAnsi="Lato"/>
          <w:b/>
          <w:color w:val="000000" w:themeColor="text1"/>
          <w:sz w:val="24"/>
          <w:szCs w:val="24"/>
        </w:rPr>
        <w:t>k Factors for Alzheimer</w:t>
      </w:r>
      <w:r w:rsidRPr="0060384B">
        <w:rPr>
          <w:rFonts w:ascii="Lato" w:hAnsi="Lato"/>
          <w:b/>
          <w:color w:val="000000" w:themeColor="text1"/>
          <w:sz w:val="24"/>
          <w:szCs w:val="24"/>
        </w:rPr>
        <w:t>’s Disease and Related Dementias</w:t>
      </w:r>
    </w:p>
    <w:p w14:paraId="46C97EDC" w14:textId="77777777" w:rsidR="00000000" w:rsidRPr="0060384B" w:rsidRDefault="00CA5F6F">
      <w:pPr>
        <w:spacing w:line="287" w:lineRule="exact"/>
        <w:rPr>
          <w:rFonts w:ascii="Lato" w:eastAsia="Times New Roman" w:hAnsi="Lato"/>
          <w:color w:val="000000" w:themeColor="text1"/>
          <w:sz w:val="24"/>
          <w:szCs w:val="24"/>
        </w:rPr>
      </w:pPr>
    </w:p>
    <w:p w14:paraId="3B14AA32" w14:textId="77777777" w:rsidR="00000000" w:rsidRPr="0060384B" w:rsidRDefault="00CA5F6F">
      <w:pPr>
        <w:spacing w:line="245" w:lineRule="auto"/>
        <w:ind w:right="60"/>
        <w:rPr>
          <w:rFonts w:ascii="Lato" w:hAnsi="Lato"/>
          <w:color w:val="000000" w:themeColor="text1"/>
          <w:sz w:val="24"/>
          <w:szCs w:val="24"/>
        </w:rPr>
      </w:pPr>
      <w:r w:rsidRPr="0060384B">
        <w:rPr>
          <w:rFonts w:ascii="Lato" w:hAnsi="Lato"/>
          <w:color w:val="000000" w:themeColor="text1"/>
          <w:sz w:val="24"/>
          <w:szCs w:val="24"/>
        </w:rPr>
        <w:t>Because we now know that Alzheimer</w:t>
      </w:r>
      <w:r w:rsidRPr="0060384B">
        <w:rPr>
          <w:rFonts w:ascii="Lato" w:hAnsi="Lato"/>
          <w:color w:val="000000" w:themeColor="text1"/>
          <w:sz w:val="24"/>
          <w:szCs w:val="24"/>
        </w:rPr>
        <w:t>’s is a multifactorial disorder with a long incubation period, we focus on the contributions of many risks over time and how they work together in the development of</w:t>
      </w:r>
      <w:r w:rsidRPr="0060384B">
        <w:rPr>
          <w:rFonts w:ascii="Lato" w:hAnsi="Lato"/>
          <w:color w:val="000000" w:themeColor="text1"/>
          <w:sz w:val="24"/>
          <w:szCs w:val="24"/>
        </w:rPr>
        <w:t xml:space="preserve"> disease. Some of the influences emerging from research reported over the past year point to high salt in the diet, viral species, and previously unknown effects of APOE </w:t>
      </w:r>
      <w:r w:rsidRPr="0060384B">
        <w:rPr>
          <w:rFonts w:ascii="Arial" w:hAnsi="Arial"/>
          <w:color w:val="000000" w:themeColor="text1"/>
          <w:sz w:val="24"/>
          <w:szCs w:val="24"/>
        </w:rPr>
        <w:t>ɛ</w:t>
      </w:r>
      <w:r w:rsidRPr="0060384B">
        <w:rPr>
          <w:rFonts w:ascii="Lato" w:hAnsi="Lato"/>
          <w:color w:val="000000" w:themeColor="text1"/>
          <w:sz w:val="24"/>
          <w:szCs w:val="24"/>
        </w:rPr>
        <w:t>2 on tauopathy:</w:t>
      </w:r>
    </w:p>
    <w:p w14:paraId="22D205B3" w14:textId="77777777" w:rsidR="00000000" w:rsidRPr="0060384B" w:rsidRDefault="00CA5F6F">
      <w:pPr>
        <w:spacing w:line="246" w:lineRule="exact"/>
        <w:rPr>
          <w:rFonts w:ascii="Lato" w:eastAsia="Times New Roman" w:hAnsi="Lato"/>
          <w:color w:val="000000" w:themeColor="text1"/>
          <w:sz w:val="24"/>
          <w:szCs w:val="24"/>
        </w:rPr>
      </w:pPr>
    </w:p>
    <w:p w14:paraId="6E316D14" w14:textId="77777777" w:rsidR="00000000" w:rsidRPr="0060384B" w:rsidRDefault="00CA5F6F">
      <w:pPr>
        <w:spacing w:line="243" w:lineRule="auto"/>
        <w:ind w:right="60"/>
        <w:rPr>
          <w:rFonts w:ascii="Lato" w:hAnsi="Lato"/>
          <w:color w:val="000000" w:themeColor="text1"/>
          <w:sz w:val="24"/>
          <w:szCs w:val="24"/>
        </w:rPr>
      </w:pPr>
      <w:r w:rsidRPr="0060384B">
        <w:rPr>
          <w:rFonts w:ascii="Lato" w:hAnsi="Lato"/>
          <w:b/>
          <w:color w:val="000000" w:themeColor="text1"/>
          <w:sz w:val="24"/>
          <w:szCs w:val="24"/>
        </w:rPr>
        <w:t>Mechanisms linking dietary salt to vascular contributions to cogniti</w:t>
      </w:r>
      <w:r w:rsidRPr="0060384B">
        <w:rPr>
          <w:rFonts w:ascii="Lato" w:hAnsi="Lato"/>
          <w:b/>
          <w:color w:val="000000" w:themeColor="text1"/>
          <w:sz w:val="24"/>
          <w:szCs w:val="24"/>
        </w:rPr>
        <w:t xml:space="preserve">ve impairment and dementia. </w:t>
      </w:r>
      <w:r w:rsidRPr="0060384B">
        <w:rPr>
          <w:rFonts w:ascii="Lato" w:hAnsi="Lato"/>
          <w:color w:val="000000" w:themeColor="text1"/>
          <w:sz w:val="24"/>
          <w:szCs w:val="24"/>
        </w:rPr>
        <w:t>High- salt diets have been linked to increased risk of cerebrovascular disease and</w:t>
      </w:r>
      <w:r w:rsidRPr="0060384B">
        <w:rPr>
          <w:rFonts w:ascii="Lato" w:hAnsi="Lato"/>
          <w:b/>
          <w:color w:val="000000" w:themeColor="text1"/>
          <w:sz w:val="24"/>
          <w:szCs w:val="24"/>
        </w:rPr>
        <w:t xml:space="preserve"> </w:t>
      </w:r>
      <w:r w:rsidRPr="0060384B">
        <w:rPr>
          <w:rFonts w:ascii="Lato" w:hAnsi="Lato"/>
          <w:color w:val="000000" w:themeColor="text1"/>
          <w:sz w:val="24"/>
          <w:szCs w:val="24"/>
        </w:rPr>
        <w:t xml:space="preserve">dementia, but it has been unclear how salt harms the brain. NIH-supported researchers </w:t>
      </w:r>
      <w:hyperlink r:id="rId160" w:history="1">
        <w:r w:rsidRPr="0060384B">
          <w:rPr>
            <w:rFonts w:ascii="Lato" w:hAnsi="Lato"/>
            <w:color w:val="000000" w:themeColor="text1"/>
            <w:sz w:val="24"/>
            <w:szCs w:val="24"/>
          </w:rPr>
          <w:t>(</w:t>
        </w:r>
        <w:r w:rsidRPr="0060384B">
          <w:rPr>
            <w:rFonts w:ascii="Lato" w:hAnsi="Lato"/>
            <w:color w:val="000000" w:themeColor="text1"/>
            <w:sz w:val="24"/>
            <w:szCs w:val="24"/>
          </w:rPr>
          <w:t>Faraco</w:t>
        </w:r>
      </w:hyperlink>
      <w:r w:rsidRPr="0060384B">
        <w:rPr>
          <w:rFonts w:ascii="Lato" w:hAnsi="Lato"/>
          <w:color w:val="000000" w:themeColor="text1"/>
          <w:sz w:val="24"/>
          <w:szCs w:val="24"/>
        </w:rPr>
        <w:t xml:space="preserve"> </w:t>
      </w:r>
      <w:hyperlink r:id="rId161" w:history="1">
        <w:r w:rsidRPr="0060384B">
          <w:rPr>
            <w:rFonts w:ascii="Lato" w:hAnsi="Lato"/>
            <w:color w:val="000000" w:themeColor="text1"/>
            <w:sz w:val="24"/>
            <w:szCs w:val="24"/>
          </w:rPr>
          <w:t>et al., 2018</w:t>
        </w:r>
      </w:hyperlink>
      <w:r w:rsidRPr="0060384B">
        <w:rPr>
          <w:rFonts w:ascii="Lato" w:hAnsi="Lato"/>
          <w:color w:val="000000" w:themeColor="text1"/>
          <w:sz w:val="24"/>
          <w:szCs w:val="24"/>
        </w:rPr>
        <w:t>)</w:t>
      </w:r>
      <w:r w:rsidRPr="0060384B">
        <w:rPr>
          <w:rFonts w:ascii="Lato" w:hAnsi="Lato"/>
          <w:color w:val="000000" w:themeColor="text1"/>
          <w:sz w:val="24"/>
          <w:szCs w:val="24"/>
        </w:rPr>
        <w:t xml:space="preserve"> </w:t>
      </w:r>
      <w:r w:rsidRPr="0060384B">
        <w:rPr>
          <w:rFonts w:ascii="Lato" w:hAnsi="Lato"/>
          <w:color w:val="000000" w:themeColor="text1"/>
          <w:sz w:val="24"/>
          <w:szCs w:val="24"/>
        </w:rPr>
        <w:t>found that mice fed a high-salt diet for 3 months had reduced blood flow to their</w:t>
      </w:r>
      <w:r w:rsidRPr="0060384B">
        <w:rPr>
          <w:rFonts w:ascii="Lato" w:hAnsi="Lato"/>
          <w:color w:val="000000" w:themeColor="text1"/>
          <w:sz w:val="24"/>
          <w:szCs w:val="24"/>
        </w:rPr>
        <w:t xml:space="preserve"> </w:t>
      </w:r>
      <w:r w:rsidRPr="0060384B">
        <w:rPr>
          <w:rFonts w:ascii="Lato" w:hAnsi="Lato"/>
          <w:color w:val="000000" w:themeColor="text1"/>
          <w:sz w:val="24"/>
          <w:szCs w:val="24"/>
        </w:rPr>
        <w:t>brains and performed worse on learning and memory tests than mice fed normal chow. The de</w:t>
      </w:r>
      <w:r w:rsidRPr="0060384B">
        <w:rPr>
          <w:rFonts w:ascii="Lato" w:hAnsi="Lato"/>
          <w:color w:val="000000" w:themeColor="text1"/>
          <w:sz w:val="24"/>
          <w:szCs w:val="24"/>
        </w:rPr>
        <w:t xml:space="preserve">ficit in brain blood flow turned out </w:t>
      </w:r>
      <w:r w:rsidRPr="0060384B">
        <w:rPr>
          <w:rFonts w:ascii="Lato" w:hAnsi="Lato"/>
          <w:color w:val="000000" w:themeColor="text1"/>
          <w:sz w:val="24"/>
          <w:szCs w:val="24"/>
        </w:rPr>
        <w:t>not</w:t>
      </w:r>
      <w:r w:rsidRPr="0060384B">
        <w:rPr>
          <w:rFonts w:ascii="Lato" w:hAnsi="Lato"/>
          <w:color w:val="000000" w:themeColor="text1"/>
          <w:sz w:val="24"/>
          <w:szCs w:val="24"/>
        </w:rPr>
        <w:t xml:space="preserve"> to be due to high blood pressure, but rather to impaired production of nitric oxide (NO), a key regulator of blood vessel diameter, by the endothelial cells lining brain blood vessels.</w:t>
      </w:r>
    </w:p>
    <w:p w14:paraId="79329C49" w14:textId="77777777" w:rsidR="00000000" w:rsidRPr="0060384B" w:rsidRDefault="00CA5F6F">
      <w:pPr>
        <w:spacing w:line="253" w:lineRule="exact"/>
        <w:rPr>
          <w:rFonts w:ascii="Lato" w:eastAsia="Times New Roman" w:hAnsi="Lato"/>
          <w:color w:val="000000" w:themeColor="text1"/>
          <w:sz w:val="24"/>
          <w:szCs w:val="24"/>
        </w:rPr>
      </w:pPr>
    </w:p>
    <w:p w14:paraId="25A29ED2" w14:textId="77777777" w:rsidR="00000000" w:rsidRPr="0060384B" w:rsidRDefault="00CA5F6F">
      <w:pPr>
        <w:spacing w:line="242" w:lineRule="auto"/>
        <w:rPr>
          <w:rFonts w:ascii="Lato" w:hAnsi="Lato"/>
          <w:color w:val="000000" w:themeColor="text1"/>
          <w:sz w:val="24"/>
          <w:szCs w:val="24"/>
        </w:rPr>
      </w:pPr>
      <w:r w:rsidRPr="0060384B">
        <w:rPr>
          <w:rFonts w:ascii="Lato" w:hAnsi="Lato"/>
          <w:color w:val="000000" w:themeColor="text1"/>
          <w:sz w:val="24"/>
          <w:szCs w:val="24"/>
        </w:rPr>
        <w:t>Following from recent researc</w:t>
      </w:r>
      <w:r w:rsidRPr="0060384B">
        <w:rPr>
          <w:rFonts w:ascii="Lato" w:hAnsi="Lato"/>
          <w:color w:val="000000" w:themeColor="text1"/>
          <w:sz w:val="24"/>
          <w:szCs w:val="24"/>
        </w:rPr>
        <w:t>h showing that a high-salt diet causes immune changes in the gut, the scientists investigated further. After zeroing in on the mechanisms involved, the team found that in mice fed a high-salt diet, the enzyme responsible for producing NO in endothelial cel</w:t>
      </w:r>
      <w:r w:rsidRPr="0060384B">
        <w:rPr>
          <w:rFonts w:ascii="Lato" w:hAnsi="Lato"/>
          <w:color w:val="000000" w:themeColor="text1"/>
          <w:sz w:val="24"/>
          <w:szCs w:val="24"/>
        </w:rPr>
        <w:t>ls (endothelial nitric oxide synthase, or eNOS) was suppressed due to actions of another enzyme, Rho-kinase. Treating high-salt-fed mice with Rho-kinase inhibitors normalized their NO production and memory performance, suggesting that drugs boosting NO pro</w:t>
      </w:r>
      <w:r w:rsidRPr="0060384B">
        <w:rPr>
          <w:rFonts w:ascii="Lato" w:hAnsi="Lato"/>
          <w:color w:val="000000" w:themeColor="text1"/>
          <w:sz w:val="24"/>
          <w:szCs w:val="24"/>
        </w:rPr>
        <w:t>duction might be studied further for their potential in treating age-related cognitive impairment. While these findings have not yet proved true in humans, it provides one more reason, potentially, for people to avoid excess salt.</w:t>
      </w:r>
    </w:p>
    <w:p w14:paraId="6AB3B355" w14:textId="77777777" w:rsidR="00000000" w:rsidRPr="0060384B" w:rsidRDefault="00CA5F6F">
      <w:pPr>
        <w:spacing w:line="254" w:lineRule="exact"/>
        <w:rPr>
          <w:rFonts w:ascii="Lato" w:eastAsia="Times New Roman" w:hAnsi="Lato"/>
          <w:color w:val="000000" w:themeColor="text1"/>
          <w:sz w:val="24"/>
          <w:szCs w:val="24"/>
        </w:rPr>
      </w:pPr>
    </w:p>
    <w:p w14:paraId="0AF3A3F1" w14:textId="77777777" w:rsidR="00000000" w:rsidRPr="0060384B" w:rsidRDefault="00CA5F6F">
      <w:pPr>
        <w:spacing w:line="243" w:lineRule="auto"/>
        <w:rPr>
          <w:rFonts w:ascii="Lato" w:hAnsi="Lato"/>
          <w:color w:val="000000" w:themeColor="text1"/>
          <w:sz w:val="24"/>
          <w:szCs w:val="24"/>
        </w:rPr>
      </w:pPr>
      <w:r w:rsidRPr="0060384B">
        <w:rPr>
          <w:rFonts w:ascii="Lato" w:hAnsi="Lato"/>
          <w:b/>
          <w:color w:val="000000" w:themeColor="text1"/>
          <w:sz w:val="24"/>
          <w:szCs w:val="24"/>
        </w:rPr>
        <w:t>Emerging evidence on the</w:t>
      </w:r>
      <w:r w:rsidRPr="0060384B">
        <w:rPr>
          <w:rFonts w:ascii="Lato" w:hAnsi="Lato"/>
          <w:b/>
          <w:color w:val="000000" w:themeColor="text1"/>
          <w:sz w:val="24"/>
          <w:szCs w:val="24"/>
        </w:rPr>
        <w:t xml:space="preserve"> role of viral species in Alzheimer</w:t>
      </w:r>
      <w:r w:rsidRPr="0060384B">
        <w:rPr>
          <w:rFonts w:ascii="Lato" w:hAnsi="Lato"/>
          <w:b/>
          <w:color w:val="000000" w:themeColor="text1"/>
          <w:sz w:val="24"/>
          <w:szCs w:val="24"/>
        </w:rPr>
        <w:t xml:space="preserve">’s disease biology. </w:t>
      </w:r>
      <w:r w:rsidRPr="0060384B">
        <w:rPr>
          <w:rFonts w:ascii="Lato" w:hAnsi="Lato"/>
          <w:color w:val="000000" w:themeColor="text1"/>
          <w:sz w:val="24"/>
          <w:szCs w:val="24"/>
        </w:rPr>
        <w:t>A recent analysis</w:t>
      </w:r>
      <w:r w:rsidRPr="0060384B">
        <w:rPr>
          <w:rFonts w:ascii="Lato" w:hAnsi="Lato"/>
          <w:b/>
          <w:color w:val="000000" w:themeColor="text1"/>
          <w:sz w:val="24"/>
          <w:szCs w:val="24"/>
        </w:rPr>
        <w:t xml:space="preserve"> </w:t>
      </w:r>
      <w:r w:rsidRPr="0060384B">
        <w:rPr>
          <w:rFonts w:ascii="Lato" w:hAnsi="Lato"/>
          <w:color w:val="000000" w:themeColor="text1"/>
          <w:sz w:val="24"/>
          <w:szCs w:val="24"/>
        </w:rPr>
        <w:t>(</w:t>
      </w:r>
      <w:hyperlink r:id="rId162" w:history="1">
        <w:r w:rsidRPr="0060384B">
          <w:rPr>
            <w:rFonts w:ascii="Lato" w:hAnsi="Lato"/>
            <w:color w:val="000000" w:themeColor="text1"/>
            <w:sz w:val="24"/>
            <w:szCs w:val="24"/>
          </w:rPr>
          <w:t>Readhead et al., 2018</w:t>
        </w:r>
      </w:hyperlink>
      <w:r w:rsidRPr="0060384B">
        <w:rPr>
          <w:rFonts w:ascii="Lato" w:hAnsi="Lato"/>
          <w:color w:val="000000" w:themeColor="text1"/>
          <w:sz w:val="24"/>
          <w:szCs w:val="24"/>
        </w:rPr>
        <w:t>) of large datasets from brain samples after death of people with and without Alzheimer's disease re</w:t>
      </w:r>
      <w:r w:rsidRPr="0060384B">
        <w:rPr>
          <w:rFonts w:ascii="Lato" w:hAnsi="Lato"/>
          <w:color w:val="000000" w:themeColor="text1"/>
          <w:sz w:val="24"/>
          <w:szCs w:val="24"/>
        </w:rPr>
        <w:t>vealed new evidence that viral species, particularly herpesviruses, may have a role in Alzheimer's biology. Researchers funded by NIH made the discovery thanks to the availability of rich genomic datasets from brain banks and cohort studies, generated by t</w:t>
      </w:r>
      <w:r w:rsidRPr="0060384B">
        <w:rPr>
          <w:rFonts w:ascii="Lato" w:hAnsi="Lato"/>
          <w:color w:val="000000" w:themeColor="text1"/>
          <w:sz w:val="24"/>
          <w:szCs w:val="24"/>
        </w:rPr>
        <w:t xml:space="preserve">he research teams participating in the </w:t>
      </w:r>
      <w:hyperlink r:id="rId163" w:history="1">
        <w:r w:rsidRPr="0060384B">
          <w:rPr>
            <w:rFonts w:ascii="Lato" w:hAnsi="Lato"/>
            <w:color w:val="000000" w:themeColor="text1"/>
            <w:sz w:val="24"/>
            <w:szCs w:val="24"/>
          </w:rPr>
          <w:t>Accelerating Medicines</w:t>
        </w:r>
      </w:hyperlink>
      <w:r w:rsidRPr="0060384B">
        <w:rPr>
          <w:rFonts w:ascii="Lato" w:hAnsi="Lato"/>
          <w:color w:val="000000" w:themeColor="text1"/>
          <w:sz w:val="24"/>
          <w:szCs w:val="24"/>
        </w:rPr>
        <w:t xml:space="preserve"> </w:t>
      </w:r>
      <w:hyperlink r:id="rId164" w:history="1">
        <w:r w:rsidRPr="0060384B">
          <w:rPr>
            <w:rFonts w:ascii="Lato" w:hAnsi="Lato"/>
            <w:color w:val="000000" w:themeColor="text1"/>
            <w:sz w:val="24"/>
            <w:szCs w:val="24"/>
          </w:rPr>
          <w:t>Partnership</w:t>
        </w:r>
        <w:r w:rsidRPr="0060384B">
          <w:rPr>
            <w:rFonts w:ascii="Lato" w:hAnsi="Lato"/>
            <w:color w:val="000000" w:themeColor="text1"/>
            <w:sz w:val="24"/>
            <w:szCs w:val="24"/>
          </w:rPr>
          <w:t>–Alzheimer</w:t>
        </w:r>
        <w:r w:rsidRPr="0060384B">
          <w:rPr>
            <w:rFonts w:ascii="Lato" w:hAnsi="Lato"/>
            <w:color w:val="000000" w:themeColor="text1"/>
            <w:sz w:val="24"/>
            <w:szCs w:val="24"/>
          </w:rPr>
          <w:t xml:space="preserve">’s Disease </w:t>
        </w:r>
      </w:hyperlink>
      <w:r w:rsidRPr="0060384B">
        <w:rPr>
          <w:rFonts w:ascii="Lato" w:hAnsi="Lato"/>
          <w:color w:val="000000" w:themeColor="text1"/>
          <w:sz w:val="24"/>
          <w:szCs w:val="24"/>
        </w:rPr>
        <w:t>consortium. While the hypothesis that viruses play</w:t>
      </w:r>
      <w:r w:rsidRPr="0060384B">
        <w:rPr>
          <w:rFonts w:ascii="Lato" w:hAnsi="Lato"/>
          <w:color w:val="000000" w:themeColor="text1"/>
          <w:sz w:val="24"/>
          <w:szCs w:val="24"/>
        </w:rPr>
        <w:t xml:space="preserve"> a part in brain disease is not new, the findings were the first to provide strong evidence based on unbiased approaches and large datasets.</w:t>
      </w:r>
    </w:p>
    <w:p w14:paraId="3FE502C8" w14:textId="77777777" w:rsidR="00000000" w:rsidRPr="0060384B" w:rsidRDefault="00CA5F6F">
      <w:pPr>
        <w:spacing w:line="252" w:lineRule="exact"/>
        <w:rPr>
          <w:rFonts w:ascii="Lato" w:hAnsi="Lato"/>
          <w:color w:val="000000" w:themeColor="text1"/>
          <w:sz w:val="24"/>
          <w:szCs w:val="24"/>
        </w:rPr>
      </w:pPr>
    </w:p>
    <w:p w14:paraId="4FA88F44" w14:textId="77777777" w:rsidR="00000000" w:rsidRPr="0060384B" w:rsidRDefault="00CA5F6F">
      <w:pPr>
        <w:spacing w:line="244" w:lineRule="auto"/>
        <w:rPr>
          <w:rFonts w:ascii="Lato" w:hAnsi="Lato"/>
          <w:color w:val="000000" w:themeColor="text1"/>
          <w:sz w:val="24"/>
          <w:szCs w:val="24"/>
        </w:rPr>
      </w:pPr>
      <w:r w:rsidRPr="0060384B">
        <w:rPr>
          <w:rFonts w:ascii="Lato" w:hAnsi="Lato"/>
          <w:color w:val="000000" w:themeColor="text1"/>
          <w:sz w:val="24"/>
          <w:szCs w:val="24"/>
        </w:rPr>
        <w:t>In 2018, a second analysis showed for the first time how viral infections could trigger the deposition of amyloid-</w:t>
      </w:r>
      <w:r w:rsidRPr="0060384B">
        <w:rPr>
          <w:rFonts w:ascii="Lato" w:hAnsi="Lato"/>
          <w:color w:val="000000" w:themeColor="text1"/>
          <w:sz w:val="24"/>
          <w:szCs w:val="24"/>
        </w:rPr>
        <w:t>beta, the protein involved in forming Alzheimer</w:t>
      </w:r>
      <w:r w:rsidRPr="0060384B">
        <w:rPr>
          <w:rFonts w:ascii="Lato" w:hAnsi="Lato"/>
          <w:color w:val="000000" w:themeColor="text1"/>
          <w:sz w:val="24"/>
          <w:szCs w:val="24"/>
        </w:rPr>
        <w:t xml:space="preserve">’s plaques, and provides insights on the mechanistic link by which pathogenic infections could be involved in the disease. This study </w:t>
      </w:r>
      <w:hyperlink r:id="rId165" w:history="1">
        <w:r w:rsidRPr="0060384B">
          <w:rPr>
            <w:rFonts w:ascii="Lato" w:hAnsi="Lato"/>
            <w:color w:val="000000" w:themeColor="text1"/>
            <w:sz w:val="24"/>
            <w:szCs w:val="24"/>
          </w:rPr>
          <w:t>(</w:t>
        </w:r>
        <w:r w:rsidRPr="0060384B">
          <w:rPr>
            <w:rFonts w:ascii="Lato" w:hAnsi="Lato"/>
            <w:color w:val="000000" w:themeColor="text1"/>
            <w:sz w:val="24"/>
            <w:szCs w:val="24"/>
          </w:rPr>
          <w:t xml:space="preserve">Eimer et al., </w:t>
        </w:r>
        <w:r w:rsidRPr="0060384B">
          <w:rPr>
            <w:rFonts w:ascii="Lato" w:hAnsi="Lato"/>
            <w:color w:val="000000" w:themeColor="text1"/>
            <w:sz w:val="24"/>
            <w:szCs w:val="24"/>
          </w:rPr>
          <w:t>2018</w:t>
        </w:r>
      </w:hyperlink>
      <w:r w:rsidRPr="0060384B">
        <w:rPr>
          <w:rFonts w:ascii="Lato" w:hAnsi="Lato"/>
          <w:color w:val="000000" w:themeColor="text1"/>
          <w:sz w:val="24"/>
          <w:szCs w:val="24"/>
        </w:rPr>
        <w:t>) found that introduction of the herpes simplex virus 1 in a mouse model provoked what appeared to be an immune response. Within 48 hours, beta- amyloid plaques appeared surrounding the viral particles in the Alzheimer</w:t>
      </w:r>
      <w:r w:rsidRPr="0060384B">
        <w:rPr>
          <w:rFonts w:ascii="Lato" w:hAnsi="Lato"/>
          <w:color w:val="000000" w:themeColor="text1"/>
          <w:sz w:val="24"/>
          <w:szCs w:val="24"/>
        </w:rPr>
        <w:t>’s mice but not in the control</w:t>
      </w:r>
    </w:p>
    <w:p w14:paraId="108D1107" w14:textId="77777777" w:rsidR="00000000" w:rsidRPr="0060384B" w:rsidRDefault="00CA5F6F">
      <w:pPr>
        <w:spacing w:line="244" w:lineRule="auto"/>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0ED2ED8C" w14:textId="77777777" w:rsidR="00000000" w:rsidRPr="0060384B" w:rsidRDefault="00CA5F6F">
      <w:pPr>
        <w:spacing w:line="295" w:lineRule="exact"/>
        <w:rPr>
          <w:rFonts w:ascii="Lato"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17ACF61F" w14:textId="77777777">
        <w:trPr>
          <w:trHeight w:val="245"/>
        </w:trPr>
        <w:tc>
          <w:tcPr>
            <w:tcW w:w="6540" w:type="dxa"/>
            <w:shd w:val="clear" w:color="auto" w:fill="auto"/>
            <w:vAlign w:val="bottom"/>
          </w:tcPr>
          <w:p w14:paraId="4CEFC995"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26153C09"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43</w:t>
            </w:r>
          </w:p>
        </w:tc>
      </w:tr>
      <w:tr w:rsidR="00000000" w:rsidRPr="0060384B" w14:paraId="7C2A7ED0" w14:textId="77777777">
        <w:trPr>
          <w:trHeight w:val="258"/>
        </w:trPr>
        <w:tc>
          <w:tcPr>
            <w:tcW w:w="6540" w:type="dxa"/>
            <w:shd w:val="clear" w:color="auto" w:fill="auto"/>
            <w:vAlign w:val="bottom"/>
          </w:tcPr>
          <w:p w14:paraId="616AB65C"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55E2E2FA" w14:textId="77777777" w:rsidR="00000000" w:rsidRPr="0060384B" w:rsidRDefault="00CA5F6F">
            <w:pPr>
              <w:spacing w:line="0" w:lineRule="atLeast"/>
              <w:rPr>
                <w:rFonts w:ascii="Lato" w:eastAsia="Times New Roman" w:hAnsi="Lato"/>
                <w:color w:val="000000" w:themeColor="text1"/>
                <w:sz w:val="24"/>
                <w:szCs w:val="24"/>
              </w:rPr>
            </w:pPr>
          </w:p>
        </w:tc>
      </w:tr>
    </w:tbl>
    <w:p w14:paraId="054FE448"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64F5553A" w14:textId="77777777" w:rsidR="00000000" w:rsidRPr="0060384B" w:rsidRDefault="00CA5F6F">
      <w:pPr>
        <w:spacing w:line="243" w:lineRule="auto"/>
        <w:ind w:right="20"/>
        <w:rPr>
          <w:rFonts w:ascii="Lato" w:hAnsi="Lato"/>
          <w:color w:val="000000" w:themeColor="text1"/>
          <w:sz w:val="24"/>
          <w:szCs w:val="24"/>
        </w:rPr>
      </w:pPr>
      <w:bookmarkStart w:id="46" w:name="page47"/>
      <w:bookmarkEnd w:id="46"/>
      <w:r w:rsidRPr="0060384B">
        <w:rPr>
          <w:rFonts w:ascii="Lato" w:hAnsi="Lato"/>
          <w:color w:val="000000" w:themeColor="text1"/>
          <w:sz w:val="24"/>
          <w:szCs w:val="24"/>
        </w:rPr>
        <w:lastRenderedPageBreak/>
        <w:t>mice, and the Alzheimer</w:t>
      </w:r>
      <w:r w:rsidRPr="0060384B">
        <w:rPr>
          <w:rFonts w:ascii="Lato" w:hAnsi="Lato"/>
          <w:color w:val="000000" w:themeColor="text1"/>
          <w:sz w:val="24"/>
          <w:szCs w:val="24"/>
        </w:rPr>
        <w:t xml:space="preserve">’s mice survived significantly longer than the control mice. To understand how beta-amyloid protects cells from viral infection, the scientists studied an </w:t>
      </w:r>
      <w:r w:rsidRPr="0060384B">
        <w:rPr>
          <w:rFonts w:ascii="Lato" w:hAnsi="Lato"/>
          <w:color w:val="000000" w:themeColor="text1"/>
          <w:sz w:val="24"/>
          <w:szCs w:val="24"/>
        </w:rPr>
        <w:t>“Al</w:t>
      </w:r>
      <w:r w:rsidRPr="0060384B">
        <w:rPr>
          <w:rFonts w:ascii="Lato" w:hAnsi="Lato"/>
          <w:color w:val="000000" w:themeColor="text1"/>
          <w:sz w:val="24"/>
          <w:szCs w:val="24"/>
        </w:rPr>
        <w:t>zheimer</w:t>
      </w:r>
      <w:r w:rsidRPr="0060384B">
        <w:rPr>
          <w:rFonts w:ascii="Lato" w:hAnsi="Lato"/>
          <w:color w:val="000000" w:themeColor="text1"/>
          <w:sz w:val="24"/>
          <w:szCs w:val="24"/>
        </w:rPr>
        <w:t>’s in a dish</w:t>
      </w:r>
      <w:r w:rsidRPr="0060384B">
        <w:rPr>
          <w:rFonts w:ascii="Lato" w:hAnsi="Lato"/>
          <w:color w:val="000000" w:themeColor="text1"/>
          <w:sz w:val="24"/>
          <w:szCs w:val="24"/>
        </w:rPr>
        <w:t>” model, three-dimensional cultures of neural cells expressing beta-amyloid with a familial Alzheimer</w:t>
      </w:r>
      <w:r w:rsidRPr="0060384B">
        <w:rPr>
          <w:rFonts w:ascii="Lato" w:hAnsi="Lato"/>
          <w:color w:val="000000" w:themeColor="text1"/>
          <w:sz w:val="24"/>
          <w:szCs w:val="24"/>
        </w:rPr>
        <w:t>’s mutation. Infection with herpes simplex virus 1 or two other common human herpes viruses triggered rapid increases in the neural cell</w:t>
      </w:r>
      <w:r w:rsidRPr="0060384B">
        <w:rPr>
          <w:rFonts w:ascii="Lato" w:hAnsi="Lato"/>
          <w:color w:val="000000" w:themeColor="text1"/>
          <w:sz w:val="24"/>
          <w:szCs w:val="24"/>
        </w:rPr>
        <w:t>s</w:t>
      </w:r>
      <w:r w:rsidRPr="0060384B">
        <w:rPr>
          <w:rFonts w:ascii="Lato" w:hAnsi="Lato"/>
          <w:color w:val="000000" w:themeColor="text1"/>
          <w:sz w:val="24"/>
          <w:szCs w:val="24"/>
        </w:rPr>
        <w:t>’ beta-amyloid production. Microscopic observations showed that the beta-amyloid bound to the viral particles and formed nets of fibrils, which entrapped the virus and prevented it from entering the neural cells.</w:t>
      </w:r>
    </w:p>
    <w:p w14:paraId="32D37F51" w14:textId="77777777" w:rsidR="00000000" w:rsidRPr="0060384B" w:rsidRDefault="00CA5F6F">
      <w:pPr>
        <w:spacing w:line="250" w:lineRule="exact"/>
        <w:rPr>
          <w:rFonts w:ascii="Lato" w:eastAsia="Times New Roman" w:hAnsi="Lato"/>
          <w:color w:val="000000" w:themeColor="text1"/>
          <w:sz w:val="24"/>
          <w:szCs w:val="24"/>
        </w:rPr>
      </w:pPr>
    </w:p>
    <w:p w14:paraId="76C819D1" w14:textId="77777777" w:rsidR="00000000" w:rsidRPr="0060384B" w:rsidRDefault="00CA5F6F">
      <w:pPr>
        <w:spacing w:line="245" w:lineRule="auto"/>
        <w:ind w:right="20"/>
        <w:rPr>
          <w:rFonts w:ascii="Lato" w:hAnsi="Lato"/>
          <w:color w:val="000000" w:themeColor="text1"/>
          <w:sz w:val="24"/>
          <w:szCs w:val="24"/>
        </w:rPr>
      </w:pPr>
      <w:r w:rsidRPr="0060384B">
        <w:rPr>
          <w:rFonts w:ascii="Lato" w:hAnsi="Lato"/>
          <w:color w:val="000000" w:themeColor="text1"/>
          <w:sz w:val="24"/>
          <w:szCs w:val="24"/>
        </w:rPr>
        <w:t>The research tested the investigators</w:t>
      </w:r>
      <w:r w:rsidRPr="0060384B">
        <w:rPr>
          <w:rFonts w:ascii="Lato" w:hAnsi="Lato"/>
          <w:color w:val="000000" w:themeColor="text1"/>
          <w:sz w:val="24"/>
          <w:szCs w:val="24"/>
        </w:rPr>
        <w:t>’ hy</w:t>
      </w:r>
      <w:r w:rsidRPr="0060384B">
        <w:rPr>
          <w:rFonts w:ascii="Lato" w:hAnsi="Lato"/>
          <w:color w:val="000000" w:themeColor="text1"/>
          <w:sz w:val="24"/>
          <w:szCs w:val="24"/>
        </w:rPr>
        <w:t>pothesis that in Alzheimer</w:t>
      </w:r>
      <w:r w:rsidRPr="0060384B">
        <w:rPr>
          <w:rFonts w:ascii="Lato" w:hAnsi="Lato"/>
          <w:color w:val="000000" w:themeColor="text1"/>
          <w:sz w:val="24"/>
          <w:szCs w:val="24"/>
        </w:rPr>
        <w:t xml:space="preserve">’s disease, the normally protective antimicrobial pathway via amyloid-beta is overactivated, and the continual deposition of amyloid-beta leads to neuroinflammation and neuronal death. This </w:t>
      </w:r>
      <w:r w:rsidRPr="0060384B">
        <w:rPr>
          <w:rFonts w:ascii="Lato" w:hAnsi="Lato"/>
          <w:color w:val="000000" w:themeColor="text1"/>
          <w:sz w:val="24"/>
          <w:szCs w:val="24"/>
        </w:rPr>
        <w:t xml:space="preserve">“antimicrobial protection hypothesis of </w:t>
      </w:r>
      <w:r w:rsidRPr="0060384B">
        <w:rPr>
          <w:rFonts w:ascii="Lato" w:hAnsi="Lato"/>
          <w:color w:val="000000" w:themeColor="text1"/>
          <w:sz w:val="24"/>
          <w:szCs w:val="24"/>
        </w:rPr>
        <w:t>Alzheimer</w:t>
      </w:r>
      <w:r w:rsidRPr="0060384B">
        <w:rPr>
          <w:rFonts w:ascii="Lato" w:hAnsi="Lato"/>
          <w:color w:val="000000" w:themeColor="text1"/>
          <w:sz w:val="24"/>
          <w:szCs w:val="24"/>
        </w:rPr>
        <w:t>’s disease,</w:t>
      </w:r>
      <w:r w:rsidRPr="0060384B">
        <w:rPr>
          <w:rFonts w:ascii="Lato" w:hAnsi="Lato"/>
          <w:color w:val="000000" w:themeColor="text1"/>
          <w:sz w:val="24"/>
          <w:szCs w:val="24"/>
        </w:rPr>
        <w:t>” the researchers noted, suggests that antiviral drugs might be explored for their potential in helping to prevent the disease.</w:t>
      </w:r>
    </w:p>
    <w:p w14:paraId="75936D7E" w14:textId="77777777" w:rsidR="00000000" w:rsidRPr="0060384B" w:rsidRDefault="00CA5F6F">
      <w:pPr>
        <w:spacing w:line="246" w:lineRule="exact"/>
        <w:rPr>
          <w:rFonts w:ascii="Lato" w:eastAsia="Times New Roman" w:hAnsi="Lato"/>
          <w:color w:val="000000" w:themeColor="text1"/>
          <w:sz w:val="24"/>
          <w:szCs w:val="24"/>
        </w:rPr>
      </w:pPr>
    </w:p>
    <w:p w14:paraId="33DC83AB" w14:textId="77777777" w:rsidR="00000000" w:rsidRPr="0060384B" w:rsidRDefault="00CA5F6F">
      <w:pPr>
        <w:spacing w:line="241" w:lineRule="auto"/>
        <w:ind w:right="20"/>
        <w:rPr>
          <w:rFonts w:ascii="Lato" w:hAnsi="Lato"/>
          <w:color w:val="000000" w:themeColor="text1"/>
          <w:sz w:val="24"/>
          <w:szCs w:val="24"/>
        </w:rPr>
      </w:pPr>
      <w:r w:rsidRPr="0060384B">
        <w:rPr>
          <w:rFonts w:ascii="Lato" w:hAnsi="Lato"/>
          <w:b/>
          <w:color w:val="000000" w:themeColor="text1"/>
          <w:sz w:val="24"/>
          <w:szCs w:val="24"/>
        </w:rPr>
        <w:t xml:space="preserve">APOE </w:t>
      </w:r>
      <w:r w:rsidRPr="0060384B">
        <w:rPr>
          <w:rFonts w:ascii="Arial" w:hAnsi="Arial"/>
          <w:b/>
          <w:color w:val="000000" w:themeColor="text1"/>
          <w:sz w:val="24"/>
          <w:szCs w:val="24"/>
        </w:rPr>
        <w:t>ɛ</w:t>
      </w:r>
      <w:r w:rsidRPr="0060384B">
        <w:rPr>
          <w:rFonts w:ascii="Lato" w:hAnsi="Lato"/>
          <w:b/>
          <w:color w:val="000000" w:themeColor="text1"/>
          <w:sz w:val="24"/>
          <w:szCs w:val="24"/>
        </w:rPr>
        <w:t xml:space="preserve">2 may increase risk of tauopathies. </w:t>
      </w:r>
      <w:r w:rsidRPr="0060384B">
        <w:rPr>
          <w:rFonts w:ascii="Lato" w:hAnsi="Lato"/>
          <w:color w:val="000000" w:themeColor="text1"/>
          <w:sz w:val="24"/>
          <w:szCs w:val="24"/>
        </w:rPr>
        <w:t>The APOE</w:t>
      </w:r>
      <w:r w:rsidRPr="0060384B">
        <w:rPr>
          <w:rFonts w:ascii="Lato" w:hAnsi="Lato"/>
          <w:b/>
          <w:color w:val="000000" w:themeColor="text1"/>
          <w:sz w:val="24"/>
          <w:szCs w:val="24"/>
        </w:rPr>
        <w:t xml:space="preserve"> </w:t>
      </w:r>
      <w:r w:rsidRPr="0060384B">
        <w:rPr>
          <w:rFonts w:ascii="Arial" w:hAnsi="Arial"/>
          <w:color w:val="000000" w:themeColor="text1"/>
          <w:sz w:val="24"/>
          <w:szCs w:val="24"/>
        </w:rPr>
        <w:t>ɛ</w:t>
      </w:r>
      <w:r w:rsidRPr="0060384B">
        <w:rPr>
          <w:rFonts w:ascii="Lato" w:hAnsi="Lato"/>
          <w:color w:val="000000" w:themeColor="text1"/>
          <w:sz w:val="24"/>
          <w:szCs w:val="24"/>
        </w:rPr>
        <w:t>2 allele is associated with reduced risk of</w:t>
      </w:r>
      <w:r w:rsidRPr="0060384B">
        <w:rPr>
          <w:rFonts w:ascii="Lato" w:hAnsi="Lato"/>
          <w:b/>
          <w:color w:val="000000" w:themeColor="text1"/>
          <w:sz w:val="24"/>
          <w:szCs w:val="24"/>
        </w:rPr>
        <w:t xml:space="preserve"> </w:t>
      </w:r>
      <w:r w:rsidRPr="0060384B">
        <w:rPr>
          <w:rFonts w:ascii="Lato" w:hAnsi="Lato"/>
          <w:color w:val="000000" w:themeColor="text1"/>
          <w:sz w:val="24"/>
          <w:szCs w:val="24"/>
        </w:rPr>
        <w:t xml:space="preserve">developing </w:t>
      </w:r>
      <w:r w:rsidRPr="0060384B">
        <w:rPr>
          <w:rFonts w:ascii="Lato" w:hAnsi="Lato"/>
          <w:color w:val="000000" w:themeColor="text1"/>
          <w:sz w:val="24"/>
          <w:szCs w:val="24"/>
        </w:rPr>
        <w:t>Alzheimer</w:t>
      </w:r>
      <w:r w:rsidRPr="0060384B">
        <w:rPr>
          <w:rFonts w:ascii="Lato" w:hAnsi="Lato"/>
          <w:color w:val="000000" w:themeColor="text1"/>
          <w:sz w:val="24"/>
          <w:szCs w:val="24"/>
        </w:rPr>
        <w:t xml:space="preserve">’s disease. But new research in animal and cellular models suggests that it may increase the risk of </w:t>
      </w:r>
      <w:r w:rsidRPr="0060384B">
        <w:rPr>
          <w:rFonts w:ascii="Lato" w:hAnsi="Lato"/>
          <w:color w:val="000000" w:themeColor="text1"/>
          <w:sz w:val="24"/>
          <w:szCs w:val="24"/>
        </w:rPr>
        <w:t>“primary</w:t>
      </w:r>
      <w:r w:rsidRPr="0060384B">
        <w:rPr>
          <w:rFonts w:ascii="Lato" w:hAnsi="Lato"/>
          <w:color w:val="000000" w:themeColor="text1"/>
          <w:sz w:val="24"/>
          <w:szCs w:val="24"/>
        </w:rPr>
        <w:t xml:space="preserve">” tauopathies, such as progressive supranuclear palsy and corticobasal degeneration. To find out more, NIH-funded scientists </w:t>
      </w:r>
      <w:hyperlink r:id="rId166" w:history="1">
        <w:r w:rsidRPr="0060384B">
          <w:rPr>
            <w:rFonts w:ascii="Lato" w:hAnsi="Lato"/>
            <w:color w:val="000000" w:themeColor="text1"/>
            <w:sz w:val="24"/>
            <w:szCs w:val="24"/>
          </w:rPr>
          <w:t>(</w:t>
        </w:r>
        <w:r w:rsidRPr="0060384B">
          <w:rPr>
            <w:rFonts w:ascii="Lato" w:hAnsi="Lato"/>
            <w:color w:val="000000" w:themeColor="text1"/>
            <w:sz w:val="24"/>
            <w:szCs w:val="24"/>
          </w:rPr>
          <w:t>Zhao et al., 2018</w:t>
        </w:r>
      </w:hyperlink>
      <w:r w:rsidRPr="0060384B">
        <w:rPr>
          <w:rFonts w:ascii="Lato" w:hAnsi="Lato"/>
          <w:color w:val="000000" w:themeColor="text1"/>
          <w:sz w:val="24"/>
          <w:szCs w:val="24"/>
        </w:rPr>
        <w:t xml:space="preserve">) examined 6-month-old transgenic mice carrying the human APOE </w:t>
      </w:r>
      <w:r w:rsidRPr="0060384B">
        <w:rPr>
          <w:rFonts w:ascii="Arial" w:hAnsi="Arial"/>
          <w:color w:val="000000" w:themeColor="text1"/>
          <w:sz w:val="24"/>
          <w:szCs w:val="24"/>
        </w:rPr>
        <w:t>ɛ</w:t>
      </w:r>
      <w:r w:rsidRPr="0060384B">
        <w:rPr>
          <w:rFonts w:ascii="Lato" w:hAnsi="Lato"/>
          <w:color w:val="000000" w:themeColor="text1"/>
          <w:sz w:val="24"/>
          <w:szCs w:val="24"/>
        </w:rPr>
        <w:t xml:space="preserve">2, </w:t>
      </w:r>
      <w:r w:rsidRPr="0060384B">
        <w:rPr>
          <w:rFonts w:ascii="Arial" w:hAnsi="Arial"/>
          <w:color w:val="000000" w:themeColor="text1"/>
          <w:sz w:val="24"/>
          <w:szCs w:val="24"/>
        </w:rPr>
        <w:t>ɛ</w:t>
      </w:r>
      <w:r w:rsidRPr="0060384B">
        <w:rPr>
          <w:rFonts w:ascii="Lato" w:hAnsi="Lato"/>
          <w:color w:val="000000" w:themeColor="text1"/>
          <w:sz w:val="24"/>
          <w:szCs w:val="24"/>
        </w:rPr>
        <w:t xml:space="preserve">3, and </w:t>
      </w:r>
      <w:r w:rsidRPr="0060384B">
        <w:rPr>
          <w:rFonts w:ascii="Arial" w:hAnsi="Arial"/>
          <w:color w:val="000000" w:themeColor="text1"/>
          <w:sz w:val="24"/>
          <w:szCs w:val="24"/>
        </w:rPr>
        <w:t>ɛ</w:t>
      </w:r>
      <w:r w:rsidRPr="0060384B">
        <w:rPr>
          <w:rFonts w:ascii="Lato" w:hAnsi="Lato"/>
          <w:color w:val="000000" w:themeColor="text1"/>
          <w:sz w:val="24"/>
          <w:szCs w:val="24"/>
        </w:rPr>
        <w:t xml:space="preserve">4 alleles whose brains contained a mutant tau gene. Compared to the brains of APOE </w:t>
      </w:r>
      <w:r w:rsidRPr="0060384B">
        <w:rPr>
          <w:rFonts w:ascii="Arial" w:hAnsi="Arial"/>
          <w:color w:val="000000" w:themeColor="text1"/>
          <w:sz w:val="24"/>
          <w:szCs w:val="24"/>
        </w:rPr>
        <w:t>ɛ</w:t>
      </w:r>
      <w:r w:rsidRPr="0060384B">
        <w:rPr>
          <w:rFonts w:ascii="Lato" w:hAnsi="Lato"/>
          <w:color w:val="000000" w:themeColor="text1"/>
          <w:sz w:val="24"/>
          <w:szCs w:val="24"/>
        </w:rPr>
        <w:t xml:space="preserve">3 and APOE </w:t>
      </w:r>
      <w:r w:rsidRPr="0060384B">
        <w:rPr>
          <w:rFonts w:ascii="Arial" w:hAnsi="Arial"/>
          <w:color w:val="000000" w:themeColor="text1"/>
          <w:sz w:val="24"/>
          <w:szCs w:val="24"/>
        </w:rPr>
        <w:t>ɛ</w:t>
      </w:r>
      <w:r w:rsidRPr="0060384B">
        <w:rPr>
          <w:rFonts w:ascii="Lato" w:hAnsi="Lato"/>
          <w:color w:val="000000" w:themeColor="text1"/>
          <w:sz w:val="24"/>
          <w:szCs w:val="24"/>
        </w:rPr>
        <w:t>4 mice, those of A</w:t>
      </w:r>
      <w:r w:rsidRPr="0060384B">
        <w:rPr>
          <w:rFonts w:ascii="Lato" w:hAnsi="Lato"/>
          <w:color w:val="000000" w:themeColor="text1"/>
          <w:sz w:val="24"/>
          <w:szCs w:val="24"/>
        </w:rPr>
        <w:t xml:space="preserve">POE </w:t>
      </w:r>
      <w:r w:rsidRPr="0060384B">
        <w:rPr>
          <w:rFonts w:ascii="Arial" w:hAnsi="Arial"/>
          <w:color w:val="000000" w:themeColor="text1"/>
          <w:sz w:val="24"/>
          <w:szCs w:val="24"/>
        </w:rPr>
        <w:t>ɛ</w:t>
      </w:r>
      <w:r w:rsidRPr="0060384B">
        <w:rPr>
          <w:rFonts w:ascii="Lato" w:hAnsi="Lato"/>
          <w:color w:val="000000" w:themeColor="text1"/>
          <w:sz w:val="24"/>
          <w:szCs w:val="24"/>
        </w:rPr>
        <w:t xml:space="preserve">2 mice had significantly higher levels of abnormal (hyperphosphorylated) tau, tau deposits, and proliferation of astrocytes (the star-shaped form of glial cells that support neurons and help maintain synaptic function). The APOE </w:t>
      </w:r>
      <w:r w:rsidRPr="0060384B">
        <w:rPr>
          <w:rFonts w:ascii="Arial" w:hAnsi="Arial"/>
          <w:color w:val="000000" w:themeColor="text1"/>
          <w:sz w:val="24"/>
          <w:szCs w:val="24"/>
        </w:rPr>
        <w:t>ɛ</w:t>
      </w:r>
      <w:r w:rsidRPr="0060384B">
        <w:rPr>
          <w:rFonts w:ascii="Lato" w:hAnsi="Lato"/>
          <w:color w:val="000000" w:themeColor="text1"/>
          <w:sz w:val="24"/>
          <w:szCs w:val="24"/>
        </w:rPr>
        <w:t>2 mice also showed sy</w:t>
      </w:r>
      <w:r w:rsidRPr="0060384B">
        <w:rPr>
          <w:rFonts w:ascii="Lato" w:hAnsi="Lato"/>
          <w:color w:val="000000" w:themeColor="text1"/>
          <w:sz w:val="24"/>
          <w:szCs w:val="24"/>
        </w:rPr>
        <w:t>naptic deficits and behavioral abnormalities similar to those seen in human tauopathies, including increased signs of anxiety, abnormal exploratory behavior, and impairment on certain memory tests. The scientists then studied brain tissue after death of pa</w:t>
      </w:r>
      <w:r w:rsidRPr="0060384B">
        <w:rPr>
          <w:rFonts w:ascii="Lato" w:hAnsi="Lato"/>
          <w:color w:val="000000" w:themeColor="text1"/>
          <w:sz w:val="24"/>
          <w:szCs w:val="24"/>
        </w:rPr>
        <w:t xml:space="preserve">tients with progressive supranuclear palsy and saw increased tau pathology in those bearing at least one copy of the APOE </w:t>
      </w:r>
      <w:r w:rsidRPr="0060384B">
        <w:rPr>
          <w:rFonts w:ascii="Arial" w:hAnsi="Arial"/>
          <w:color w:val="000000" w:themeColor="text1"/>
          <w:sz w:val="24"/>
          <w:szCs w:val="24"/>
        </w:rPr>
        <w:t>ɛ</w:t>
      </w:r>
      <w:r w:rsidRPr="0060384B">
        <w:rPr>
          <w:rFonts w:ascii="Lato" w:hAnsi="Lato"/>
          <w:color w:val="000000" w:themeColor="text1"/>
          <w:sz w:val="24"/>
          <w:szCs w:val="24"/>
        </w:rPr>
        <w:t xml:space="preserve">2 allele. They also found a significant association between possession of two copies of the APOE </w:t>
      </w:r>
      <w:r w:rsidRPr="0060384B">
        <w:rPr>
          <w:rFonts w:ascii="Arial" w:hAnsi="Arial"/>
          <w:color w:val="000000" w:themeColor="text1"/>
          <w:sz w:val="24"/>
          <w:szCs w:val="24"/>
        </w:rPr>
        <w:t>ɛ</w:t>
      </w:r>
      <w:r w:rsidRPr="0060384B">
        <w:rPr>
          <w:rFonts w:ascii="Lato" w:hAnsi="Lato"/>
          <w:color w:val="000000" w:themeColor="text1"/>
          <w:sz w:val="24"/>
          <w:szCs w:val="24"/>
        </w:rPr>
        <w:t>2 allele and increased risk of tauo</w:t>
      </w:r>
      <w:r w:rsidRPr="0060384B">
        <w:rPr>
          <w:rFonts w:ascii="Lato" w:hAnsi="Lato"/>
          <w:color w:val="000000" w:themeColor="text1"/>
          <w:sz w:val="24"/>
          <w:szCs w:val="24"/>
        </w:rPr>
        <w:t xml:space="preserve">pathy in two series of post mortem brain samples from patients with progressive supranuclear palsy or corticobasal degeneration. These results suggest that the APOE </w:t>
      </w:r>
      <w:r w:rsidRPr="0060384B">
        <w:rPr>
          <w:rFonts w:ascii="Arial" w:hAnsi="Arial"/>
          <w:color w:val="000000" w:themeColor="text1"/>
          <w:sz w:val="24"/>
          <w:szCs w:val="24"/>
        </w:rPr>
        <w:t>ɛ</w:t>
      </w:r>
      <w:r w:rsidRPr="0060384B">
        <w:rPr>
          <w:rFonts w:ascii="Lato" w:hAnsi="Lato"/>
          <w:color w:val="000000" w:themeColor="text1"/>
          <w:sz w:val="24"/>
          <w:szCs w:val="24"/>
        </w:rPr>
        <w:t>2 allele increases the risk of developing neurodegenerative diseases in which there is tau</w:t>
      </w:r>
      <w:r w:rsidRPr="0060384B">
        <w:rPr>
          <w:rFonts w:ascii="Lato" w:hAnsi="Lato"/>
          <w:color w:val="000000" w:themeColor="text1"/>
          <w:sz w:val="24"/>
          <w:szCs w:val="24"/>
        </w:rPr>
        <w:t xml:space="preserve"> pathology but no amyloid pathology.</w:t>
      </w:r>
    </w:p>
    <w:p w14:paraId="2DB40B91" w14:textId="77777777" w:rsidR="00000000" w:rsidRPr="0060384B" w:rsidRDefault="00CA5F6F">
      <w:pPr>
        <w:spacing w:line="261" w:lineRule="exact"/>
        <w:rPr>
          <w:rFonts w:ascii="Lato" w:eastAsia="Times New Roman" w:hAnsi="Lato"/>
          <w:color w:val="000000" w:themeColor="text1"/>
          <w:sz w:val="24"/>
          <w:szCs w:val="24"/>
        </w:rPr>
      </w:pPr>
    </w:p>
    <w:p w14:paraId="6F2C8859" w14:textId="77777777" w:rsidR="00000000" w:rsidRPr="0060384B" w:rsidRDefault="00CA5F6F">
      <w:pPr>
        <w:spacing w:line="262" w:lineRule="auto"/>
        <w:ind w:right="1280"/>
        <w:rPr>
          <w:rFonts w:ascii="Lato" w:hAnsi="Lato"/>
          <w:color w:val="000000" w:themeColor="text1"/>
          <w:sz w:val="24"/>
          <w:szCs w:val="24"/>
        </w:rPr>
      </w:pPr>
      <w:r w:rsidRPr="0060384B">
        <w:rPr>
          <w:rFonts w:ascii="Lato" w:hAnsi="Lato"/>
          <w:color w:val="000000" w:themeColor="text1"/>
          <w:sz w:val="24"/>
          <w:szCs w:val="24"/>
        </w:rPr>
        <w:t xml:space="preserve">Learn more about research implementation milestones and progress in this area at </w:t>
      </w:r>
      <w:hyperlink r:id="rId167" w:history="1">
        <w:r w:rsidRPr="0060384B">
          <w:rPr>
            <w:rFonts w:ascii="Lato" w:hAnsi="Lato"/>
            <w:color w:val="000000" w:themeColor="text1"/>
            <w:sz w:val="24"/>
            <w:szCs w:val="24"/>
          </w:rPr>
          <w:t>www.nia.nih.gov/research/milestones/focus-area/di</w:t>
        </w:r>
        <w:r w:rsidRPr="0060384B">
          <w:rPr>
            <w:rFonts w:ascii="Lato" w:hAnsi="Lato"/>
            <w:color w:val="000000" w:themeColor="text1"/>
            <w:sz w:val="24"/>
            <w:szCs w:val="24"/>
          </w:rPr>
          <w:t>sease-mechanisms</w:t>
        </w:r>
        <w:r w:rsidRPr="0060384B">
          <w:rPr>
            <w:rFonts w:ascii="Lato" w:hAnsi="Lato"/>
            <w:color w:val="000000" w:themeColor="text1"/>
            <w:sz w:val="24"/>
            <w:szCs w:val="24"/>
          </w:rPr>
          <w:t>.</w:t>
        </w:r>
      </w:hyperlink>
    </w:p>
    <w:p w14:paraId="1A77B3E6" w14:textId="77777777" w:rsidR="00000000" w:rsidRPr="0060384B" w:rsidRDefault="00CA5F6F">
      <w:pPr>
        <w:spacing w:line="262" w:lineRule="auto"/>
        <w:ind w:right="128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7D3D31E1" w14:textId="77777777" w:rsidR="00000000" w:rsidRPr="0060384B" w:rsidRDefault="00CA5F6F">
      <w:pPr>
        <w:spacing w:line="200" w:lineRule="exact"/>
        <w:rPr>
          <w:rFonts w:ascii="Lato" w:eastAsia="Times New Roman" w:hAnsi="Lato"/>
          <w:color w:val="000000" w:themeColor="text1"/>
          <w:sz w:val="24"/>
          <w:szCs w:val="24"/>
        </w:rPr>
      </w:pPr>
    </w:p>
    <w:p w14:paraId="2FAF6ED7" w14:textId="77777777" w:rsidR="00000000" w:rsidRPr="0060384B" w:rsidRDefault="00CA5F6F">
      <w:pPr>
        <w:spacing w:line="200" w:lineRule="exact"/>
        <w:rPr>
          <w:rFonts w:ascii="Lato" w:eastAsia="Times New Roman" w:hAnsi="Lato"/>
          <w:color w:val="000000" w:themeColor="text1"/>
          <w:sz w:val="24"/>
          <w:szCs w:val="24"/>
        </w:rPr>
      </w:pPr>
    </w:p>
    <w:p w14:paraId="783BE95F" w14:textId="77777777" w:rsidR="00000000" w:rsidRPr="0060384B" w:rsidRDefault="00CA5F6F">
      <w:pPr>
        <w:spacing w:line="200" w:lineRule="exact"/>
        <w:rPr>
          <w:rFonts w:ascii="Lato" w:eastAsia="Times New Roman" w:hAnsi="Lato"/>
          <w:color w:val="000000" w:themeColor="text1"/>
          <w:sz w:val="24"/>
          <w:szCs w:val="24"/>
        </w:rPr>
      </w:pPr>
    </w:p>
    <w:p w14:paraId="2D74D55A" w14:textId="77777777" w:rsidR="00000000" w:rsidRPr="0060384B" w:rsidRDefault="00CA5F6F">
      <w:pPr>
        <w:spacing w:line="200" w:lineRule="exact"/>
        <w:rPr>
          <w:rFonts w:ascii="Lato" w:eastAsia="Times New Roman" w:hAnsi="Lato"/>
          <w:color w:val="000000" w:themeColor="text1"/>
          <w:sz w:val="24"/>
          <w:szCs w:val="24"/>
        </w:rPr>
      </w:pPr>
    </w:p>
    <w:p w14:paraId="7629B0A3" w14:textId="77777777" w:rsidR="00000000" w:rsidRPr="0060384B" w:rsidRDefault="00CA5F6F">
      <w:pPr>
        <w:spacing w:line="200" w:lineRule="exact"/>
        <w:rPr>
          <w:rFonts w:ascii="Lato" w:eastAsia="Times New Roman" w:hAnsi="Lato"/>
          <w:color w:val="000000" w:themeColor="text1"/>
          <w:sz w:val="24"/>
          <w:szCs w:val="24"/>
        </w:rPr>
      </w:pPr>
    </w:p>
    <w:p w14:paraId="386A6057" w14:textId="77777777" w:rsidR="00000000" w:rsidRPr="0060384B" w:rsidRDefault="00CA5F6F">
      <w:pPr>
        <w:spacing w:line="200" w:lineRule="exact"/>
        <w:rPr>
          <w:rFonts w:ascii="Lato" w:eastAsia="Times New Roman" w:hAnsi="Lato"/>
          <w:color w:val="000000" w:themeColor="text1"/>
          <w:sz w:val="24"/>
          <w:szCs w:val="24"/>
        </w:rPr>
      </w:pPr>
    </w:p>
    <w:p w14:paraId="63FEBEA6" w14:textId="77777777" w:rsidR="00000000" w:rsidRPr="0060384B" w:rsidRDefault="00CA5F6F">
      <w:pPr>
        <w:spacing w:line="200" w:lineRule="exact"/>
        <w:rPr>
          <w:rFonts w:ascii="Lato" w:eastAsia="Times New Roman" w:hAnsi="Lato"/>
          <w:color w:val="000000" w:themeColor="text1"/>
          <w:sz w:val="24"/>
          <w:szCs w:val="24"/>
        </w:rPr>
      </w:pPr>
    </w:p>
    <w:p w14:paraId="3EE4C65D" w14:textId="77777777" w:rsidR="00000000" w:rsidRPr="0060384B" w:rsidRDefault="00CA5F6F">
      <w:pPr>
        <w:spacing w:line="200" w:lineRule="exact"/>
        <w:rPr>
          <w:rFonts w:ascii="Lato" w:eastAsia="Times New Roman" w:hAnsi="Lato"/>
          <w:color w:val="000000" w:themeColor="text1"/>
          <w:sz w:val="24"/>
          <w:szCs w:val="24"/>
        </w:rPr>
      </w:pPr>
    </w:p>
    <w:p w14:paraId="699AB261" w14:textId="77777777" w:rsidR="00000000" w:rsidRPr="0060384B" w:rsidRDefault="00CA5F6F">
      <w:pPr>
        <w:spacing w:line="200" w:lineRule="exact"/>
        <w:rPr>
          <w:rFonts w:ascii="Lato" w:eastAsia="Times New Roman" w:hAnsi="Lato"/>
          <w:color w:val="000000" w:themeColor="text1"/>
          <w:sz w:val="24"/>
          <w:szCs w:val="24"/>
        </w:rPr>
      </w:pPr>
    </w:p>
    <w:p w14:paraId="6EBA0FD9" w14:textId="77777777" w:rsidR="00000000" w:rsidRPr="0060384B" w:rsidRDefault="00CA5F6F">
      <w:pPr>
        <w:spacing w:line="200" w:lineRule="exact"/>
        <w:rPr>
          <w:rFonts w:ascii="Lato" w:eastAsia="Times New Roman" w:hAnsi="Lato"/>
          <w:color w:val="000000" w:themeColor="text1"/>
          <w:sz w:val="24"/>
          <w:szCs w:val="24"/>
        </w:rPr>
      </w:pPr>
    </w:p>
    <w:p w14:paraId="72FEE526" w14:textId="77777777" w:rsidR="00000000" w:rsidRPr="0060384B" w:rsidRDefault="00CA5F6F">
      <w:pPr>
        <w:spacing w:line="200" w:lineRule="exact"/>
        <w:rPr>
          <w:rFonts w:ascii="Lato" w:eastAsia="Times New Roman" w:hAnsi="Lato"/>
          <w:color w:val="000000" w:themeColor="text1"/>
          <w:sz w:val="24"/>
          <w:szCs w:val="24"/>
        </w:rPr>
      </w:pPr>
    </w:p>
    <w:p w14:paraId="37A9E39B" w14:textId="77777777" w:rsidR="00000000" w:rsidRPr="0060384B" w:rsidRDefault="00CA5F6F">
      <w:pPr>
        <w:spacing w:line="200" w:lineRule="exact"/>
        <w:rPr>
          <w:rFonts w:ascii="Lato" w:eastAsia="Times New Roman" w:hAnsi="Lato"/>
          <w:color w:val="000000" w:themeColor="text1"/>
          <w:sz w:val="24"/>
          <w:szCs w:val="24"/>
        </w:rPr>
      </w:pPr>
    </w:p>
    <w:p w14:paraId="0B8D9471" w14:textId="77777777" w:rsidR="00000000" w:rsidRPr="0060384B" w:rsidRDefault="00CA5F6F">
      <w:pPr>
        <w:spacing w:line="200" w:lineRule="exact"/>
        <w:rPr>
          <w:rFonts w:ascii="Lato" w:eastAsia="Times New Roman" w:hAnsi="Lato"/>
          <w:color w:val="000000" w:themeColor="text1"/>
          <w:sz w:val="24"/>
          <w:szCs w:val="24"/>
        </w:rPr>
      </w:pPr>
    </w:p>
    <w:p w14:paraId="51847270" w14:textId="77777777" w:rsidR="00000000" w:rsidRPr="0060384B" w:rsidRDefault="00CA5F6F">
      <w:pPr>
        <w:spacing w:line="200" w:lineRule="exact"/>
        <w:rPr>
          <w:rFonts w:ascii="Lato" w:eastAsia="Times New Roman" w:hAnsi="Lato"/>
          <w:color w:val="000000" w:themeColor="text1"/>
          <w:sz w:val="24"/>
          <w:szCs w:val="24"/>
        </w:rPr>
      </w:pPr>
    </w:p>
    <w:p w14:paraId="61272626" w14:textId="77777777" w:rsidR="00000000" w:rsidRPr="0060384B" w:rsidRDefault="00CA5F6F">
      <w:pPr>
        <w:spacing w:line="200" w:lineRule="exact"/>
        <w:rPr>
          <w:rFonts w:ascii="Lato" w:eastAsia="Times New Roman" w:hAnsi="Lato"/>
          <w:color w:val="000000" w:themeColor="text1"/>
          <w:sz w:val="24"/>
          <w:szCs w:val="24"/>
        </w:rPr>
      </w:pPr>
    </w:p>
    <w:p w14:paraId="35EF7C7C" w14:textId="77777777" w:rsidR="00000000" w:rsidRPr="0060384B" w:rsidRDefault="00CA5F6F">
      <w:pPr>
        <w:spacing w:line="211"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7E7F921B" w14:textId="77777777">
        <w:trPr>
          <w:trHeight w:val="245"/>
        </w:trPr>
        <w:tc>
          <w:tcPr>
            <w:tcW w:w="6540" w:type="dxa"/>
            <w:shd w:val="clear" w:color="auto" w:fill="auto"/>
            <w:vAlign w:val="bottom"/>
          </w:tcPr>
          <w:p w14:paraId="3F87847A"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TOGETHER WE SUCCEED</w:t>
            </w:r>
          </w:p>
        </w:tc>
        <w:tc>
          <w:tcPr>
            <w:tcW w:w="2820" w:type="dxa"/>
            <w:shd w:val="clear" w:color="auto" w:fill="auto"/>
            <w:vAlign w:val="bottom"/>
          </w:tcPr>
          <w:p w14:paraId="4CF21795"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44</w:t>
            </w:r>
          </w:p>
        </w:tc>
      </w:tr>
      <w:tr w:rsidR="00000000" w:rsidRPr="0060384B" w14:paraId="0872E143" w14:textId="77777777">
        <w:trPr>
          <w:trHeight w:val="258"/>
        </w:trPr>
        <w:tc>
          <w:tcPr>
            <w:tcW w:w="6540" w:type="dxa"/>
            <w:shd w:val="clear" w:color="auto" w:fill="auto"/>
            <w:vAlign w:val="bottom"/>
          </w:tcPr>
          <w:p w14:paraId="7F1513FC"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66ACA640" w14:textId="77777777" w:rsidR="00000000" w:rsidRPr="0060384B" w:rsidRDefault="00CA5F6F">
            <w:pPr>
              <w:spacing w:line="0" w:lineRule="atLeast"/>
              <w:rPr>
                <w:rFonts w:ascii="Lato" w:eastAsia="Times New Roman" w:hAnsi="Lato"/>
                <w:color w:val="000000" w:themeColor="text1"/>
                <w:sz w:val="24"/>
                <w:szCs w:val="24"/>
              </w:rPr>
            </w:pPr>
          </w:p>
        </w:tc>
      </w:tr>
    </w:tbl>
    <w:p w14:paraId="3A386C0E"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21962F14" w14:textId="77777777" w:rsidR="00000000" w:rsidRPr="0060384B" w:rsidRDefault="00CA5F6F">
      <w:pPr>
        <w:spacing w:line="0" w:lineRule="atLeast"/>
        <w:rPr>
          <w:rFonts w:ascii="Lato" w:hAnsi="Lato"/>
          <w:b/>
          <w:color w:val="000000" w:themeColor="text1"/>
          <w:sz w:val="24"/>
          <w:szCs w:val="24"/>
        </w:rPr>
      </w:pPr>
      <w:bookmarkStart w:id="47" w:name="page48"/>
      <w:bookmarkEnd w:id="47"/>
      <w:r w:rsidRPr="0060384B">
        <w:rPr>
          <w:rFonts w:ascii="Lato" w:hAnsi="Lato"/>
          <w:b/>
          <w:color w:val="000000" w:themeColor="text1"/>
          <w:sz w:val="24"/>
          <w:szCs w:val="24"/>
        </w:rPr>
        <w:lastRenderedPageBreak/>
        <w:t>FINDING BIOMARKERS TO DETECT, DIAGNOSE, AND TREAT DEMENTIA</w:t>
      </w:r>
    </w:p>
    <w:p w14:paraId="1998CB83" w14:textId="77777777" w:rsidR="00000000" w:rsidRPr="0060384B" w:rsidRDefault="00CA5F6F">
      <w:pPr>
        <w:spacing w:line="288" w:lineRule="exact"/>
        <w:rPr>
          <w:rFonts w:ascii="Lato" w:eastAsia="Times New Roman" w:hAnsi="Lato"/>
          <w:color w:val="000000" w:themeColor="text1"/>
          <w:sz w:val="24"/>
          <w:szCs w:val="24"/>
        </w:rPr>
      </w:pPr>
    </w:p>
    <w:p w14:paraId="15C431BD" w14:textId="77777777" w:rsidR="00000000" w:rsidRPr="0060384B" w:rsidRDefault="00CA5F6F">
      <w:pPr>
        <w:spacing w:line="241" w:lineRule="auto"/>
        <w:ind w:right="3820"/>
        <w:rPr>
          <w:rFonts w:ascii="Lato" w:hAnsi="Lato"/>
          <w:color w:val="000000" w:themeColor="text1"/>
          <w:sz w:val="24"/>
          <w:szCs w:val="24"/>
        </w:rPr>
      </w:pPr>
      <w:r w:rsidRPr="0060384B">
        <w:rPr>
          <w:rFonts w:ascii="Lato" w:hAnsi="Lato"/>
          <w:color w:val="000000" w:themeColor="text1"/>
          <w:sz w:val="24"/>
          <w:szCs w:val="24"/>
        </w:rPr>
        <w:t>As mechanisms of disease are revealed, we have made enormous strides in the identific</w:t>
      </w:r>
      <w:r w:rsidRPr="0060384B">
        <w:rPr>
          <w:rFonts w:ascii="Lato" w:hAnsi="Lato"/>
          <w:color w:val="000000" w:themeColor="text1"/>
          <w:sz w:val="24"/>
          <w:szCs w:val="24"/>
        </w:rPr>
        <w:t>ation and use of biomarkers to detect disease and track progress. Clinical, imaging, genetic, and biochemical measures are being tested and validated, primarily in a research context, although they are sometimes used to aid clinically in differential diagn</w:t>
      </w:r>
      <w:r w:rsidRPr="0060384B">
        <w:rPr>
          <w:rFonts w:ascii="Lato" w:hAnsi="Lato"/>
          <w:color w:val="000000" w:themeColor="text1"/>
          <w:sz w:val="24"/>
          <w:szCs w:val="24"/>
        </w:rPr>
        <w:t>oses of a dementia. This important work has focused on ways to define Alzheimer</w:t>
      </w:r>
      <w:r w:rsidRPr="0060384B">
        <w:rPr>
          <w:rFonts w:ascii="Lato" w:hAnsi="Lato"/>
          <w:color w:val="000000" w:themeColor="text1"/>
          <w:sz w:val="24"/>
          <w:szCs w:val="24"/>
        </w:rPr>
        <w:t>’s and related dementias biologically, particularly in the preclinical phase of the disease, before outward signs of cognitive change may appear. The goal is to find ways to det</w:t>
      </w:r>
      <w:r w:rsidRPr="0060384B">
        <w:rPr>
          <w:rFonts w:ascii="Lato" w:hAnsi="Lato"/>
          <w:color w:val="000000" w:themeColor="text1"/>
          <w:sz w:val="24"/>
          <w:szCs w:val="24"/>
        </w:rPr>
        <w:t>ermine who is most at risk for cognitive decline due to dementia and to see if biomarkers can follow disease progression and help show the effectiveness of potential treatments.</w:t>
      </w:r>
    </w:p>
    <w:p w14:paraId="22B4EEA3" w14:textId="66B1D3A8" w:rsidR="00000000" w:rsidRPr="0060384B" w:rsidRDefault="00FB45BD">
      <w:pPr>
        <w:spacing w:line="20" w:lineRule="exact"/>
        <w:rPr>
          <w:rFonts w:ascii="Lato" w:eastAsia="Times New Roman" w:hAnsi="Lato"/>
          <w:color w:val="000000" w:themeColor="text1"/>
          <w:sz w:val="24"/>
          <w:szCs w:val="24"/>
        </w:rPr>
      </w:pPr>
      <w:r w:rsidRPr="0060384B">
        <w:rPr>
          <w:rFonts w:ascii="Lato" w:hAnsi="Lato"/>
          <w:noProof/>
          <w:color w:val="000000" w:themeColor="text1"/>
          <w:sz w:val="24"/>
          <w:szCs w:val="24"/>
        </w:rPr>
        <w:drawing>
          <wp:anchor distT="0" distB="0" distL="114300" distR="114300" simplePos="0" relativeHeight="251658752" behindDoc="1" locked="0" layoutInCell="1" allowOverlap="1" wp14:anchorId="14C5CC49" wp14:editId="64B09E32">
            <wp:simplePos x="0" y="0"/>
            <wp:positionH relativeFrom="column">
              <wp:posOffset>3657600</wp:posOffset>
            </wp:positionH>
            <wp:positionV relativeFrom="paragraph">
              <wp:posOffset>-2777490</wp:posOffset>
            </wp:positionV>
            <wp:extent cx="2286000" cy="26352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86000" cy="2635250"/>
                    </a:xfrm>
                    <a:prstGeom prst="rect">
                      <a:avLst/>
                    </a:prstGeom>
                    <a:noFill/>
                  </pic:spPr>
                </pic:pic>
              </a:graphicData>
            </a:graphic>
            <wp14:sizeRelH relativeFrom="page">
              <wp14:pctWidth>0</wp14:pctWidth>
            </wp14:sizeRelH>
            <wp14:sizeRelV relativeFrom="page">
              <wp14:pctHeight>0</wp14:pctHeight>
            </wp14:sizeRelV>
          </wp:anchor>
        </w:drawing>
      </w:r>
    </w:p>
    <w:p w14:paraId="1233A7ED" w14:textId="77777777" w:rsidR="00000000" w:rsidRPr="0060384B" w:rsidRDefault="00CA5F6F">
      <w:pPr>
        <w:spacing w:line="242" w:lineRule="exact"/>
        <w:rPr>
          <w:rFonts w:ascii="Lato" w:eastAsia="Times New Roman" w:hAnsi="Lato"/>
          <w:color w:val="000000" w:themeColor="text1"/>
          <w:sz w:val="24"/>
          <w:szCs w:val="24"/>
        </w:rPr>
      </w:pPr>
    </w:p>
    <w:p w14:paraId="62BDF83A" w14:textId="77777777" w:rsidR="00000000" w:rsidRPr="0060384B" w:rsidRDefault="00CA5F6F">
      <w:pPr>
        <w:spacing w:line="243" w:lineRule="auto"/>
        <w:ind w:right="100"/>
        <w:rPr>
          <w:rFonts w:ascii="Lato" w:hAnsi="Lato"/>
          <w:color w:val="000000" w:themeColor="text1"/>
          <w:sz w:val="24"/>
          <w:szCs w:val="24"/>
        </w:rPr>
      </w:pPr>
      <w:r w:rsidRPr="0060384B">
        <w:rPr>
          <w:rFonts w:ascii="Lato" w:hAnsi="Lato"/>
          <w:color w:val="000000" w:themeColor="text1"/>
          <w:sz w:val="24"/>
          <w:szCs w:val="24"/>
        </w:rPr>
        <w:t>In 2019, we celebrate the 15th anniversary of the groundbreaking Alzheimer</w:t>
      </w:r>
      <w:r w:rsidRPr="0060384B">
        <w:rPr>
          <w:rFonts w:ascii="Lato" w:hAnsi="Lato"/>
          <w:color w:val="000000" w:themeColor="text1"/>
          <w:sz w:val="24"/>
          <w:szCs w:val="24"/>
        </w:rPr>
        <w:t>’</w:t>
      </w:r>
      <w:r w:rsidRPr="0060384B">
        <w:rPr>
          <w:rFonts w:ascii="Lato" w:hAnsi="Lato"/>
          <w:color w:val="000000" w:themeColor="text1"/>
          <w:sz w:val="24"/>
          <w:szCs w:val="24"/>
        </w:rPr>
        <w:t>s Disease Neuroimaging Initiative (ADNI). The first major public-private partnership in Alzheimer</w:t>
      </w:r>
      <w:r w:rsidRPr="0060384B">
        <w:rPr>
          <w:rFonts w:ascii="Lato" w:hAnsi="Lato"/>
          <w:color w:val="000000" w:themeColor="text1"/>
          <w:sz w:val="24"/>
          <w:szCs w:val="24"/>
        </w:rPr>
        <w:t>’s research, it fostered much of our early success in early detection and monitoring through brain imaging and biomarkers and continues to innovate. ADNI resea</w:t>
      </w:r>
      <w:r w:rsidRPr="0060384B">
        <w:rPr>
          <w:rFonts w:ascii="Lato" w:hAnsi="Lato"/>
          <w:color w:val="000000" w:themeColor="text1"/>
          <w:sz w:val="24"/>
          <w:szCs w:val="24"/>
        </w:rPr>
        <w:t>rchers were at the forefront of developing the ability to detect the signature proteins and brain changes associated with Alzheimer</w:t>
      </w:r>
      <w:r w:rsidRPr="0060384B">
        <w:rPr>
          <w:rFonts w:ascii="Lato" w:hAnsi="Lato"/>
          <w:color w:val="000000" w:themeColor="text1"/>
          <w:sz w:val="24"/>
          <w:szCs w:val="24"/>
        </w:rPr>
        <w:t>’s in images of the living brain and in cerebrospinal fluid (CSF). Its data-access policy continues to pioneer: To date, more</w:t>
      </w:r>
      <w:r w:rsidRPr="0060384B">
        <w:rPr>
          <w:rFonts w:ascii="Lato" w:hAnsi="Lato"/>
          <w:color w:val="000000" w:themeColor="text1"/>
          <w:sz w:val="24"/>
          <w:szCs w:val="24"/>
        </w:rPr>
        <w:t xml:space="preserve"> than 53 million data downloads from ADNI servers have been executed by investigators worldwide.</w:t>
      </w:r>
    </w:p>
    <w:p w14:paraId="2CE8ADB3" w14:textId="77777777" w:rsidR="00000000" w:rsidRPr="0060384B" w:rsidRDefault="00CA5F6F">
      <w:pPr>
        <w:spacing w:line="250" w:lineRule="exact"/>
        <w:rPr>
          <w:rFonts w:ascii="Lato" w:eastAsia="Times New Roman" w:hAnsi="Lato"/>
          <w:color w:val="000000" w:themeColor="text1"/>
          <w:sz w:val="24"/>
          <w:szCs w:val="24"/>
        </w:rPr>
      </w:pPr>
    </w:p>
    <w:p w14:paraId="755C83B1" w14:textId="77777777" w:rsidR="00000000" w:rsidRPr="0060384B" w:rsidRDefault="00CA5F6F">
      <w:pPr>
        <w:spacing w:line="242" w:lineRule="auto"/>
        <w:rPr>
          <w:rFonts w:ascii="Lato" w:hAnsi="Lato"/>
          <w:color w:val="000000" w:themeColor="text1"/>
          <w:sz w:val="24"/>
          <w:szCs w:val="24"/>
        </w:rPr>
      </w:pPr>
      <w:r w:rsidRPr="0060384B">
        <w:rPr>
          <w:rFonts w:ascii="Lato" w:hAnsi="Lato"/>
          <w:color w:val="000000" w:themeColor="text1"/>
          <w:sz w:val="24"/>
          <w:szCs w:val="24"/>
        </w:rPr>
        <w:t>In 2018, ongoing work by ADNI investigators and others led to the NIA-Alzheimer</w:t>
      </w:r>
      <w:r w:rsidRPr="0060384B">
        <w:rPr>
          <w:rFonts w:ascii="Lato" w:hAnsi="Lato"/>
          <w:color w:val="000000" w:themeColor="text1"/>
          <w:sz w:val="24"/>
          <w:szCs w:val="24"/>
        </w:rPr>
        <w:t>’s Association Research Framework: Toward a Biological Definition of Alzheimer</w:t>
      </w:r>
      <w:r w:rsidRPr="0060384B">
        <w:rPr>
          <w:rFonts w:ascii="Lato" w:hAnsi="Lato"/>
          <w:color w:val="000000" w:themeColor="text1"/>
          <w:sz w:val="24"/>
          <w:szCs w:val="24"/>
        </w:rPr>
        <w:t>’</w:t>
      </w:r>
      <w:r w:rsidRPr="0060384B">
        <w:rPr>
          <w:rFonts w:ascii="Lato" w:hAnsi="Lato"/>
          <w:color w:val="000000" w:themeColor="text1"/>
          <w:sz w:val="24"/>
          <w:szCs w:val="24"/>
        </w:rPr>
        <w:t>s Disease. The framework aims to facilitate better understanding of the disease process and the sequence of events that leads to cognitive impairment and dementia (</w:t>
      </w:r>
      <w:hyperlink r:id="rId169" w:history="1">
        <w:r w:rsidRPr="0060384B">
          <w:rPr>
            <w:rFonts w:ascii="Lato" w:hAnsi="Lato"/>
            <w:color w:val="000000" w:themeColor="text1"/>
            <w:sz w:val="24"/>
            <w:szCs w:val="24"/>
          </w:rPr>
          <w:t>Jack et al., 2018</w:t>
        </w:r>
      </w:hyperlink>
      <w:r w:rsidRPr="0060384B">
        <w:rPr>
          <w:rFonts w:ascii="Lato" w:hAnsi="Lato"/>
          <w:color w:val="000000" w:themeColor="text1"/>
          <w:sz w:val="24"/>
          <w:szCs w:val="24"/>
        </w:rPr>
        <w:t>). Focusing on</w:t>
      </w:r>
      <w:r w:rsidRPr="0060384B">
        <w:rPr>
          <w:rFonts w:ascii="Lato" w:hAnsi="Lato"/>
          <w:color w:val="000000" w:themeColor="text1"/>
          <w:sz w:val="24"/>
          <w:szCs w:val="24"/>
        </w:rPr>
        <w:t xml:space="preserve"> biological or physical targets, the Framework team reasoned, would lead to a more precise and faster approach to testing drug and other interventions. Its common language regarding how different stages of the disease are measured should allow studies to b</w:t>
      </w:r>
      <w:r w:rsidRPr="0060384B">
        <w:rPr>
          <w:rFonts w:ascii="Lato" w:hAnsi="Lato"/>
          <w:color w:val="000000" w:themeColor="text1"/>
          <w:sz w:val="24"/>
          <w:szCs w:val="24"/>
        </w:rPr>
        <w:t>e compared more easily and to be presented more clearly to the medical field and public. Ultimately, several of these measures may be useful for diagnosing pathological Alzheimer</w:t>
      </w:r>
      <w:r w:rsidRPr="0060384B">
        <w:rPr>
          <w:rFonts w:ascii="Lato" w:hAnsi="Lato"/>
          <w:color w:val="000000" w:themeColor="text1"/>
          <w:sz w:val="24"/>
          <w:szCs w:val="24"/>
        </w:rPr>
        <w:t>’s disease during life</w:t>
      </w:r>
      <w:r w:rsidRPr="0060384B">
        <w:rPr>
          <w:rFonts w:ascii="Lato" w:hAnsi="Lato"/>
          <w:color w:val="000000" w:themeColor="text1"/>
          <w:sz w:val="24"/>
          <w:szCs w:val="24"/>
        </w:rPr>
        <w:t>—much like cholesterol, for example, is a marker for hea</w:t>
      </w:r>
      <w:r w:rsidRPr="0060384B">
        <w:rPr>
          <w:rFonts w:ascii="Lato" w:hAnsi="Lato"/>
          <w:color w:val="000000" w:themeColor="text1"/>
          <w:sz w:val="24"/>
          <w:szCs w:val="24"/>
        </w:rPr>
        <w:t>rt disease.</w:t>
      </w:r>
    </w:p>
    <w:p w14:paraId="79350B11" w14:textId="77777777" w:rsidR="00000000" w:rsidRPr="0060384B" w:rsidRDefault="00CA5F6F">
      <w:pPr>
        <w:spacing w:line="257" w:lineRule="exact"/>
        <w:rPr>
          <w:rFonts w:ascii="Lato" w:eastAsia="Times New Roman" w:hAnsi="Lato"/>
          <w:color w:val="000000" w:themeColor="text1"/>
          <w:sz w:val="24"/>
          <w:szCs w:val="24"/>
        </w:rPr>
      </w:pPr>
    </w:p>
    <w:p w14:paraId="02F68F6E" w14:textId="77777777" w:rsidR="00000000" w:rsidRPr="0060384B" w:rsidRDefault="00CA5F6F">
      <w:pPr>
        <w:spacing w:line="243" w:lineRule="auto"/>
        <w:ind w:right="220"/>
        <w:rPr>
          <w:rFonts w:ascii="Lato" w:hAnsi="Lato"/>
          <w:color w:val="000000" w:themeColor="text1"/>
          <w:sz w:val="24"/>
          <w:szCs w:val="24"/>
        </w:rPr>
      </w:pPr>
      <w:r w:rsidRPr="0060384B">
        <w:rPr>
          <w:rFonts w:ascii="Lato" w:hAnsi="Lato"/>
          <w:color w:val="000000" w:themeColor="text1"/>
          <w:sz w:val="24"/>
          <w:szCs w:val="24"/>
        </w:rPr>
        <w:t xml:space="preserve">Capturing the earliest </w:t>
      </w:r>
      <w:r w:rsidRPr="0060384B">
        <w:rPr>
          <w:rFonts w:ascii="Lato" w:hAnsi="Lato"/>
          <w:color w:val="000000" w:themeColor="text1"/>
          <w:sz w:val="24"/>
          <w:szCs w:val="24"/>
        </w:rPr>
        <w:t>clinical</w:t>
      </w:r>
      <w:r w:rsidRPr="0060384B">
        <w:rPr>
          <w:rFonts w:ascii="Lato" w:hAnsi="Lato"/>
          <w:color w:val="000000" w:themeColor="text1"/>
          <w:sz w:val="24"/>
          <w:szCs w:val="24"/>
        </w:rPr>
        <w:t xml:space="preserve"> signs of Alzheimer</w:t>
      </w:r>
      <w:r w:rsidRPr="0060384B">
        <w:rPr>
          <w:rFonts w:ascii="Lato" w:hAnsi="Lato"/>
          <w:color w:val="000000" w:themeColor="text1"/>
          <w:sz w:val="24"/>
          <w:szCs w:val="24"/>
        </w:rPr>
        <w:t>’s and related dementias is also a priority. The National Institutes of Health (NIH) is launching a number of programs and projects to develop and validate more sensitive neuropsychological and</w:t>
      </w:r>
      <w:r w:rsidRPr="0060384B">
        <w:rPr>
          <w:rFonts w:ascii="Lato" w:hAnsi="Lato"/>
          <w:color w:val="000000" w:themeColor="text1"/>
          <w:sz w:val="24"/>
          <w:szCs w:val="24"/>
        </w:rPr>
        <w:t xml:space="preserve"> behavioral assessments, including the extension of ongoing research on social and emotional functioning and decision-making in normal aging, mild cognitive impairment (MCI), and Alzheimer</w:t>
      </w:r>
      <w:r w:rsidRPr="0060384B">
        <w:rPr>
          <w:rFonts w:ascii="Lato" w:hAnsi="Lato"/>
          <w:color w:val="000000" w:themeColor="text1"/>
          <w:sz w:val="24"/>
          <w:szCs w:val="24"/>
        </w:rPr>
        <w:t>’s disease to identify early behavioral markers of disease. These do</w:t>
      </w:r>
      <w:r w:rsidRPr="0060384B">
        <w:rPr>
          <w:rFonts w:ascii="Lato" w:hAnsi="Lato"/>
          <w:color w:val="000000" w:themeColor="text1"/>
          <w:sz w:val="24"/>
          <w:szCs w:val="24"/>
        </w:rPr>
        <w:t xml:space="preserve">mains of functioning may also be candidates for assessment using </w:t>
      </w:r>
      <w:r w:rsidRPr="0060384B">
        <w:rPr>
          <w:rFonts w:ascii="Lato" w:hAnsi="Lato"/>
          <w:color w:val="000000" w:themeColor="text1"/>
          <w:sz w:val="24"/>
          <w:szCs w:val="24"/>
        </w:rPr>
        <w:t>“digital</w:t>
      </w:r>
      <w:r w:rsidRPr="0060384B">
        <w:rPr>
          <w:rFonts w:ascii="Lato" w:hAnsi="Lato"/>
          <w:color w:val="000000" w:themeColor="text1"/>
          <w:sz w:val="24"/>
          <w:szCs w:val="24"/>
        </w:rPr>
        <w:t>” biomarkers. There are also efforts underway to explore whether</w:t>
      </w:r>
    </w:p>
    <w:p w14:paraId="47E91300" w14:textId="77777777" w:rsidR="00000000" w:rsidRPr="0060384B" w:rsidRDefault="00CA5F6F">
      <w:pPr>
        <w:spacing w:line="243" w:lineRule="auto"/>
        <w:ind w:right="220"/>
        <w:rPr>
          <w:rFonts w:ascii="Lato" w:hAnsi="Lato"/>
          <w:color w:val="000000" w:themeColor="text1"/>
          <w:sz w:val="24"/>
          <w:szCs w:val="24"/>
        </w:rPr>
        <w:sectPr w:rsidR="00000000" w:rsidRPr="0060384B">
          <w:pgSz w:w="12240" w:h="15840"/>
          <w:pgMar w:top="1125" w:right="1440" w:bottom="0" w:left="1440" w:header="0" w:footer="0" w:gutter="0"/>
          <w:cols w:space="0" w:equalWidth="0">
            <w:col w:w="9360"/>
          </w:cols>
          <w:docGrid w:linePitch="360"/>
        </w:sectPr>
      </w:pPr>
    </w:p>
    <w:p w14:paraId="538ACF00" w14:textId="77777777" w:rsidR="00000000" w:rsidRPr="0060384B" w:rsidRDefault="00CA5F6F">
      <w:pPr>
        <w:spacing w:line="200" w:lineRule="exact"/>
        <w:rPr>
          <w:rFonts w:ascii="Lato" w:eastAsia="Times New Roman" w:hAnsi="Lato"/>
          <w:color w:val="000000" w:themeColor="text1"/>
          <w:sz w:val="24"/>
          <w:szCs w:val="24"/>
        </w:rPr>
      </w:pPr>
    </w:p>
    <w:p w14:paraId="0F342857" w14:textId="77777777" w:rsidR="00000000" w:rsidRPr="0060384B" w:rsidRDefault="00CA5F6F">
      <w:pPr>
        <w:spacing w:line="317"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2FD56E37" w14:textId="77777777">
        <w:trPr>
          <w:trHeight w:val="245"/>
        </w:trPr>
        <w:tc>
          <w:tcPr>
            <w:tcW w:w="6540" w:type="dxa"/>
            <w:shd w:val="clear" w:color="auto" w:fill="auto"/>
            <w:vAlign w:val="bottom"/>
          </w:tcPr>
          <w:p w14:paraId="5EFC5650"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11882A8F"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45</w:t>
            </w:r>
          </w:p>
        </w:tc>
      </w:tr>
      <w:tr w:rsidR="00000000" w:rsidRPr="0060384B" w14:paraId="64C971ED" w14:textId="77777777">
        <w:trPr>
          <w:trHeight w:val="258"/>
        </w:trPr>
        <w:tc>
          <w:tcPr>
            <w:tcW w:w="6540" w:type="dxa"/>
            <w:shd w:val="clear" w:color="auto" w:fill="auto"/>
            <w:vAlign w:val="bottom"/>
          </w:tcPr>
          <w:p w14:paraId="29F20BA6"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NIH Bypass Budget Proposal for Fiscal Year 2021</w:t>
            </w:r>
          </w:p>
        </w:tc>
        <w:tc>
          <w:tcPr>
            <w:tcW w:w="2820" w:type="dxa"/>
            <w:shd w:val="clear" w:color="auto" w:fill="auto"/>
            <w:vAlign w:val="bottom"/>
          </w:tcPr>
          <w:p w14:paraId="45B5A6B6" w14:textId="77777777" w:rsidR="00000000" w:rsidRPr="0060384B" w:rsidRDefault="00CA5F6F">
            <w:pPr>
              <w:spacing w:line="0" w:lineRule="atLeast"/>
              <w:rPr>
                <w:rFonts w:ascii="Lato" w:eastAsia="Times New Roman" w:hAnsi="Lato"/>
                <w:color w:val="000000" w:themeColor="text1"/>
                <w:sz w:val="24"/>
                <w:szCs w:val="24"/>
              </w:rPr>
            </w:pPr>
          </w:p>
        </w:tc>
      </w:tr>
    </w:tbl>
    <w:p w14:paraId="1F247AD3"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25" w:right="1440" w:bottom="0" w:left="1440" w:header="0" w:footer="0" w:gutter="0"/>
          <w:cols w:space="0" w:equalWidth="0">
            <w:col w:w="9360"/>
          </w:cols>
          <w:docGrid w:linePitch="360"/>
        </w:sectPr>
      </w:pPr>
    </w:p>
    <w:p w14:paraId="5588AF71" w14:textId="77777777" w:rsidR="00000000" w:rsidRPr="0060384B" w:rsidRDefault="00CA5F6F">
      <w:pPr>
        <w:spacing w:line="262" w:lineRule="auto"/>
        <w:ind w:right="200"/>
        <w:rPr>
          <w:rFonts w:ascii="Lato" w:hAnsi="Lato"/>
          <w:color w:val="000000" w:themeColor="text1"/>
          <w:sz w:val="24"/>
          <w:szCs w:val="24"/>
        </w:rPr>
      </w:pPr>
      <w:bookmarkStart w:id="48" w:name="page49"/>
      <w:bookmarkEnd w:id="48"/>
      <w:r w:rsidRPr="0060384B">
        <w:rPr>
          <w:rFonts w:ascii="Lato" w:hAnsi="Lato"/>
          <w:color w:val="000000" w:themeColor="text1"/>
          <w:sz w:val="24"/>
          <w:szCs w:val="24"/>
        </w:rPr>
        <w:lastRenderedPageBreak/>
        <w:t>accelerated aging processes in periphera</w:t>
      </w:r>
      <w:r w:rsidRPr="0060384B">
        <w:rPr>
          <w:rFonts w:ascii="Lato" w:hAnsi="Lato"/>
          <w:color w:val="000000" w:themeColor="text1"/>
          <w:sz w:val="24"/>
          <w:szCs w:val="24"/>
        </w:rPr>
        <w:t>l systems may be an early warning sign of Alzheimer</w:t>
      </w:r>
      <w:r w:rsidRPr="0060384B">
        <w:rPr>
          <w:rFonts w:ascii="Lato" w:hAnsi="Lato"/>
          <w:color w:val="000000" w:themeColor="text1"/>
          <w:sz w:val="24"/>
          <w:szCs w:val="24"/>
        </w:rPr>
        <w:t>’s risk.</w:t>
      </w:r>
    </w:p>
    <w:p w14:paraId="77BF6421" w14:textId="77777777" w:rsidR="00000000" w:rsidRPr="0060384B" w:rsidRDefault="00CA5F6F">
      <w:pPr>
        <w:spacing w:line="220" w:lineRule="exact"/>
        <w:rPr>
          <w:rFonts w:ascii="Lato" w:eastAsia="Times New Roman" w:hAnsi="Lato"/>
          <w:color w:val="000000" w:themeColor="text1"/>
          <w:sz w:val="24"/>
          <w:szCs w:val="24"/>
        </w:rPr>
      </w:pPr>
    </w:p>
    <w:p w14:paraId="04713D47"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Discerning Differences in Biomarkers in Diverse Populations</w:t>
      </w:r>
    </w:p>
    <w:p w14:paraId="074886DE" w14:textId="77777777" w:rsidR="00000000" w:rsidRPr="0060384B" w:rsidRDefault="00CA5F6F">
      <w:pPr>
        <w:spacing w:line="287" w:lineRule="exact"/>
        <w:rPr>
          <w:rFonts w:ascii="Lato" w:eastAsia="Times New Roman" w:hAnsi="Lato"/>
          <w:color w:val="000000" w:themeColor="text1"/>
          <w:sz w:val="24"/>
          <w:szCs w:val="24"/>
        </w:rPr>
      </w:pPr>
    </w:p>
    <w:p w14:paraId="046A9D5D" w14:textId="77777777" w:rsidR="00000000" w:rsidRPr="0060384B" w:rsidRDefault="00CA5F6F">
      <w:pPr>
        <w:spacing w:line="245" w:lineRule="auto"/>
        <w:ind w:right="20"/>
        <w:rPr>
          <w:rFonts w:ascii="Lato" w:hAnsi="Lato"/>
          <w:color w:val="000000" w:themeColor="text1"/>
          <w:sz w:val="24"/>
          <w:szCs w:val="24"/>
        </w:rPr>
      </w:pPr>
      <w:r w:rsidRPr="0060384B">
        <w:rPr>
          <w:rFonts w:ascii="Lato" w:hAnsi="Lato"/>
          <w:color w:val="000000" w:themeColor="text1"/>
          <w:sz w:val="24"/>
          <w:szCs w:val="24"/>
        </w:rPr>
        <w:t>It is critically important that efforts to discover and validate biomarkers pay greater attention to their application in diverse popu</w:t>
      </w:r>
      <w:r w:rsidRPr="0060384B">
        <w:rPr>
          <w:rFonts w:ascii="Lato" w:hAnsi="Lato"/>
          <w:color w:val="000000" w:themeColor="text1"/>
          <w:sz w:val="24"/>
          <w:szCs w:val="24"/>
        </w:rPr>
        <w:t>lations. For NIH, addressing diversity is a high priority. With growing evidence of different biological mechanisms when considering race and Alzheimer</w:t>
      </w:r>
      <w:r w:rsidRPr="0060384B">
        <w:rPr>
          <w:rFonts w:ascii="Lato" w:hAnsi="Lato"/>
          <w:color w:val="000000" w:themeColor="text1"/>
          <w:sz w:val="24"/>
          <w:szCs w:val="24"/>
        </w:rPr>
        <w:t>’s, for example, research is intensifying in this area. A new effort was recently launched to recruit and</w:t>
      </w:r>
      <w:r w:rsidRPr="0060384B">
        <w:rPr>
          <w:rFonts w:ascii="Lato" w:hAnsi="Lato"/>
          <w:color w:val="000000" w:themeColor="text1"/>
          <w:sz w:val="24"/>
          <w:szCs w:val="24"/>
        </w:rPr>
        <w:t xml:space="preserve"> retain a diverse group of scientists and study participants for future research.</w:t>
      </w:r>
    </w:p>
    <w:p w14:paraId="09239A6E" w14:textId="77777777" w:rsidR="00000000" w:rsidRPr="0060384B" w:rsidRDefault="00CA5F6F">
      <w:pPr>
        <w:spacing w:line="249" w:lineRule="exact"/>
        <w:rPr>
          <w:rFonts w:ascii="Lato" w:eastAsia="Times New Roman" w:hAnsi="Lato"/>
          <w:color w:val="000000" w:themeColor="text1"/>
          <w:sz w:val="24"/>
          <w:szCs w:val="24"/>
        </w:rPr>
      </w:pPr>
    </w:p>
    <w:p w14:paraId="35E836CB" w14:textId="77777777" w:rsidR="00000000" w:rsidRPr="0060384B" w:rsidRDefault="00CA5F6F">
      <w:pPr>
        <w:spacing w:line="242" w:lineRule="auto"/>
        <w:ind w:right="20"/>
        <w:rPr>
          <w:rFonts w:ascii="Lato" w:hAnsi="Lato"/>
          <w:color w:val="000000" w:themeColor="text1"/>
          <w:sz w:val="24"/>
          <w:szCs w:val="24"/>
        </w:rPr>
      </w:pPr>
      <w:r w:rsidRPr="0060384B">
        <w:rPr>
          <w:rFonts w:ascii="Lato" w:hAnsi="Lato"/>
          <w:color w:val="000000" w:themeColor="text1"/>
          <w:sz w:val="24"/>
          <w:szCs w:val="24"/>
        </w:rPr>
        <w:t>In one recent report (</w:t>
      </w:r>
      <w:hyperlink r:id="rId170" w:history="1">
        <w:r w:rsidRPr="0060384B">
          <w:rPr>
            <w:rFonts w:ascii="Lato" w:hAnsi="Lato"/>
            <w:color w:val="000000" w:themeColor="text1"/>
            <w:sz w:val="24"/>
            <w:szCs w:val="24"/>
          </w:rPr>
          <w:t>Morris et al., 2019</w:t>
        </w:r>
      </w:hyperlink>
      <w:r w:rsidRPr="0060384B">
        <w:rPr>
          <w:rFonts w:ascii="Lato" w:hAnsi="Lato"/>
          <w:color w:val="000000" w:themeColor="text1"/>
          <w:sz w:val="24"/>
          <w:szCs w:val="24"/>
        </w:rPr>
        <w:t>), scientists funded by NIH found differences in some biological marker</w:t>
      </w:r>
      <w:r w:rsidRPr="0060384B">
        <w:rPr>
          <w:rFonts w:ascii="Lato" w:hAnsi="Lato"/>
          <w:color w:val="000000" w:themeColor="text1"/>
          <w:sz w:val="24"/>
          <w:szCs w:val="24"/>
        </w:rPr>
        <w:t>s underlying Alzheimer</w:t>
      </w:r>
      <w:r w:rsidRPr="0060384B">
        <w:rPr>
          <w:rFonts w:ascii="Lato" w:hAnsi="Lato"/>
          <w:color w:val="000000" w:themeColor="text1"/>
          <w:sz w:val="24"/>
          <w:szCs w:val="24"/>
        </w:rPr>
        <w:t>’s disease in African Americans and non-Hispanic whites. Using the largest set of fluid biomarker data from African Americans to date, investigators looked at biomarker data in people enrolled in studies in which two-thirds of both Af</w:t>
      </w:r>
      <w:r w:rsidRPr="0060384B">
        <w:rPr>
          <w:rFonts w:ascii="Lato" w:hAnsi="Lato"/>
          <w:color w:val="000000" w:themeColor="text1"/>
          <w:sz w:val="24"/>
          <w:szCs w:val="24"/>
        </w:rPr>
        <w:t>rican American and white participants had normal cognition, and the rest were mildly impaired. All had undergone at least one Alzheimer</w:t>
      </w:r>
      <w:r w:rsidRPr="0060384B">
        <w:rPr>
          <w:rFonts w:ascii="Lato" w:hAnsi="Lato"/>
          <w:color w:val="000000" w:themeColor="text1"/>
          <w:sz w:val="24"/>
          <w:szCs w:val="24"/>
        </w:rPr>
        <w:t xml:space="preserve">’s biomarker test, including brain scans to measure brain shrinkage and harmful forms of the amyloid protein, as well as </w:t>
      </w:r>
      <w:r w:rsidRPr="0060384B">
        <w:rPr>
          <w:rFonts w:ascii="Lato" w:hAnsi="Lato"/>
          <w:color w:val="000000" w:themeColor="text1"/>
          <w:sz w:val="24"/>
          <w:szCs w:val="24"/>
        </w:rPr>
        <w:t>lumbar punctures to collect CSF, which reveals levels of amyloid and another protein, tau, indicating the disease processes.</w:t>
      </w:r>
    </w:p>
    <w:p w14:paraId="288AD281" w14:textId="77777777" w:rsidR="00000000" w:rsidRPr="0060384B" w:rsidRDefault="00CA5F6F">
      <w:pPr>
        <w:spacing w:line="257" w:lineRule="exact"/>
        <w:rPr>
          <w:rFonts w:ascii="Lato" w:eastAsia="Times New Roman" w:hAnsi="Lato"/>
          <w:color w:val="000000" w:themeColor="text1"/>
          <w:sz w:val="24"/>
          <w:szCs w:val="24"/>
        </w:rPr>
      </w:pPr>
    </w:p>
    <w:p w14:paraId="70BA60A6" w14:textId="77777777" w:rsidR="00000000" w:rsidRPr="0060384B" w:rsidRDefault="00CA5F6F">
      <w:pPr>
        <w:spacing w:line="242" w:lineRule="auto"/>
        <w:ind w:right="60"/>
        <w:rPr>
          <w:rFonts w:ascii="Lato" w:eastAsia="Times New Roman" w:hAnsi="Lato"/>
          <w:color w:val="000000" w:themeColor="text1"/>
          <w:sz w:val="24"/>
          <w:szCs w:val="24"/>
        </w:rPr>
      </w:pPr>
      <w:r w:rsidRPr="0060384B">
        <w:rPr>
          <w:rFonts w:ascii="Lato" w:hAnsi="Lato"/>
          <w:color w:val="000000" w:themeColor="text1"/>
          <w:sz w:val="24"/>
          <w:szCs w:val="24"/>
        </w:rPr>
        <w:t>Although there were no differences between African Americans and whites on some measures, including amyloid levels in the brain an</w:t>
      </w:r>
      <w:r w:rsidRPr="0060384B">
        <w:rPr>
          <w:rFonts w:ascii="Lato" w:hAnsi="Lato"/>
          <w:color w:val="000000" w:themeColor="text1"/>
          <w:sz w:val="24"/>
          <w:szCs w:val="24"/>
        </w:rPr>
        <w:t>d CSF, other test results showed African Americans with a family history of dementia had a smaller hippocampus, a brain structure important for learning and memory, and that they had significantly lower levels of tau in CSF than whites when both had the AP</w:t>
      </w:r>
      <w:r w:rsidRPr="0060384B">
        <w:rPr>
          <w:rFonts w:ascii="Lato" w:hAnsi="Lato"/>
          <w:color w:val="000000" w:themeColor="text1"/>
          <w:sz w:val="24"/>
          <w:szCs w:val="24"/>
        </w:rPr>
        <w:t xml:space="preserve">OE </w:t>
      </w:r>
      <w:r w:rsidRPr="0060384B">
        <w:rPr>
          <w:rFonts w:ascii="Arial" w:hAnsi="Arial"/>
          <w:color w:val="000000" w:themeColor="text1"/>
          <w:sz w:val="24"/>
          <w:szCs w:val="24"/>
        </w:rPr>
        <w:t>ɛ</w:t>
      </w:r>
      <w:r w:rsidRPr="0060384B">
        <w:rPr>
          <w:rFonts w:ascii="Lato" w:hAnsi="Lato"/>
          <w:color w:val="000000" w:themeColor="text1"/>
          <w:sz w:val="24"/>
          <w:szCs w:val="24"/>
        </w:rPr>
        <w:t>4 gene form, a genetic risk factor for Alzheimer</w:t>
      </w:r>
      <w:r w:rsidRPr="0060384B">
        <w:rPr>
          <w:rFonts w:ascii="Lato" w:hAnsi="Lato"/>
          <w:color w:val="000000" w:themeColor="text1"/>
          <w:sz w:val="24"/>
          <w:szCs w:val="24"/>
        </w:rPr>
        <w:t>’s. Generally, lower tau</w:t>
      </w:r>
      <w:r w:rsidRPr="0060384B">
        <w:rPr>
          <w:rFonts w:ascii="Lato" w:hAnsi="Lato"/>
          <w:color w:val="000000" w:themeColor="text1"/>
          <w:sz w:val="24"/>
          <w:szCs w:val="24"/>
        </w:rPr>
        <w:t>—which forms damaging tangles inside neurons</w:t>
      </w:r>
      <w:r w:rsidRPr="0060384B">
        <w:rPr>
          <w:rFonts w:ascii="Lato" w:hAnsi="Lato"/>
          <w:color w:val="000000" w:themeColor="text1"/>
          <w:sz w:val="24"/>
          <w:szCs w:val="24"/>
        </w:rPr>
        <w:t>—means a person is less likely to be cognitively impaired, but African Americans were just as impaired as whites. The researchers sugges</w:t>
      </w:r>
      <w:r w:rsidRPr="0060384B">
        <w:rPr>
          <w:rFonts w:ascii="Lato" w:hAnsi="Lato"/>
          <w:color w:val="000000" w:themeColor="text1"/>
          <w:sz w:val="24"/>
          <w:szCs w:val="24"/>
        </w:rPr>
        <w:t xml:space="preserve">ted it was possible that CSF tau levels found to be abnormal in whites are not abnormal in African Americans because APOE </w:t>
      </w:r>
      <w:r w:rsidRPr="0060384B">
        <w:rPr>
          <w:rFonts w:ascii="Arial" w:hAnsi="Arial"/>
          <w:color w:val="000000" w:themeColor="text1"/>
          <w:sz w:val="24"/>
          <w:szCs w:val="24"/>
        </w:rPr>
        <w:t>ɛ</w:t>
      </w:r>
      <w:r w:rsidRPr="0060384B">
        <w:rPr>
          <w:rFonts w:ascii="Lato" w:hAnsi="Lato"/>
          <w:color w:val="000000" w:themeColor="text1"/>
          <w:sz w:val="24"/>
          <w:szCs w:val="24"/>
        </w:rPr>
        <w:t>4 exerts a weaker effect in African Americans. The authors concluded that racial differences in Alzheimer</w:t>
      </w:r>
      <w:r w:rsidRPr="0060384B">
        <w:rPr>
          <w:rFonts w:ascii="Lato" w:hAnsi="Lato"/>
          <w:color w:val="000000" w:themeColor="text1"/>
          <w:sz w:val="24"/>
          <w:szCs w:val="24"/>
        </w:rPr>
        <w:t>’s biomarkers suggest possib</w:t>
      </w:r>
      <w:r w:rsidRPr="0060384B">
        <w:rPr>
          <w:rFonts w:ascii="Lato" w:hAnsi="Lato"/>
          <w:color w:val="000000" w:themeColor="text1"/>
          <w:sz w:val="24"/>
          <w:szCs w:val="24"/>
        </w:rPr>
        <w:t>le race-dependent biological mechanisms that contribute to expression of disease</w:t>
      </w:r>
      <w:r w:rsidRPr="0060384B">
        <w:rPr>
          <w:rFonts w:ascii="Lato" w:eastAsia="Times New Roman" w:hAnsi="Lato"/>
          <w:color w:val="000000" w:themeColor="text1"/>
          <w:sz w:val="24"/>
          <w:szCs w:val="24"/>
        </w:rPr>
        <w:t>.</w:t>
      </w:r>
    </w:p>
    <w:p w14:paraId="391AAC94" w14:textId="77777777" w:rsidR="00000000" w:rsidRPr="0060384B" w:rsidRDefault="00CA5F6F">
      <w:pPr>
        <w:spacing w:line="254" w:lineRule="exact"/>
        <w:rPr>
          <w:rFonts w:ascii="Lato" w:eastAsia="Times New Roman" w:hAnsi="Lato"/>
          <w:color w:val="000000" w:themeColor="text1"/>
          <w:sz w:val="24"/>
          <w:szCs w:val="24"/>
        </w:rPr>
      </w:pPr>
    </w:p>
    <w:p w14:paraId="4F5B6F60" w14:textId="77777777" w:rsidR="00000000" w:rsidRPr="0060384B" w:rsidRDefault="00CA5F6F">
      <w:pPr>
        <w:spacing w:line="244" w:lineRule="auto"/>
        <w:ind w:right="220"/>
        <w:rPr>
          <w:rFonts w:ascii="Lato" w:hAnsi="Lato"/>
          <w:color w:val="000000" w:themeColor="text1"/>
          <w:sz w:val="24"/>
          <w:szCs w:val="24"/>
        </w:rPr>
      </w:pPr>
      <w:r w:rsidRPr="0060384B">
        <w:rPr>
          <w:rFonts w:ascii="Lato" w:hAnsi="Lato"/>
          <w:color w:val="000000" w:themeColor="text1"/>
          <w:sz w:val="24"/>
          <w:szCs w:val="24"/>
        </w:rPr>
        <w:t xml:space="preserve">The research team and an accompanying editorial </w:t>
      </w:r>
      <w:hyperlink r:id="rId171" w:history="1">
        <w:r w:rsidRPr="0060384B">
          <w:rPr>
            <w:rFonts w:ascii="Lato" w:hAnsi="Lato"/>
            <w:color w:val="000000" w:themeColor="text1"/>
            <w:sz w:val="24"/>
            <w:szCs w:val="24"/>
          </w:rPr>
          <w:t>(</w:t>
        </w:r>
        <w:r w:rsidRPr="0060384B">
          <w:rPr>
            <w:rFonts w:ascii="Lato" w:hAnsi="Lato"/>
            <w:color w:val="000000" w:themeColor="text1"/>
            <w:sz w:val="24"/>
            <w:szCs w:val="24"/>
          </w:rPr>
          <w:t>Barnes, 2019</w:t>
        </w:r>
      </w:hyperlink>
      <w:r w:rsidRPr="0060384B">
        <w:rPr>
          <w:rFonts w:ascii="Lato" w:hAnsi="Lato"/>
          <w:color w:val="000000" w:themeColor="text1"/>
          <w:sz w:val="24"/>
          <w:szCs w:val="24"/>
        </w:rPr>
        <w:t>) pointed to future considerations for studies in t</w:t>
      </w:r>
      <w:r w:rsidRPr="0060384B">
        <w:rPr>
          <w:rFonts w:ascii="Lato" w:hAnsi="Lato"/>
          <w:color w:val="000000" w:themeColor="text1"/>
          <w:sz w:val="24"/>
          <w:szCs w:val="24"/>
        </w:rPr>
        <w:t xml:space="preserve">his area. They suggested considering the influence of other diseases and social factors, such as discrimination and education. They also noted a need to combine data from several centers and projects to generate larger samples because there are relatively </w:t>
      </w:r>
      <w:r w:rsidRPr="0060384B">
        <w:rPr>
          <w:rFonts w:ascii="Lato" w:hAnsi="Lato"/>
          <w:color w:val="000000" w:themeColor="text1"/>
          <w:sz w:val="24"/>
          <w:szCs w:val="24"/>
        </w:rPr>
        <w:t>few lumbar puncture results for CSF from African Americans, who are underrepresented in research.</w:t>
      </w:r>
    </w:p>
    <w:p w14:paraId="01CC85E7" w14:textId="77777777" w:rsidR="00000000" w:rsidRPr="0060384B" w:rsidRDefault="00CA5F6F">
      <w:pPr>
        <w:spacing w:line="243" w:lineRule="exact"/>
        <w:rPr>
          <w:rFonts w:ascii="Lato" w:eastAsia="Times New Roman" w:hAnsi="Lato"/>
          <w:color w:val="000000" w:themeColor="text1"/>
          <w:sz w:val="24"/>
          <w:szCs w:val="24"/>
        </w:rPr>
      </w:pPr>
    </w:p>
    <w:p w14:paraId="1E39A219"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Brain Changes Seen Through Imaging May Be Early Biomarkers for Disease</w:t>
      </w:r>
    </w:p>
    <w:p w14:paraId="240C4EE3" w14:textId="77777777" w:rsidR="00000000" w:rsidRPr="0060384B" w:rsidRDefault="00CA5F6F">
      <w:pPr>
        <w:spacing w:line="284" w:lineRule="exact"/>
        <w:rPr>
          <w:rFonts w:ascii="Lato" w:eastAsia="Times New Roman" w:hAnsi="Lato"/>
          <w:color w:val="000000" w:themeColor="text1"/>
          <w:sz w:val="24"/>
          <w:szCs w:val="24"/>
        </w:rPr>
      </w:pPr>
    </w:p>
    <w:p w14:paraId="073B0E9E" w14:textId="77777777" w:rsidR="00000000" w:rsidRPr="0060384B" w:rsidRDefault="00CA5F6F">
      <w:pPr>
        <w:spacing w:line="262" w:lineRule="auto"/>
        <w:ind w:right="100"/>
        <w:rPr>
          <w:rFonts w:ascii="Lato" w:hAnsi="Lato"/>
          <w:color w:val="000000" w:themeColor="text1"/>
          <w:sz w:val="24"/>
          <w:szCs w:val="24"/>
        </w:rPr>
      </w:pPr>
      <w:r w:rsidRPr="0060384B">
        <w:rPr>
          <w:rFonts w:ascii="Lato" w:hAnsi="Lato"/>
          <w:b/>
          <w:color w:val="000000" w:themeColor="text1"/>
          <w:sz w:val="24"/>
          <w:szCs w:val="24"/>
        </w:rPr>
        <w:t>Measuring synaptic loss to track disease</w:t>
      </w:r>
      <w:r w:rsidRPr="0060384B">
        <w:rPr>
          <w:rFonts w:ascii="Lato" w:hAnsi="Lato"/>
          <w:color w:val="000000" w:themeColor="text1"/>
          <w:sz w:val="24"/>
          <w:szCs w:val="24"/>
        </w:rPr>
        <w:t>. One of the critical steps in the Alzheimer</w:t>
      </w:r>
      <w:r w:rsidRPr="0060384B">
        <w:rPr>
          <w:rFonts w:ascii="Lato" w:hAnsi="Lato"/>
          <w:color w:val="000000" w:themeColor="text1"/>
          <w:sz w:val="24"/>
          <w:szCs w:val="24"/>
        </w:rPr>
        <w:t>’</w:t>
      </w:r>
      <w:r w:rsidRPr="0060384B">
        <w:rPr>
          <w:rFonts w:ascii="Lato" w:hAnsi="Lato"/>
          <w:color w:val="000000" w:themeColor="text1"/>
          <w:sz w:val="24"/>
          <w:szCs w:val="24"/>
        </w:rPr>
        <w:t>s disease</w:t>
      </w:r>
      <w:r w:rsidRPr="0060384B">
        <w:rPr>
          <w:rFonts w:ascii="Lato" w:hAnsi="Lato"/>
          <w:b/>
          <w:color w:val="000000" w:themeColor="text1"/>
          <w:sz w:val="24"/>
          <w:szCs w:val="24"/>
        </w:rPr>
        <w:t xml:space="preserve"> </w:t>
      </w:r>
      <w:r w:rsidRPr="0060384B">
        <w:rPr>
          <w:rFonts w:ascii="Lato" w:hAnsi="Lato"/>
          <w:color w:val="000000" w:themeColor="text1"/>
          <w:sz w:val="24"/>
          <w:szCs w:val="24"/>
        </w:rPr>
        <w:t>process is loss of synaptic terminals, which affects communication between cells. But there has never been a method for demonstrating this loss in living humans. In 2018, for the first time, NIA-supported researchers (</w:t>
      </w:r>
      <w:hyperlink r:id="rId172" w:history="1">
        <w:r w:rsidRPr="0060384B">
          <w:rPr>
            <w:rFonts w:ascii="Lato" w:hAnsi="Lato"/>
            <w:color w:val="000000" w:themeColor="text1"/>
            <w:sz w:val="24"/>
            <w:szCs w:val="24"/>
          </w:rPr>
          <w:t>Chen et al., 2018</w:t>
        </w:r>
      </w:hyperlink>
      <w:r w:rsidRPr="0060384B">
        <w:rPr>
          <w:rFonts w:ascii="Lato" w:hAnsi="Lato"/>
          <w:color w:val="000000" w:themeColor="text1"/>
          <w:sz w:val="24"/>
          <w:szCs w:val="24"/>
        </w:rPr>
        <w:t>) used imaging to measure synaptic loss in the</w:t>
      </w:r>
    </w:p>
    <w:p w14:paraId="7FAC870E" w14:textId="77777777" w:rsidR="00000000" w:rsidRPr="0060384B" w:rsidRDefault="00CA5F6F">
      <w:pPr>
        <w:spacing w:line="262" w:lineRule="auto"/>
        <w:ind w:right="10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18C6251D" w14:textId="77777777" w:rsidR="00000000" w:rsidRPr="0060384B" w:rsidRDefault="00CA5F6F">
      <w:pPr>
        <w:spacing w:line="237"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00380710" w14:textId="77777777">
        <w:trPr>
          <w:trHeight w:val="245"/>
        </w:trPr>
        <w:tc>
          <w:tcPr>
            <w:tcW w:w="6540" w:type="dxa"/>
            <w:shd w:val="clear" w:color="auto" w:fill="auto"/>
            <w:vAlign w:val="bottom"/>
          </w:tcPr>
          <w:p w14:paraId="048A9B49"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TOGETHER WE SUCCEED</w:t>
            </w:r>
          </w:p>
        </w:tc>
        <w:tc>
          <w:tcPr>
            <w:tcW w:w="2820" w:type="dxa"/>
            <w:shd w:val="clear" w:color="auto" w:fill="auto"/>
            <w:vAlign w:val="bottom"/>
          </w:tcPr>
          <w:p w14:paraId="5473F983"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46</w:t>
            </w:r>
          </w:p>
        </w:tc>
      </w:tr>
      <w:tr w:rsidR="00000000" w:rsidRPr="0060384B" w14:paraId="41CB895C" w14:textId="77777777">
        <w:trPr>
          <w:trHeight w:val="258"/>
        </w:trPr>
        <w:tc>
          <w:tcPr>
            <w:tcW w:w="6540" w:type="dxa"/>
            <w:shd w:val="clear" w:color="auto" w:fill="auto"/>
            <w:vAlign w:val="bottom"/>
          </w:tcPr>
          <w:p w14:paraId="00739695"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6D647438" w14:textId="77777777" w:rsidR="00000000" w:rsidRPr="0060384B" w:rsidRDefault="00CA5F6F">
            <w:pPr>
              <w:spacing w:line="0" w:lineRule="atLeast"/>
              <w:rPr>
                <w:rFonts w:ascii="Lato" w:eastAsia="Times New Roman" w:hAnsi="Lato"/>
                <w:color w:val="000000" w:themeColor="text1"/>
                <w:sz w:val="24"/>
                <w:szCs w:val="24"/>
              </w:rPr>
            </w:pPr>
          </w:p>
        </w:tc>
      </w:tr>
    </w:tbl>
    <w:p w14:paraId="386154C8"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08FE45A4" w14:textId="77777777" w:rsidR="00000000" w:rsidRPr="0060384B" w:rsidRDefault="00CA5F6F">
      <w:pPr>
        <w:spacing w:line="243" w:lineRule="auto"/>
        <w:ind w:right="20"/>
        <w:rPr>
          <w:rFonts w:ascii="Lato" w:hAnsi="Lato"/>
          <w:color w:val="000000" w:themeColor="text1"/>
          <w:sz w:val="24"/>
          <w:szCs w:val="24"/>
        </w:rPr>
      </w:pPr>
      <w:bookmarkStart w:id="49" w:name="page50"/>
      <w:bookmarkEnd w:id="49"/>
      <w:r w:rsidRPr="0060384B">
        <w:rPr>
          <w:rFonts w:ascii="Lato" w:hAnsi="Lato"/>
          <w:color w:val="000000" w:themeColor="text1"/>
          <w:sz w:val="24"/>
          <w:szCs w:val="24"/>
        </w:rPr>
        <w:lastRenderedPageBreak/>
        <w:t>brains of living people. The team, at one of NIA</w:t>
      </w:r>
      <w:r w:rsidRPr="0060384B">
        <w:rPr>
          <w:rFonts w:ascii="Lato" w:hAnsi="Lato"/>
          <w:color w:val="000000" w:themeColor="text1"/>
          <w:sz w:val="24"/>
          <w:szCs w:val="24"/>
        </w:rPr>
        <w:t>’s Alzheimer</w:t>
      </w:r>
      <w:r w:rsidRPr="0060384B">
        <w:rPr>
          <w:rFonts w:ascii="Lato" w:hAnsi="Lato"/>
          <w:color w:val="000000" w:themeColor="text1"/>
          <w:sz w:val="24"/>
          <w:szCs w:val="24"/>
        </w:rPr>
        <w:t>’s Disease Research Ce</w:t>
      </w:r>
      <w:r w:rsidRPr="0060384B">
        <w:rPr>
          <w:rFonts w:ascii="Lato" w:hAnsi="Lato"/>
          <w:color w:val="000000" w:themeColor="text1"/>
          <w:sz w:val="24"/>
          <w:szCs w:val="24"/>
        </w:rPr>
        <w:t xml:space="preserve">nters, used positron emission tomography (PET) to measure a specific protein, SV2A, found in synaptic terminals. Neurotransmitter chemicals released from synaptic terminals of one brain neuron cross a narrow gap (the synapse) and cause the adjacent neuron </w:t>
      </w:r>
      <w:r w:rsidRPr="0060384B">
        <w:rPr>
          <w:rFonts w:ascii="Lato" w:hAnsi="Lato"/>
          <w:color w:val="000000" w:themeColor="text1"/>
          <w:sz w:val="24"/>
          <w:szCs w:val="24"/>
        </w:rPr>
        <w:t>to turn on or off. The scientists theorized that levels of SV2A protein should reflect the density of synapses; however, until this work, measurements of SV2A or synaptic density were only possible in brains of people after they died.</w:t>
      </w:r>
    </w:p>
    <w:p w14:paraId="1DC254E9" w14:textId="77777777" w:rsidR="00000000" w:rsidRPr="0060384B" w:rsidRDefault="00CA5F6F">
      <w:pPr>
        <w:spacing w:line="254" w:lineRule="exact"/>
        <w:rPr>
          <w:rFonts w:ascii="Lato" w:eastAsia="Times New Roman" w:hAnsi="Lato"/>
          <w:color w:val="000000" w:themeColor="text1"/>
          <w:sz w:val="24"/>
          <w:szCs w:val="24"/>
        </w:rPr>
      </w:pPr>
    </w:p>
    <w:p w14:paraId="43402831" w14:textId="77777777" w:rsidR="00000000" w:rsidRPr="0060384B" w:rsidRDefault="00CA5F6F">
      <w:pPr>
        <w:spacing w:line="243" w:lineRule="auto"/>
        <w:ind w:right="20"/>
        <w:rPr>
          <w:rFonts w:ascii="Lato" w:hAnsi="Lato"/>
          <w:color w:val="000000" w:themeColor="text1"/>
          <w:sz w:val="24"/>
          <w:szCs w:val="24"/>
        </w:rPr>
      </w:pPr>
      <w:r w:rsidRPr="0060384B">
        <w:rPr>
          <w:rFonts w:ascii="Lato" w:hAnsi="Lato"/>
          <w:color w:val="000000" w:themeColor="text1"/>
          <w:sz w:val="24"/>
          <w:szCs w:val="24"/>
        </w:rPr>
        <w:t>The exploratory stud</w:t>
      </w:r>
      <w:r w:rsidRPr="0060384B">
        <w:rPr>
          <w:rFonts w:ascii="Lato" w:hAnsi="Lato"/>
          <w:color w:val="000000" w:themeColor="text1"/>
          <w:sz w:val="24"/>
          <w:szCs w:val="24"/>
        </w:rPr>
        <w:t>y involved a small number of participants with either MCI or mild Alzheimer</w:t>
      </w:r>
      <w:r w:rsidRPr="0060384B">
        <w:rPr>
          <w:rFonts w:ascii="Lato" w:hAnsi="Lato"/>
          <w:color w:val="000000" w:themeColor="text1"/>
          <w:sz w:val="24"/>
          <w:szCs w:val="24"/>
        </w:rPr>
        <w:t>’s disease who were compared with participants who were cognitively unimpaired (average age, 73). PET scans showed that people with MCI or mild Alzheimer</w:t>
      </w:r>
      <w:r w:rsidRPr="0060384B">
        <w:rPr>
          <w:rFonts w:ascii="Lato" w:hAnsi="Lato"/>
          <w:color w:val="000000" w:themeColor="text1"/>
          <w:sz w:val="24"/>
          <w:szCs w:val="24"/>
        </w:rPr>
        <w:t>’s had significantly less SV</w:t>
      </w:r>
      <w:r w:rsidRPr="0060384B">
        <w:rPr>
          <w:rFonts w:ascii="Lato" w:hAnsi="Lato"/>
          <w:color w:val="000000" w:themeColor="text1"/>
          <w:sz w:val="24"/>
          <w:szCs w:val="24"/>
        </w:rPr>
        <w:t>2A binding in the hippocampus, indicating a decrease in synaptic density compared to cognitively normal participants. The hippocampus is part of the brain essential in forming memories and the location of early damage associated with Alzheimer</w:t>
      </w:r>
      <w:r w:rsidRPr="0060384B">
        <w:rPr>
          <w:rFonts w:ascii="Lato" w:hAnsi="Lato"/>
          <w:color w:val="000000" w:themeColor="text1"/>
          <w:sz w:val="24"/>
          <w:szCs w:val="24"/>
        </w:rPr>
        <w:t>’s disease. T</w:t>
      </w:r>
      <w:r w:rsidRPr="0060384B">
        <w:rPr>
          <w:rFonts w:ascii="Lato" w:hAnsi="Lato"/>
          <w:color w:val="000000" w:themeColor="text1"/>
          <w:sz w:val="24"/>
          <w:szCs w:val="24"/>
        </w:rPr>
        <w:t>he PET scan results also correlated with test scores of episodic memory (memories of recent events), as well as scores on a cognitive test for Alzheimer</w:t>
      </w:r>
      <w:r w:rsidRPr="0060384B">
        <w:rPr>
          <w:rFonts w:ascii="Lato" w:hAnsi="Lato"/>
          <w:color w:val="000000" w:themeColor="text1"/>
          <w:sz w:val="24"/>
          <w:szCs w:val="24"/>
        </w:rPr>
        <w:t>’s disease.</w:t>
      </w:r>
    </w:p>
    <w:p w14:paraId="0F52A676" w14:textId="77777777" w:rsidR="00000000" w:rsidRPr="0060384B" w:rsidRDefault="00CA5F6F">
      <w:pPr>
        <w:spacing w:line="250" w:lineRule="exact"/>
        <w:rPr>
          <w:rFonts w:ascii="Lato" w:eastAsia="Times New Roman" w:hAnsi="Lato"/>
          <w:color w:val="000000" w:themeColor="text1"/>
          <w:sz w:val="24"/>
          <w:szCs w:val="24"/>
        </w:rPr>
      </w:pPr>
    </w:p>
    <w:p w14:paraId="70C8BB5B" w14:textId="77777777" w:rsidR="00000000" w:rsidRPr="0060384B" w:rsidRDefault="00CA5F6F">
      <w:pPr>
        <w:spacing w:line="243" w:lineRule="auto"/>
        <w:ind w:right="160"/>
        <w:rPr>
          <w:rFonts w:ascii="Lato" w:hAnsi="Lato"/>
          <w:color w:val="000000" w:themeColor="text1"/>
          <w:sz w:val="24"/>
          <w:szCs w:val="24"/>
        </w:rPr>
      </w:pPr>
      <w:r w:rsidRPr="0060384B">
        <w:rPr>
          <w:rFonts w:ascii="Lato" w:hAnsi="Lato"/>
          <w:color w:val="000000" w:themeColor="text1"/>
          <w:sz w:val="24"/>
          <w:szCs w:val="24"/>
        </w:rPr>
        <w:t>In comparison, some other brain imaging measures, though they detect proteins related to Al</w:t>
      </w:r>
      <w:r w:rsidRPr="0060384B">
        <w:rPr>
          <w:rFonts w:ascii="Lato" w:hAnsi="Lato"/>
          <w:color w:val="000000" w:themeColor="text1"/>
          <w:sz w:val="24"/>
          <w:szCs w:val="24"/>
        </w:rPr>
        <w:t>zheimer</w:t>
      </w:r>
      <w:r w:rsidRPr="0060384B">
        <w:rPr>
          <w:rFonts w:ascii="Lato" w:hAnsi="Lato"/>
          <w:color w:val="000000" w:themeColor="text1"/>
          <w:sz w:val="24"/>
          <w:szCs w:val="24"/>
        </w:rPr>
        <w:t xml:space="preserve">’s disease, do not correlate directly with cognitive function. Researchers believe that a reliable measure of synaptic density in living people could provide both a better measure of disease progression and could help objectively evaluate treatment </w:t>
      </w:r>
      <w:r w:rsidRPr="0060384B">
        <w:rPr>
          <w:rFonts w:ascii="Lato" w:hAnsi="Lato"/>
          <w:color w:val="000000" w:themeColor="text1"/>
          <w:sz w:val="24"/>
          <w:szCs w:val="24"/>
        </w:rPr>
        <w:t>response in clinical trials of disease-modifying drugs. The method might prove useful not only in Alzheimer</w:t>
      </w:r>
      <w:r w:rsidRPr="0060384B">
        <w:rPr>
          <w:rFonts w:ascii="Lato" w:hAnsi="Lato"/>
          <w:color w:val="000000" w:themeColor="text1"/>
          <w:sz w:val="24"/>
          <w:szCs w:val="24"/>
        </w:rPr>
        <w:t>’s disease, but also other neurodegenerative and psychiatric diseases. NIH is seeking additional research in synaptic imaging.</w:t>
      </w:r>
    </w:p>
    <w:p w14:paraId="5FC87EA1" w14:textId="77777777" w:rsidR="00000000" w:rsidRPr="0060384B" w:rsidRDefault="00CA5F6F">
      <w:pPr>
        <w:spacing w:line="253" w:lineRule="exact"/>
        <w:rPr>
          <w:rFonts w:ascii="Lato" w:eastAsia="Times New Roman" w:hAnsi="Lato"/>
          <w:color w:val="000000" w:themeColor="text1"/>
          <w:sz w:val="24"/>
          <w:szCs w:val="24"/>
        </w:rPr>
      </w:pPr>
    </w:p>
    <w:p w14:paraId="29AEC7F9" w14:textId="77777777" w:rsidR="00000000" w:rsidRPr="0060384B" w:rsidRDefault="00CA5F6F">
      <w:pPr>
        <w:spacing w:line="244" w:lineRule="auto"/>
        <w:ind w:right="160"/>
        <w:rPr>
          <w:rFonts w:ascii="Lato" w:hAnsi="Lato"/>
          <w:color w:val="000000" w:themeColor="text1"/>
          <w:sz w:val="24"/>
          <w:szCs w:val="24"/>
        </w:rPr>
      </w:pPr>
      <w:r w:rsidRPr="0060384B">
        <w:rPr>
          <w:rFonts w:ascii="Lato" w:hAnsi="Lato"/>
          <w:b/>
          <w:color w:val="000000" w:themeColor="text1"/>
          <w:sz w:val="24"/>
          <w:szCs w:val="24"/>
        </w:rPr>
        <w:t>Preclinical predictor</w:t>
      </w:r>
      <w:r w:rsidRPr="0060384B">
        <w:rPr>
          <w:rFonts w:ascii="Lato" w:hAnsi="Lato"/>
          <w:b/>
          <w:color w:val="000000" w:themeColor="text1"/>
          <w:sz w:val="24"/>
          <w:szCs w:val="24"/>
        </w:rPr>
        <w:t xml:space="preserve">s of neurodegeneration. </w:t>
      </w:r>
      <w:r w:rsidRPr="0060384B">
        <w:rPr>
          <w:rFonts w:ascii="Lato" w:hAnsi="Lato"/>
          <w:color w:val="000000" w:themeColor="text1"/>
          <w:sz w:val="24"/>
          <w:szCs w:val="24"/>
        </w:rPr>
        <w:t>NIA researchers (</w:t>
      </w:r>
      <w:hyperlink r:id="rId173" w:history="1">
        <w:r w:rsidRPr="0060384B">
          <w:rPr>
            <w:rFonts w:ascii="Lato" w:hAnsi="Lato"/>
            <w:color w:val="000000" w:themeColor="text1"/>
            <w:sz w:val="24"/>
            <w:szCs w:val="24"/>
          </w:rPr>
          <w:t>Armstrong et al., 2019</w:t>
        </w:r>
      </w:hyperlink>
      <w:r w:rsidRPr="0060384B">
        <w:rPr>
          <w:rFonts w:ascii="Lato" w:hAnsi="Lato"/>
          <w:color w:val="000000" w:themeColor="text1"/>
          <w:sz w:val="24"/>
          <w:szCs w:val="24"/>
        </w:rPr>
        <w:t>)</w:t>
      </w:r>
      <w:r w:rsidRPr="0060384B">
        <w:rPr>
          <w:rFonts w:ascii="Lato" w:hAnsi="Lato"/>
          <w:b/>
          <w:color w:val="000000" w:themeColor="text1"/>
          <w:sz w:val="24"/>
          <w:szCs w:val="24"/>
        </w:rPr>
        <w:t xml:space="preserve"> </w:t>
      </w:r>
      <w:r w:rsidRPr="0060384B">
        <w:rPr>
          <w:rFonts w:ascii="Lato" w:hAnsi="Lato"/>
          <w:color w:val="000000" w:themeColor="text1"/>
          <w:sz w:val="24"/>
          <w:szCs w:val="24"/>
        </w:rPr>
        <w:t>examined data from participants in the Baltimore Longitudinal Study of Aging (BLSA) to look at the effects of Alzheimer</w:t>
      </w:r>
      <w:r w:rsidRPr="0060384B">
        <w:rPr>
          <w:rFonts w:ascii="Lato" w:hAnsi="Lato"/>
          <w:color w:val="000000" w:themeColor="text1"/>
          <w:sz w:val="24"/>
          <w:szCs w:val="24"/>
        </w:rPr>
        <w:t xml:space="preserve">’s disease </w:t>
      </w:r>
      <w:r w:rsidRPr="0060384B">
        <w:rPr>
          <w:rFonts w:ascii="Lato" w:hAnsi="Lato"/>
          <w:color w:val="000000" w:themeColor="text1"/>
          <w:sz w:val="24"/>
          <w:szCs w:val="24"/>
        </w:rPr>
        <w:t>risk factors on brain-volume changes to see if they might partly explain what happens during preclinical Alzheimer</w:t>
      </w:r>
      <w:r w:rsidRPr="0060384B">
        <w:rPr>
          <w:rFonts w:ascii="Lato" w:hAnsi="Lato"/>
          <w:color w:val="000000" w:themeColor="text1"/>
          <w:sz w:val="24"/>
          <w:szCs w:val="24"/>
        </w:rPr>
        <w:t xml:space="preserve">’s in people who become cognitively impaired. The study looked at magnetic resonance imaging data from 688 volunteers in the BLSA, as well as </w:t>
      </w:r>
      <w:r w:rsidRPr="0060384B">
        <w:rPr>
          <w:rFonts w:ascii="Lato" w:hAnsi="Lato"/>
          <w:color w:val="000000" w:themeColor="text1"/>
          <w:sz w:val="24"/>
          <w:szCs w:val="24"/>
        </w:rPr>
        <w:t>a number of Alzheimer</w:t>
      </w:r>
      <w:r w:rsidRPr="0060384B">
        <w:rPr>
          <w:rFonts w:ascii="Lato" w:hAnsi="Lato"/>
          <w:color w:val="000000" w:themeColor="text1"/>
          <w:sz w:val="24"/>
          <w:szCs w:val="24"/>
        </w:rPr>
        <w:t xml:space="preserve">’s risk factors, including age, APOE </w:t>
      </w:r>
      <w:r w:rsidRPr="0060384B">
        <w:rPr>
          <w:rFonts w:ascii="Arial" w:hAnsi="Arial"/>
          <w:color w:val="000000" w:themeColor="text1"/>
          <w:sz w:val="24"/>
          <w:szCs w:val="24"/>
        </w:rPr>
        <w:t>ɛ</w:t>
      </w:r>
      <w:r w:rsidRPr="0060384B">
        <w:rPr>
          <w:rFonts w:ascii="Lato" w:hAnsi="Lato"/>
          <w:color w:val="000000" w:themeColor="text1"/>
          <w:sz w:val="24"/>
          <w:szCs w:val="24"/>
        </w:rPr>
        <w:t>4 carrier status, diabetes, hypertension, obesity, current smoking, and having low LDL cholesterol.</w:t>
      </w:r>
    </w:p>
    <w:p w14:paraId="313A5AFF" w14:textId="77777777" w:rsidR="00000000" w:rsidRPr="0060384B" w:rsidRDefault="00CA5F6F">
      <w:pPr>
        <w:spacing w:line="249" w:lineRule="exact"/>
        <w:rPr>
          <w:rFonts w:ascii="Lato" w:eastAsia="Times New Roman" w:hAnsi="Lato"/>
          <w:color w:val="000000" w:themeColor="text1"/>
          <w:sz w:val="24"/>
          <w:szCs w:val="24"/>
        </w:rPr>
      </w:pPr>
    </w:p>
    <w:p w14:paraId="26C1C3AD" w14:textId="77777777" w:rsidR="00000000" w:rsidRPr="0060384B" w:rsidRDefault="00CA5F6F">
      <w:pPr>
        <w:spacing w:line="242" w:lineRule="auto"/>
        <w:ind w:right="320"/>
        <w:rPr>
          <w:rFonts w:ascii="Lato" w:hAnsi="Lato"/>
          <w:color w:val="000000" w:themeColor="text1"/>
          <w:sz w:val="24"/>
          <w:szCs w:val="24"/>
        </w:rPr>
      </w:pPr>
      <w:r w:rsidRPr="0060384B">
        <w:rPr>
          <w:rFonts w:ascii="Lato" w:hAnsi="Lato"/>
          <w:color w:val="000000" w:themeColor="text1"/>
          <w:sz w:val="24"/>
          <w:szCs w:val="24"/>
        </w:rPr>
        <w:t xml:space="preserve">Older age, the APOE </w:t>
      </w:r>
      <w:r w:rsidRPr="0060384B">
        <w:rPr>
          <w:rFonts w:ascii="Arial" w:hAnsi="Arial"/>
          <w:color w:val="000000" w:themeColor="text1"/>
          <w:sz w:val="24"/>
          <w:szCs w:val="24"/>
        </w:rPr>
        <w:t>ɛ</w:t>
      </w:r>
      <w:r w:rsidRPr="0060384B">
        <w:rPr>
          <w:rFonts w:ascii="Lato" w:hAnsi="Lato"/>
          <w:color w:val="000000" w:themeColor="text1"/>
          <w:sz w:val="24"/>
          <w:szCs w:val="24"/>
        </w:rPr>
        <w:t>4 allele, hypertension, and low HDL cholesterol were associated with greate</w:t>
      </w:r>
      <w:r w:rsidRPr="0060384B">
        <w:rPr>
          <w:rFonts w:ascii="Lato" w:hAnsi="Lato"/>
          <w:color w:val="000000" w:themeColor="text1"/>
          <w:sz w:val="24"/>
          <w:szCs w:val="24"/>
        </w:rPr>
        <w:t>r brain volume loss across the whole group of participants. All participants had normal cognition at all assessments in the study. But when the participants were divided into those who developed cognitive impairment in the future and those who did not, dif</w:t>
      </w:r>
      <w:r w:rsidRPr="0060384B">
        <w:rPr>
          <w:rFonts w:ascii="Lato" w:hAnsi="Lato"/>
          <w:color w:val="000000" w:themeColor="text1"/>
          <w:sz w:val="24"/>
          <w:szCs w:val="24"/>
        </w:rPr>
        <w:t xml:space="preserve">ferences in risk factor susceptibility became evident. Hypertension, obesity, and APOE </w:t>
      </w:r>
      <w:r w:rsidRPr="0060384B">
        <w:rPr>
          <w:rFonts w:ascii="Arial" w:hAnsi="Arial"/>
          <w:color w:val="000000" w:themeColor="text1"/>
          <w:sz w:val="24"/>
          <w:szCs w:val="24"/>
        </w:rPr>
        <w:t>ɛ</w:t>
      </w:r>
      <w:r w:rsidRPr="0060384B">
        <w:rPr>
          <w:rFonts w:ascii="Lato" w:hAnsi="Lato"/>
          <w:color w:val="000000" w:themeColor="text1"/>
          <w:sz w:val="24"/>
          <w:szCs w:val="24"/>
        </w:rPr>
        <w:t>4 carrier status were associated with greater neurodegeneration over time only in those who later developed cognitive impairment. The most striking differences in brain</w:t>
      </w:r>
      <w:r w:rsidRPr="0060384B">
        <w:rPr>
          <w:rFonts w:ascii="Lato" w:hAnsi="Lato"/>
          <w:color w:val="000000" w:themeColor="text1"/>
          <w:sz w:val="24"/>
          <w:szCs w:val="24"/>
        </w:rPr>
        <w:t xml:space="preserve"> tissue loss between the people who became cognitively impaired and those who did not were seen in the hippocampus and other areas of the medial temporal lobe of the brain that are critical for memory.</w:t>
      </w:r>
    </w:p>
    <w:p w14:paraId="727C91EC" w14:textId="77777777" w:rsidR="00000000" w:rsidRPr="0060384B" w:rsidRDefault="00CA5F6F">
      <w:pPr>
        <w:spacing w:line="257" w:lineRule="exact"/>
        <w:rPr>
          <w:rFonts w:ascii="Lato" w:eastAsia="Times New Roman" w:hAnsi="Lato"/>
          <w:color w:val="000000" w:themeColor="text1"/>
          <w:sz w:val="24"/>
          <w:szCs w:val="24"/>
        </w:rPr>
      </w:pPr>
    </w:p>
    <w:p w14:paraId="2FF6EEEA" w14:textId="77777777" w:rsidR="00000000" w:rsidRPr="0060384B" w:rsidRDefault="00CA5F6F">
      <w:pPr>
        <w:spacing w:line="284" w:lineRule="auto"/>
        <w:ind w:right="440"/>
        <w:rPr>
          <w:rFonts w:ascii="Lato" w:hAnsi="Lato"/>
          <w:color w:val="000000" w:themeColor="text1"/>
          <w:sz w:val="24"/>
          <w:szCs w:val="24"/>
        </w:rPr>
      </w:pPr>
      <w:r w:rsidRPr="0060384B">
        <w:rPr>
          <w:rFonts w:ascii="Lato" w:hAnsi="Lato"/>
          <w:color w:val="000000" w:themeColor="text1"/>
          <w:sz w:val="24"/>
          <w:szCs w:val="24"/>
        </w:rPr>
        <w:t>These findings demonstrate that potentially modifiabl</w:t>
      </w:r>
      <w:r w:rsidRPr="0060384B">
        <w:rPr>
          <w:rFonts w:ascii="Lato" w:hAnsi="Lato"/>
          <w:color w:val="000000" w:themeColor="text1"/>
          <w:sz w:val="24"/>
          <w:szCs w:val="24"/>
        </w:rPr>
        <w:t>e predictors of brain volume loss and neurodegeneration influence brain changes later on, and that those in the earliest stages of</w:t>
      </w:r>
    </w:p>
    <w:p w14:paraId="2F385B4E" w14:textId="77777777" w:rsidR="00000000" w:rsidRPr="0060384B" w:rsidRDefault="00CA5F6F">
      <w:pPr>
        <w:spacing w:line="284" w:lineRule="auto"/>
        <w:ind w:right="44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20138014" w14:textId="77777777" w:rsidR="00000000" w:rsidRPr="0060384B" w:rsidRDefault="00CA5F6F">
      <w:pPr>
        <w:spacing w:line="200" w:lineRule="exact"/>
        <w:rPr>
          <w:rFonts w:ascii="Lato" w:eastAsia="Times New Roman" w:hAnsi="Lato"/>
          <w:color w:val="000000" w:themeColor="text1"/>
          <w:sz w:val="24"/>
          <w:szCs w:val="24"/>
        </w:rPr>
      </w:pPr>
    </w:p>
    <w:p w14:paraId="27253058" w14:textId="77777777" w:rsidR="00000000" w:rsidRPr="0060384B" w:rsidRDefault="00CA5F6F">
      <w:pPr>
        <w:spacing w:line="375"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7A9BA2D2" w14:textId="77777777">
        <w:trPr>
          <w:trHeight w:val="245"/>
        </w:trPr>
        <w:tc>
          <w:tcPr>
            <w:tcW w:w="6540" w:type="dxa"/>
            <w:shd w:val="clear" w:color="auto" w:fill="auto"/>
            <w:vAlign w:val="bottom"/>
          </w:tcPr>
          <w:p w14:paraId="58BC78D5"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51746D8D"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47</w:t>
            </w:r>
          </w:p>
        </w:tc>
      </w:tr>
      <w:tr w:rsidR="00000000" w:rsidRPr="0060384B" w14:paraId="19D037BB" w14:textId="77777777">
        <w:trPr>
          <w:trHeight w:val="258"/>
        </w:trPr>
        <w:tc>
          <w:tcPr>
            <w:tcW w:w="6540" w:type="dxa"/>
            <w:shd w:val="clear" w:color="auto" w:fill="auto"/>
            <w:vAlign w:val="bottom"/>
          </w:tcPr>
          <w:p w14:paraId="3FC24202"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1A6B19F9" w14:textId="77777777" w:rsidR="00000000" w:rsidRPr="0060384B" w:rsidRDefault="00CA5F6F">
            <w:pPr>
              <w:spacing w:line="0" w:lineRule="atLeast"/>
              <w:rPr>
                <w:rFonts w:ascii="Lato" w:eastAsia="Times New Roman" w:hAnsi="Lato"/>
                <w:color w:val="000000" w:themeColor="text1"/>
                <w:sz w:val="24"/>
                <w:szCs w:val="24"/>
              </w:rPr>
            </w:pPr>
          </w:p>
        </w:tc>
      </w:tr>
    </w:tbl>
    <w:p w14:paraId="63F6C557"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0CFD9498" w14:textId="77777777" w:rsidR="00000000" w:rsidRPr="0060384B" w:rsidRDefault="00CA5F6F">
      <w:pPr>
        <w:spacing w:line="262" w:lineRule="auto"/>
        <w:ind w:right="480"/>
        <w:rPr>
          <w:rFonts w:ascii="Lato" w:hAnsi="Lato"/>
          <w:color w:val="000000" w:themeColor="text1"/>
          <w:sz w:val="24"/>
          <w:szCs w:val="24"/>
        </w:rPr>
      </w:pPr>
      <w:bookmarkStart w:id="50" w:name="page51"/>
      <w:bookmarkEnd w:id="50"/>
      <w:r w:rsidRPr="0060384B">
        <w:rPr>
          <w:rFonts w:ascii="Lato" w:hAnsi="Lato"/>
          <w:color w:val="000000" w:themeColor="text1"/>
          <w:sz w:val="24"/>
          <w:szCs w:val="24"/>
        </w:rPr>
        <w:lastRenderedPageBreak/>
        <w:t>Alzheimer</w:t>
      </w:r>
      <w:r w:rsidRPr="0060384B">
        <w:rPr>
          <w:rFonts w:ascii="Lato" w:hAnsi="Lato"/>
          <w:color w:val="000000" w:themeColor="text1"/>
          <w:sz w:val="24"/>
          <w:szCs w:val="24"/>
        </w:rPr>
        <w:t>’s disease are vulnerable to risk fact</w:t>
      </w:r>
      <w:r w:rsidRPr="0060384B">
        <w:rPr>
          <w:rFonts w:ascii="Lato" w:hAnsi="Lato"/>
          <w:color w:val="000000" w:themeColor="text1"/>
          <w:sz w:val="24"/>
          <w:szCs w:val="24"/>
        </w:rPr>
        <w:t>ors that have little or no effect in people who remain cognitively normal.</w:t>
      </w:r>
    </w:p>
    <w:p w14:paraId="773A339A" w14:textId="77777777" w:rsidR="00000000" w:rsidRPr="0060384B" w:rsidRDefault="00CA5F6F">
      <w:pPr>
        <w:spacing w:line="220" w:lineRule="exact"/>
        <w:rPr>
          <w:rFonts w:ascii="Lato" w:eastAsia="Times New Roman" w:hAnsi="Lato"/>
          <w:color w:val="000000" w:themeColor="text1"/>
          <w:sz w:val="24"/>
          <w:szCs w:val="24"/>
        </w:rPr>
      </w:pPr>
    </w:p>
    <w:p w14:paraId="0EDA977B"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Peripheral Biomarkers May Be Easier, Cheaper Tools to Detection, Monitoring</w:t>
      </w:r>
    </w:p>
    <w:p w14:paraId="72F1F8F6" w14:textId="77777777" w:rsidR="00000000" w:rsidRPr="0060384B" w:rsidRDefault="00CA5F6F">
      <w:pPr>
        <w:spacing w:line="287" w:lineRule="exact"/>
        <w:rPr>
          <w:rFonts w:ascii="Lato" w:eastAsia="Times New Roman" w:hAnsi="Lato"/>
          <w:color w:val="000000" w:themeColor="text1"/>
          <w:sz w:val="24"/>
          <w:szCs w:val="24"/>
        </w:rPr>
      </w:pPr>
    </w:p>
    <w:p w14:paraId="47E8E6CF" w14:textId="77777777" w:rsidR="00000000" w:rsidRPr="0060384B" w:rsidRDefault="00CA5F6F">
      <w:pPr>
        <w:spacing w:line="244" w:lineRule="auto"/>
        <w:ind w:right="100"/>
        <w:rPr>
          <w:rFonts w:ascii="Lato" w:hAnsi="Lato"/>
          <w:color w:val="000000" w:themeColor="text1"/>
          <w:sz w:val="24"/>
          <w:szCs w:val="24"/>
        </w:rPr>
      </w:pPr>
      <w:r w:rsidRPr="0060384B">
        <w:rPr>
          <w:rFonts w:ascii="Lato" w:hAnsi="Lato"/>
          <w:color w:val="000000" w:themeColor="text1"/>
          <w:sz w:val="24"/>
          <w:szCs w:val="24"/>
        </w:rPr>
        <w:t>While imaging and CSF analysis looking for proteins and other markers of disease have become a staple o</w:t>
      </w:r>
      <w:r w:rsidRPr="0060384B">
        <w:rPr>
          <w:rFonts w:ascii="Lato" w:hAnsi="Lato"/>
          <w:color w:val="000000" w:themeColor="text1"/>
          <w:sz w:val="24"/>
          <w:szCs w:val="24"/>
        </w:rPr>
        <w:t>f research, the samples are cumbersome and expensive to obtain and analyze, with challenges for patients as well as researchers. NIH-supported researchers are on the hunt for markers found in blood and plasma, such as detecting levels of amyloid-beta, a pa</w:t>
      </w:r>
      <w:r w:rsidRPr="0060384B">
        <w:rPr>
          <w:rFonts w:ascii="Lato" w:hAnsi="Lato"/>
          <w:color w:val="000000" w:themeColor="text1"/>
          <w:sz w:val="24"/>
          <w:szCs w:val="24"/>
        </w:rPr>
        <w:t>thological hallmark of Alzheimer</w:t>
      </w:r>
      <w:r w:rsidRPr="0060384B">
        <w:rPr>
          <w:rFonts w:ascii="Lato" w:hAnsi="Lato"/>
          <w:color w:val="000000" w:themeColor="text1"/>
          <w:sz w:val="24"/>
          <w:szCs w:val="24"/>
        </w:rPr>
        <w:t>’s, and other related entities. We are making excellent progress in developing and testing these peripheral biomarkers and are encouraging expanded efforts.</w:t>
      </w:r>
    </w:p>
    <w:p w14:paraId="4CEB6D56" w14:textId="77777777" w:rsidR="00000000" w:rsidRPr="0060384B" w:rsidRDefault="00CA5F6F">
      <w:pPr>
        <w:spacing w:line="247" w:lineRule="exact"/>
        <w:rPr>
          <w:rFonts w:ascii="Lato" w:eastAsia="Times New Roman" w:hAnsi="Lato"/>
          <w:color w:val="000000" w:themeColor="text1"/>
          <w:sz w:val="24"/>
          <w:szCs w:val="24"/>
        </w:rPr>
      </w:pPr>
    </w:p>
    <w:p w14:paraId="7ECE69C9" w14:textId="77777777" w:rsidR="00000000" w:rsidRPr="0060384B" w:rsidRDefault="00CA5F6F">
      <w:pPr>
        <w:spacing w:line="242" w:lineRule="auto"/>
        <w:rPr>
          <w:rFonts w:ascii="Lato" w:hAnsi="Lato"/>
          <w:color w:val="000000" w:themeColor="text1"/>
          <w:sz w:val="24"/>
          <w:szCs w:val="24"/>
        </w:rPr>
      </w:pPr>
      <w:r w:rsidRPr="0060384B">
        <w:rPr>
          <w:rFonts w:ascii="Lato" w:hAnsi="Lato"/>
          <w:b/>
          <w:color w:val="000000" w:themeColor="text1"/>
          <w:sz w:val="24"/>
          <w:szCs w:val="24"/>
        </w:rPr>
        <w:t>Looking to metabolites to measure Alzheimer</w:t>
      </w:r>
      <w:r w:rsidRPr="0060384B">
        <w:rPr>
          <w:rFonts w:ascii="Lato" w:hAnsi="Lato"/>
          <w:b/>
          <w:color w:val="000000" w:themeColor="text1"/>
          <w:sz w:val="24"/>
          <w:szCs w:val="24"/>
        </w:rPr>
        <w:t xml:space="preserve">’s pathology. </w:t>
      </w:r>
      <w:r w:rsidRPr="0060384B">
        <w:rPr>
          <w:rFonts w:ascii="Lato" w:hAnsi="Lato"/>
          <w:color w:val="000000" w:themeColor="text1"/>
          <w:sz w:val="24"/>
          <w:szCs w:val="24"/>
        </w:rPr>
        <w:t>It has be</w:t>
      </w:r>
      <w:r w:rsidRPr="0060384B">
        <w:rPr>
          <w:rFonts w:ascii="Lato" w:hAnsi="Lato"/>
          <w:color w:val="000000" w:themeColor="text1"/>
          <w:sz w:val="24"/>
          <w:szCs w:val="24"/>
        </w:rPr>
        <w:t>en difficult to connect</w:t>
      </w:r>
      <w:r w:rsidRPr="0060384B">
        <w:rPr>
          <w:rFonts w:ascii="Lato" w:hAnsi="Lato"/>
          <w:b/>
          <w:color w:val="000000" w:themeColor="text1"/>
          <w:sz w:val="24"/>
          <w:szCs w:val="24"/>
        </w:rPr>
        <w:t xml:space="preserve"> </w:t>
      </w:r>
      <w:r w:rsidRPr="0060384B">
        <w:rPr>
          <w:rFonts w:ascii="Lato" w:hAnsi="Lato"/>
          <w:color w:val="000000" w:themeColor="text1"/>
          <w:sz w:val="24"/>
          <w:szCs w:val="24"/>
        </w:rPr>
        <w:t>markers in the blood to those in the brain, as scientists have been trying to learn more about the long timeline between the start of Alzheimer</w:t>
      </w:r>
      <w:r w:rsidRPr="0060384B">
        <w:rPr>
          <w:rFonts w:ascii="Lato" w:hAnsi="Lato"/>
          <w:color w:val="000000" w:themeColor="text1"/>
          <w:sz w:val="24"/>
          <w:szCs w:val="24"/>
        </w:rPr>
        <w:t>’s brain pathology and the development of clinical symptoms. In 2018, a team of researche</w:t>
      </w:r>
      <w:r w:rsidRPr="0060384B">
        <w:rPr>
          <w:rFonts w:ascii="Lato" w:hAnsi="Lato"/>
          <w:color w:val="000000" w:themeColor="text1"/>
          <w:sz w:val="24"/>
          <w:szCs w:val="24"/>
        </w:rPr>
        <w:t>rs (</w:t>
      </w:r>
      <w:hyperlink r:id="rId174" w:history="1">
        <w:r w:rsidRPr="0060384B">
          <w:rPr>
            <w:rFonts w:ascii="Lato" w:hAnsi="Lato"/>
            <w:color w:val="000000" w:themeColor="text1"/>
            <w:sz w:val="24"/>
            <w:szCs w:val="24"/>
          </w:rPr>
          <w:t>Varma et al., 2018</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led by scientists from the NIA Intramural Research Program, tried a novel approach, examining brain metabolites associated with Alzheimer</w:t>
      </w:r>
      <w:r w:rsidRPr="0060384B">
        <w:rPr>
          <w:rFonts w:ascii="Lato" w:hAnsi="Lato"/>
          <w:color w:val="000000" w:themeColor="text1"/>
          <w:sz w:val="24"/>
          <w:szCs w:val="24"/>
        </w:rPr>
        <w:t>’s pathology to see if they coul</w:t>
      </w:r>
      <w:r w:rsidRPr="0060384B">
        <w:rPr>
          <w:rFonts w:ascii="Lato" w:hAnsi="Lato"/>
          <w:color w:val="000000" w:themeColor="text1"/>
          <w:sz w:val="24"/>
          <w:szCs w:val="24"/>
        </w:rPr>
        <w:t>d also be detected in blood and were related to progression of the disease. The researchers analyzed brain and blood tissue samples from autopsies of BLSA participants who had Alzheimer</w:t>
      </w:r>
      <w:r w:rsidRPr="0060384B">
        <w:rPr>
          <w:rFonts w:ascii="Lato" w:hAnsi="Lato"/>
          <w:color w:val="000000" w:themeColor="text1"/>
          <w:sz w:val="24"/>
          <w:szCs w:val="24"/>
        </w:rPr>
        <w:t>’s disease, a normal control group, and a smaller group who had asympto</w:t>
      </w:r>
      <w:r w:rsidRPr="0060384B">
        <w:rPr>
          <w:rFonts w:ascii="Lato" w:hAnsi="Lato"/>
          <w:color w:val="000000" w:themeColor="text1"/>
          <w:sz w:val="24"/>
          <w:szCs w:val="24"/>
        </w:rPr>
        <w:t>matic Alzheimer</w:t>
      </w:r>
      <w:r w:rsidRPr="0060384B">
        <w:rPr>
          <w:rFonts w:ascii="Lato" w:hAnsi="Lato"/>
          <w:color w:val="000000" w:themeColor="text1"/>
          <w:sz w:val="24"/>
          <w:szCs w:val="24"/>
        </w:rPr>
        <w:t>’s disease</w:t>
      </w:r>
      <w:r w:rsidRPr="0060384B">
        <w:rPr>
          <w:rFonts w:ascii="Lato" w:hAnsi="Lato"/>
          <w:color w:val="000000" w:themeColor="text1"/>
          <w:sz w:val="24"/>
          <w:szCs w:val="24"/>
        </w:rPr>
        <w:t>—significant disease pathology at autopsy but no signs of cognitive impairment during life.</w:t>
      </w:r>
    </w:p>
    <w:p w14:paraId="4FBD334A" w14:textId="77777777" w:rsidR="00000000" w:rsidRPr="0060384B" w:rsidRDefault="00CA5F6F">
      <w:pPr>
        <w:spacing w:line="258" w:lineRule="exact"/>
        <w:rPr>
          <w:rFonts w:ascii="Lato" w:eastAsia="Times New Roman" w:hAnsi="Lato"/>
          <w:color w:val="000000" w:themeColor="text1"/>
          <w:sz w:val="24"/>
          <w:szCs w:val="24"/>
        </w:rPr>
      </w:pPr>
    </w:p>
    <w:p w14:paraId="28656DAF" w14:textId="77777777" w:rsidR="00000000" w:rsidRPr="0060384B" w:rsidRDefault="00CA5F6F">
      <w:pPr>
        <w:spacing w:line="242" w:lineRule="auto"/>
        <w:ind w:right="40"/>
        <w:rPr>
          <w:rFonts w:ascii="Lato" w:hAnsi="Lato"/>
          <w:color w:val="000000" w:themeColor="text1"/>
          <w:sz w:val="24"/>
          <w:szCs w:val="24"/>
        </w:rPr>
      </w:pPr>
      <w:r w:rsidRPr="0060384B">
        <w:rPr>
          <w:rFonts w:ascii="Lato" w:hAnsi="Lato"/>
          <w:color w:val="000000" w:themeColor="text1"/>
          <w:sz w:val="24"/>
          <w:szCs w:val="24"/>
        </w:rPr>
        <w:t>Using a computer system with machine learning techniques, they used algorithms to more rapidly analyze metabolites and find the most likel</w:t>
      </w:r>
      <w:r w:rsidRPr="0060384B">
        <w:rPr>
          <w:rFonts w:ascii="Lato" w:hAnsi="Lato"/>
          <w:color w:val="000000" w:themeColor="text1"/>
          <w:sz w:val="24"/>
          <w:szCs w:val="24"/>
        </w:rPr>
        <w:t>y targets. Data patterns identified a panel of 26 metabolites out of 180 studied that could accurately differentiate Alzheimer</w:t>
      </w:r>
      <w:r w:rsidRPr="0060384B">
        <w:rPr>
          <w:rFonts w:ascii="Lato" w:hAnsi="Lato"/>
          <w:color w:val="000000" w:themeColor="text1"/>
          <w:sz w:val="24"/>
          <w:szCs w:val="24"/>
        </w:rPr>
        <w:t>’s disease from control brain samples. The researchers then measured these 26 metabolites in about 700 blood samples from ADNI and</w:t>
      </w:r>
      <w:r w:rsidRPr="0060384B">
        <w:rPr>
          <w:rFonts w:ascii="Lato" w:hAnsi="Lato"/>
          <w:color w:val="000000" w:themeColor="text1"/>
          <w:sz w:val="24"/>
          <w:szCs w:val="24"/>
        </w:rPr>
        <w:t xml:space="preserve"> BLSA, testing for relationships with known signs of Alzheimer</w:t>
      </w:r>
      <w:r w:rsidRPr="0060384B">
        <w:rPr>
          <w:rFonts w:ascii="Lato" w:hAnsi="Lato"/>
          <w:color w:val="000000" w:themeColor="text1"/>
          <w:sz w:val="24"/>
          <w:szCs w:val="24"/>
        </w:rPr>
        <w:t>’s. Altered blood concentrations of some of the 26 metabolites were consistently associated with brain atrophy on magnetic resonance imaging scans, CSF measures of abnormal proteins linked to Al</w:t>
      </w:r>
      <w:r w:rsidRPr="0060384B">
        <w:rPr>
          <w:rFonts w:ascii="Lato" w:hAnsi="Lato"/>
          <w:color w:val="000000" w:themeColor="text1"/>
          <w:sz w:val="24"/>
          <w:szCs w:val="24"/>
        </w:rPr>
        <w:t>zheimer</w:t>
      </w:r>
      <w:r w:rsidRPr="0060384B">
        <w:rPr>
          <w:rFonts w:ascii="Lato" w:hAnsi="Lato"/>
          <w:color w:val="000000" w:themeColor="text1"/>
          <w:sz w:val="24"/>
          <w:szCs w:val="24"/>
        </w:rPr>
        <w:t>’s, cognitive test performance, and risk of Alzheimer</w:t>
      </w:r>
      <w:r w:rsidRPr="0060384B">
        <w:rPr>
          <w:rFonts w:ascii="Lato" w:hAnsi="Lato"/>
          <w:color w:val="000000" w:themeColor="text1"/>
          <w:sz w:val="24"/>
          <w:szCs w:val="24"/>
        </w:rPr>
        <w:t>’s disease before established symptoms developed. The targeted metabolomics study represents a novel approach for identifying markers of disease progression in Alzheimer</w:t>
      </w:r>
      <w:r w:rsidRPr="0060384B">
        <w:rPr>
          <w:rFonts w:ascii="Lato" w:hAnsi="Lato"/>
          <w:color w:val="000000" w:themeColor="text1"/>
          <w:sz w:val="24"/>
          <w:szCs w:val="24"/>
        </w:rPr>
        <w:t>’s and potential avenues fo</w:t>
      </w:r>
      <w:r w:rsidRPr="0060384B">
        <w:rPr>
          <w:rFonts w:ascii="Lato" w:hAnsi="Lato"/>
          <w:color w:val="000000" w:themeColor="text1"/>
          <w:sz w:val="24"/>
          <w:szCs w:val="24"/>
        </w:rPr>
        <w:t>r therapeutic intervention.</w:t>
      </w:r>
    </w:p>
    <w:p w14:paraId="562D9735" w14:textId="77777777" w:rsidR="00000000" w:rsidRPr="0060384B" w:rsidRDefault="00CA5F6F">
      <w:pPr>
        <w:spacing w:line="251" w:lineRule="exact"/>
        <w:rPr>
          <w:rFonts w:ascii="Lato" w:eastAsia="Times New Roman" w:hAnsi="Lato"/>
          <w:color w:val="000000" w:themeColor="text1"/>
          <w:sz w:val="24"/>
          <w:szCs w:val="24"/>
        </w:rPr>
      </w:pPr>
    </w:p>
    <w:p w14:paraId="2E0EB4C8" w14:textId="77777777" w:rsidR="00000000" w:rsidRPr="0060384B" w:rsidRDefault="00CA5F6F">
      <w:pPr>
        <w:spacing w:line="244" w:lineRule="auto"/>
        <w:ind w:right="280"/>
        <w:rPr>
          <w:rFonts w:ascii="Lato" w:hAnsi="Lato"/>
          <w:color w:val="000000" w:themeColor="text1"/>
          <w:sz w:val="24"/>
          <w:szCs w:val="24"/>
        </w:rPr>
      </w:pPr>
      <w:r w:rsidRPr="0060384B">
        <w:rPr>
          <w:rFonts w:ascii="Lato" w:hAnsi="Lato"/>
          <w:b/>
          <w:color w:val="000000" w:themeColor="text1"/>
          <w:sz w:val="24"/>
          <w:szCs w:val="24"/>
        </w:rPr>
        <w:t>Driving cessation</w:t>
      </w:r>
      <w:r w:rsidRPr="0060384B">
        <w:rPr>
          <w:rFonts w:ascii="Lato" w:hAnsi="Lato"/>
          <w:b/>
          <w:color w:val="000000" w:themeColor="text1"/>
          <w:sz w:val="24"/>
          <w:szCs w:val="24"/>
        </w:rPr>
        <w:t xml:space="preserve">—what can biomarkers tell us about function? </w:t>
      </w:r>
      <w:r w:rsidRPr="0060384B">
        <w:rPr>
          <w:rFonts w:ascii="Lato" w:hAnsi="Lato"/>
          <w:color w:val="000000" w:themeColor="text1"/>
          <w:sz w:val="24"/>
          <w:szCs w:val="24"/>
        </w:rPr>
        <w:t>The decision to stop driving</w:t>
      </w:r>
      <w:r w:rsidRPr="0060384B">
        <w:rPr>
          <w:rFonts w:ascii="Lato" w:hAnsi="Lato"/>
          <w:b/>
          <w:color w:val="000000" w:themeColor="text1"/>
          <w:sz w:val="24"/>
          <w:szCs w:val="24"/>
        </w:rPr>
        <w:t xml:space="preserve"> </w:t>
      </w:r>
      <w:r w:rsidRPr="0060384B">
        <w:rPr>
          <w:rFonts w:ascii="Lato" w:hAnsi="Lato"/>
          <w:color w:val="000000" w:themeColor="text1"/>
          <w:sz w:val="24"/>
          <w:szCs w:val="24"/>
        </w:rPr>
        <w:t>with advancing age is difficult for older adults, their families, and clinicians. While safety concerns are paramount, no longer driving</w:t>
      </w:r>
      <w:r w:rsidRPr="0060384B">
        <w:rPr>
          <w:rFonts w:ascii="Lato" w:hAnsi="Lato"/>
          <w:color w:val="000000" w:themeColor="text1"/>
          <w:sz w:val="24"/>
          <w:szCs w:val="24"/>
        </w:rPr>
        <w:t xml:space="preserve"> is also associated with adverse outcomes such as depression. In what may be the first study to examine the relationship between Alzheimer</w:t>
      </w:r>
      <w:r w:rsidRPr="0060384B">
        <w:rPr>
          <w:rFonts w:ascii="Lato" w:hAnsi="Lato"/>
          <w:color w:val="000000" w:themeColor="text1"/>
          <w:sz w:val="24"/>
          <w:szCs w:val="24"/>
        </w:rPr>
        <w:t xml:space="preserve">’s biomarkers and driving cessation, scientists </w:t>
      </w:r>
      <w:hyperlink r:id="rId175" w:history="1">
        <w:r w:rsidRPr="0060384B">
          <w:rPr>
            <w:rFonts w:ascii="Lato" w:hAnsi="Lato"/>
            <w:color w:val="000000" w:themeColor="text1"/>
            <w:sz w:val="24"/>
            <w:szCs w:val="24"/>
          </w:rPr>
          <w:t>(</w:t>
        </w:r>
        <w:r w:rsidRPr="0060384B">
          <w:rPr>
            <w:rFonts w:ascii="Lato" w:hAnsi="Lato"/>
            <w:color w:val="000000" w:themeColor="text1"/>
            <w:sz w:val="24"/>
            <w:szCs w:val="24"/>
          </w:rPr>
          <w:t xml:space="preserve">Stout et </w:t>
        </w:r>
        <w:r w:rsidRPr="0060384B">
          <w:rPr>
            <w:rFonts w:ascii="Lato" w:hAnsi="Lato"/>
            <w:color w:val="000000" w:themeColor="text1"/>
            <w:sz w:val="24"/>
            <w:szCs w:val="24"/>
          </w:rPr>
          <w:t>al., 2018</w:t>
        </w:r>
      </w:hyperlink>
      <w:r w:rsidRPr="0060384B">
        <w:rPr>
          <w:rFonts w:ascii="Lato" w:hAnsi="Lato"/>
          <w:color w:val="000000" w:themeColor="text1"/>
          <w:sz w:val="24"/>
          <w:szCs w:val="24"/>
        </w:rPr>
        <w:t>) found Alzheimer</w:t>
      </w:r>
      <w:r w:rsidRPr="0060384B">
        <w:rPr>
          <w:rFonts w:ascii="Lato" w:hAnsi="Lato"/>
          <w:color w:val="000000" w:themeColor="text1"/>
          <w:sz w:val="24"/>
          <w:szCs w:val="24"/>
        </w:rPr>
        <w:t>’s biomarkers linked to driving performance, and that early driving cessation may also be a functional outcome of preclinical Alzheimer</w:t>
      </w:r>
      <w:r w:rsidRPr="0060384B">
        <w:rPr>
          <w:rFonts w:ascii="Lato" w:hAnsi="Lato"/>
          <w:color w:val="000000" w:themeColor="text1"/>
          <w:sz w:val="24"/>
          <w:szCs w:val="24"/>
        </w:rPr>
        <w:t>’s disease.</w:t>
      </w:r>
    </w:p>
    <w:p w14:paraId="053A1F0C" w14:textId="77777777" w:rsidR="00000000" w:rsidRPr="0060384B" w:rsidRDefault="00CA5F6F">
      <w:pPr>
        <w:spacing w:line="249" w:lineRule="exact"/>
        <w:rPr>
          <w:rFonts w:ascii="Lato" w:eastAsia="Times New Roman" w:hAnsi="Lato"/>
          <w:color w:val="000000" w:themeColor="text1"/>
          <w:sz w:val="24"/>
          <w:szCs w:val="24"/>
        </w:rPr>
      </w:pPr>
    </w:p>
    <w:p w14:paraId="21C5C04A" w14:textId="77777777" w:rsidR="00000000" w:rsidRPr="0060384B" w:rsidRDefault="00CA5F6F">
      <w:pPr>
        <w:spacing w:line="251" w:lineRule="auto"/>
        <w:ind w:right="300"/>
        <w:rPr>
          <w:rFonts w:ascii="Lato" w:hAnsi="Lato"/>
          <w:color w:val="000000" w:themeColor="text1"/>
          <w:sz w:val="24"/>
          <w:szCs w:val="24"/>
        </w:rPr>
      </w:pPr>
      <w:r w:rsidRPr="0060384B">
        <w:rPr>
          <w:rFonts w:ascii="Lato" w:hAnsi="Lato"/>
          <w:color w:val="000000" w:themeColor="text1"/>
          <w:sz w:val="24"/>
          <w:szCs w:val="24"/>
        </w:rPr>
        <w:t>In people 55 years and older enrolled in studies at an NIA-supported Alzheimer</w:t>
      </w:r>
      <w:r w:rsidRPr="0060384B">
        <w:rPr>
          <w:rFonts w:ascii="Lato" w:hAnsi="Lato"/>
          <w:color w:val="000000" w:themeColor="text1"/>
          <w:sz w:val="24"/>
          <w:szCs w:val="24"/>
        </w:rPr>
        <w:t xml:space="preserve">’s </w:t>
      </w:r>
      <w:r w:rsidRPr="0060384B">
        <w:rPr>
          <w:rFonts w:ascii="Lato" w:hAnsi="Lato"/>
          <w:color w:val="000000" w:themeColor="text1"/>
          <w:sz w:val="24"/>
          <w:szCs w:val="24"/>
        </w:rPr>
        <w:t>Disease Research Center, researchers examined the time from baseline to driving cessation as a function of Alzheimer</w:t>
      </w:r>
      <w:r w:rsidRPr="0060384B">
        <w:rPr>
          <w:rFonts w:ascii="Lato" w:hAnsi="Lato"/>
          <w:color w:val="000000" w:themeColor="text1"/>
          <w:sz w:val="24"/>
          <w:szCs w:val="24"/>
        </w:rPr>
        <w:t xml:space="preserve">’s CSF biomarker ratios in 559 participants and </w:t>
      </w:r>
      <w:hyperlink r:id="rId176" w:history="1">
        <w:r w:rsidRPr="0060384B">
          <w:rPr>
            <w:rFonts w:ascii="Lato" w:hAnsi="Lato"/>
            <w:color w:val="000000" w:themeColor="text1"/>
            <w:sz w:val="24"/>
            <w:szCs w:val="24"/>
          </w:rPr>
          <w:t>Clinical Dementia Rating</w:t>
        </w:r>
      </w:hyperlink>
    </w:p>
    <w:p w14:paraId="3A6EA1D0" w14:textId="77777777" w:rsidR="00000000" w:rsidRPr="0060384B" w:rsidRDefault="00CA5F6F">
      <w:pPr>
        <w:spacing w:line="251" w:lineRule="auto"/>
        <w:ind w:right="30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4142749D" w14:textId="77777777" w:rsidR="00000000" w:rsidRPr="0060384B" w:rsidRDefault="00CA5F6F">
      <w:pPr>
        <w:spacing w:line="284"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02659A4F" w14:textId="77777777">
        <w:trPr>
          <w:trHeight w:val="245"/>
        </w:trPr>
        <w:tc>
          <w:tcPr>
            <w:tcW w:w="6540" w:type="dxa"/>
            <w:shd w:val="clear" w:color="auto" w:fill="auto"/>
            <w:vAlign w:val="bottom"/>
          </w:tcPr>
          <w:p w14:paraId="2D8092E3"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388FDEDD"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48</w:t>
            </w:r>
          </w:p>
        </w:tc>
      </w:tr>
      <w:tr w:rsidR="00000000" w:rsidRPr="0060384B" w14:paraId="71DE6EE2" w14:textId="77777777">
        <w:trPr>
          <w:trHeight w:val="258"/>
        </w:trPr>
        <w:tc>
          <w:tcPr>
            <w:tcW w:w="6540" w:type="dxa"/>
            <w:shd w:val="clear" w:color="auto" w:fill="auto"/>
            <w:vAlign w:val="bottom"/>
          </w:tcPr>
          <w:p w14:paraId="0EDD69E5"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NIH Bypass Budget Proposal for Fiscal Year 2021</w:t>
            </w:r>
          </w:p>
        </w:tc>
        <w:tc>
          <w:tcPr>
            <w:tcW w:w="2820" w:type="dxa"/>
            <w:shd w:val="clear" w:color="auto" w:fill="auto"/>
            <w:vAlign w:val="bottom"/>
          </w:tcPr>
          <w:p w14:paraId="5F343B93" w14:textId="77777777" w:rsidR="00000000" w:rsidRPr="0060384B" w:rsidRDefault="00CA5F6F">
            <w:pPr>
              <w:spacing w:line="0" w:lineRule="atLeast"/>
              <w:rPr>
                <w:rFonts w:ascii="Lato" w:eastAsia="Times New Roman" w:hAnsi="Lato"/>
                <w:color w:val="000000" w:themeColor="text1"/>
                <w:sz w:val="24"/>
                <w:szCs w:val="24"/>
              </w:rPr>
            </w:pPr>
          </w:p>
        </w:tc>
      </w:tr>
    </w:tbl>
    <w:p w14:paraId="7D50D74C"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216080E9" w14:textId="77777777" w:rsidR="00000000" w:rsidRPr="0060384B" w:rsidRDefault="00CA5F6F">
      <w:pPr>
        <w:spacing w:line="242" w:lineRule="auto"/>
        <w:ind w:right="60"/>
        <w:rPr>
          <w:rFonts w:ascii="Lato" w:hAnsi="Lato"/>
          <w:color w:val="000000" w:themeColor="text1"/>
          <w:sz w:val="24"/>
          <w:szCs w:val="24"/>
        </w:rPr>
      </w:pPr>
      <w:bookmarkStart w:id="51" w:name="page52"/>
      <w:bookmarkEnd w:id="51"/>
      <w:r w:rsidRPr="0060384B">
        <w:rPr>
          <w:rFonts w:ascii="Lato" w:hAnsi="Lato"/>
          <w:color w:val="000000" w:themeColor="text1"/>
          <w:sz w:val="24"/>
          <w:szCs w:val="24"/>
        </w:rPr>
        <w:lastRenderedPageBreak/>
        <w:t>(CDR) scores in 1,795 participants, over a period of up to 24 years. They found that individuals with higher baseline CDR scores would stop drivi</w:t>
      </w:r>
      <w:r w:rsidRPr="0060384B">
        <w:rPr>
          <w:rFonts w:ascii="Lato" w:hAnsi="Lato"/>
          <w:color w:val="000000" w:themeColor="text1"/>
          <w:sz w:val="24"/>
          <w:szCs w:val="24"/>
        </w:rPr>
        <w:t>ng earlier, and that CSF biomarkers would predict time to driving cessation independent of CDR scores. Participants with very mild or mild dementia at the beginning of the study stopped driving at higher rates (3.5 times and more than 5 times, respectively</w:t>
      </w:r>
      <w:r w:rsidRPr="0060384B">
        <w:rPr>
          <w:rFonts w:ascii="Lato" w:hAnsi="Lato"/>
          <w:color w:val="000000" w:themeColor="text1"/>
          <w:sz w:val="24"/>
          <w:szCs w:val="24"/>
        </w:rPr>
        <w:t xml:space="preserve">) than those without dementia. Those with abnormal CSF biomarker </w:t>
      </w:r>
      <w:r w:rsidRPr="0060384B">
        <w:rPr>
          <w:rFonts w:ascii="Lato" w:hAnsi="Lato"/>
          <w:color w:val="000000" w:themeColor="text1"/>
          <w:sz w:val="24"/>
          <w:szCs w:val="24"/>
        </w:rPr>
        <w:t>levels (tau/A</w:t>
      </w:r>
      <w:r w:rsidRPr="0060384B">
        <w:rPr>
          <w:rFonts w:cs="Calibri"/>
          <w:color w:val="000000" w:themeColor="text1"/>
          <w:sz w:val="24"/>
          <w:szCs w:val="24"/>
        </w:rPr>
        <w:t>β</w:t>
      </w:r>
      <w:r w:rsidRPr="0060384B">
        <w:rPr>
          <w:rFonts w:ascii="Lato" w:hAnsi="Lato"/>
          <w:color w:val="000000" w:themeColor="text1"/>
          <w:sz w:val="24"/>
          <w:szCs w:val="24"/>
        </w:rPr>
        <w:t>42</w:t>
      </w:r>
      <w:r w:rsidRPr="0060384B">
        <w:rPr>
          <w:rFonts w:ascii="Lato" w:hAnsi="Lato"/>
          <w:color w:val="000000" w:themeColor="text1"/>
          <w:sz w:val="24"/>
          <w:szCs w:val="24"/>
        </w:rPr>
        <w:t xml:space="preserve"> and ptau/A</w:t>
      </w:r>
      <w:r w:rsidRPr="0060384B">
        <w:rPr>
          <w:rFonts w:cs="Calibri"/>
          <w:color w:val="000000" w:themeColor="text1"/>
          <w:sz w:val="24"/>
          <w:szCs w:val="24"/>
        </w:rPr>
        <w:t>β</w:t>
      </w:r>
      <w:r w:rsidRPr="0060384B">
        <w:rPr>
          <w:rFonts w:ascii="Lato" w:hAnsi="Lato"/>
          <w:color w:val="000000" w:themeColor="text1"/>
          <w:sz w:val="24"/>
          <w:szCs w:val="24"/>
        </w:rPr>
        <w:t>42</w:t>
      </w:r>
      <w:r w:rsidRPr="0060384B">
        <w:rPr>
          <w:rFonts w:ascii="Lato" w:hAnsi="Lato"/>
          <w:color w:val="000000" w:themeColor="text1"/>
          <w:sz w:val="24"/>
          <w:szCs w:val="24"/>
        </w:rPr>
        <w:t xml:space="preserve"> </w:t>
      </w:r>
      <w:r w:rsidRPr="0060384B">
        <w:rPr>
          <w:rFonts w:ascii="Lato" w:hAnsi="Lato"/>
          <w:color w:val="000000" w:themeColor="text1"/>
          <w:sz w:val="24"/>
          <w:szCs w:val="24"/>
        </w:rPr>
        <w:t>ratios) stopped driving at about twice the rate per year</w:t>
      </w:r>
      <w:r w:rsidRPr="0060384B">
        <w:rPr>
          <w:rFonts w:ascii="Lato" w:hAnsi="Lato"/>
          <w:color w:val="000000" w:themeColor="text1"/>
          <w:sz w:val="24"/>
          <w:szCs w:val="24"/>
        </w:rPr>
        <w:t xml:space="preserve"> </w:t>
      </w:r>
      <w:r w:rsidRPr="0060384B">
        <w:rPr>
          <w:rFonts w:ascii="Lato" w:hAnsi="Lato"/>
          <w:color w:val="000000" w:themeColor="text1"/>
          <w:sz w:val="24"/>
          <w:szCs w:val="24"/>
        </w:rPr>
        <w:t>compared to those with normal CSF biomarker levels at all levels of cognition. Education and race did n</w:t>
      </w:r>
      <w:r w:rsidRPr="0060384B">
        <w:rPr>
          <w:rFonts w:ascii="Lato" w:hAnsi="Lato"/>
          <w:color w:val="000000" w:themeColor="text1"/>
          <w:sz w:val="24"/>
          <w:szCs w:val="24"/>
        </w:rPr>
        <w:t>ot appear to play a role in time to driving cessation, and there was no difference between men and women.</w:t>
      </w:r>
    </w:p>
    <w:p w14:paraId="0E3E3FB1" w14:textId="77777777" w:rsidR="00000000" w:rsidRPr="0060384B" w:rsidRDefault="00CA5F6F">
      <w:pPr>
        <w:spacing w:line="257" w:lineRule="exact"/>
        <w:rPr>
          <w:rFonts w:ascii="Lato" w:eastAsia="Times New Roman" w:hAnsi="Lato"/>
          <w:color w:val="000000" w:themeColor="text1"/>
          <w:sz w:val="24"/>
          <w:szCs w:val="24"/>
        </w:rPr>
      </w:pPr>
    </w:p>
    <w:p w14:paraId="051E2300" w14:textId="77777777" w:rsidR="00000000" w:rsidRPr="0060384B" w:rsidRDefault="00CA5F6F">
      <w:pPr>
        <w:spacing w:line="244" w:lineRule="auto"/>
        <w:rPr>
          <w:rFonts w:ascii="Lato" w:hAnsi="Lato"/>
          <w:color w:val="000000" w:themeColor="text1"/>
          <w:sz w:val="24"/>
          <w:szCs w:val="24"/>
        </w:rPr>
      </w:pPr>
      <w:r w:rsidRPr="0060384B">
        <w:rPr>
          <w:rFonts w:ascii="Lato" w:hAnsi="Lato"/>
          <w:color w:val="000000" w:themeColor="text1"/>
          <w:sz w:val="24"/>
          <w:szCs w:val="24"/>
        </w:rPr>
        <w:t>The study results suggest that individuals may have discernible functional limitations well before cognitive symptoms are apparent. It is possible th</w:t>
      </w:r>
      <w:r w:rsidRPr="0060384B">
        <w:rPr>
          <w:rFonts w:ascii="Lato" w:hAnsi="Lato"/>
          <w:color w:val="000000" w:themeColor="text1"/>
          <w:sz w:val="24"/>
          <w:szCs w:val="24"/>
        </w:rPr>
        <w:t>at earlier driving cessation is a function of changes in sensory, motor, visuomotor, and navigational abilities that occur in individuals with preclinical disease. Future research will be needed to better understand the functional changes that occur in pre</w:t>
      </w:r>
      <w:r w:rsidRPr="0060384B">
        <w:rPr>
          <w:rFonts w:ascii="Lato" w:hAnsi="Lato"/>
          <w:color w:val="000000" w:themeColor="text1"/>
          <w:sz w:val="24"/>
          <w:szCs w:val="24"/>
        </w:rPr>
        <w:t>clinical Alzheimer</w:t>
      </w:r>
      <w:r w:rsidRPr="0060384B">
        <w:rPr>
          <w:rFonts w:ascii="Lato" w:hAnsi="Lato"/>
          <w:color w:val="000000" w:themeColor="text1"/>
          <w:sz w:val="24"/>
          <w:szCs w:val="24"/>
        </w:rPr>
        <w:t>’s disease, develop driving cessation decision tools, and examine interventions for those most at risk for unsafe driving.</w:t>
      </w:r>
    </w:p>
    <w:p w14:paraId="7031653A" w14:textId="77777777" w:rsidR="00000000" w:rsidRPr="0060384B" w:rsidRDefault="00CA5F6F">
      <w:pPr>
        <w:spacing w:line="250" w:lineRule="exact"/>
        <w:rPr>
          <w:rFonts w:ascii="Lato" w:eastAsia="Times New Roman" w:hAnsi="Lato"/>
          <w:color w:val="000000" w:themeColor="text1"/>
          <w:sz w:val="24"/>
          <w:szCs w:val="24"/>
        </w:rPr>
      </w:pPr>
    </w:p>
    <w:p w14:paraId="3205650C" w14:textId="77777777" w:rsidR="00000000" w:rsidRPr="0060384B" w:rsidRDefault="00CA5F6F">
      <w:pPr>
        <w:spacing w:line="243" w:lineRule="auto"/>
        <w:ind w:right="60"/>
        <w:rPr>
          <w:rFonts w:ascii="Lato" w:hAnsi="Lato"/>
          <w:color w:val="000000" w:themeColor="text1"/>
          <w:sz w:val="24"/>
          <w:szCs w:val="24"/>
        </w:rPr>
      </w:pPr>
      <w:r w:rsidRPr="0060384B">
        <w:rPr>
          <w:rFonts w:ascii="Lato" w:hAnsi="Lato"/>
          <w:color w:val="000000" w:themeColor="text1"/>
          <w:sz w:val="24"/>
          <w:szCs w:val="24"/>
        </w:rPr>
        <w:t>The search for accurate and novel biological biomarkers is an increasingly active area of study. Several studies a</w:t>
      </w:r>
      <w:r w:rsidRPr="0060384B">
        <w:rPr>
          <w:rFonts w:ascii="Lato" w:hAnsi="Lato"/>
          <w:color w:val="000000" w:themeColor="text1"/>
          <w:sz w:val="24"/>
          <w:szCs w:val="24"/>
        </w:rPr>
        <w:t>re underway, including, for example, one involving detection of small-vessel microvascular changes in the eye</w:t>
      </w:r>
      <w:r w:rsidRPr="0060384B">
        <w:rPr>
          <w:rFonts w:ascii="Lato" w:hAnsi="Lato"/>
          <w:color w:val="000000" w:themeColor="text1"/>
          <w:sz w:val="24"/>
          <w:szCs w:val="24"/>
        </w:rPr>
        <w:t>—the Eye Determinants of Cognition, or EyeDoc, Study</w:t>
      </w:r>
      <w:r w:rsidRPr="0060384B">
        <w:rPr>
          <w:rFonts w:ascii="Lato" w:hAnsi="Lato"/>
          <w:color w:val="000000" w:themeColor="text1"/>
          <w:sz w:val="24"/>
          <w:szCs w:val="24"/>
        </w:rPr>
        <w:t>—using new technology to examine retinal biomarkers that may signal cerebrovascular changes rel</w:t>
      </w:r>
      <w:r w:rsidRPr="0060384B">
        <w:rPr>
          <w:rFonts w:ascii="Lato" w:hAnsi="Lato"/>
          <w:color w:val="000000" w:themeColor="text1"/>
          <w:sz w:val="24"/>
          <w:szCs w:val="24"/>
        </w:rPr>
        <w:t>ated to dementia. Researchers are using a novel PET radiotracer, now being tested in an animal model for Parkinson</w:t>
      </w:r>
      <w:r w:rsidRPr="0060384B">
        <w:rPr>
          <w:rFonts w:ascii="Lato" w:hAnsi="Lato"/>
          <w:color w:val="000000" w:themeColor="text1"/>
          <w:sz w:val="24"/>
          <w:szCs w:val="24"/>
        </w:rPr>
        <w:t>’s disease, for imaging oxidative stress to track neuroinflammation in patients at risk for developing Alzheimer's. Others are working to deve</w:t>
      </w:r>
      <w:r w:rsidRPr="0060384B">
        <w:rPr>
          <w:rFonts w:ascii="Lato" w:hAnsi="Lato"/>
          <w:color w:val="000000" w:themeColor="text1"/>
          <w:sz w:val="24"/>
          <w:szCs w:val="24"/>
        </w:rPr>
        <w:t>lop and validate a blood test for Alzheimer</w:t>
      </w:r>
      <w:r w:rsidRPr="0060384B">
        <w:rPr>
          <w:rFonts w:ascii="Lato" w:hAnsi="Lato"/>
          <w:color w:val="000000" w:themeColor="text1"/>
          <w:sz w:val="24"/>
          <w:szCs w:val="24"/>
        </w:rPr>
        <w:t>’s for primary care settings.</w:t>
      </w:r>
    </w:p>
    <w:p w14:paraId="14024452" w14:textId="77777777" w:rsidR="00000000" w:rsidRPr="0060384B" w:rsidRDefault="00CA5F6F">
      <w:pPr>
        <w:spacing w:line="245" w:lineRule="exact"/>
        <w:rPr>
          <w:rFonts w:ascii="Lato" w:eastAsia="Times New Roman" w:hAnsi="Lato"/>
          <w:color w:val="000000" w:themeColor="text1"/>
          <w:sz w:val="24"/>
          <w:szCs w:val="24"/>
        </w:rPr>
      </w:pPr>
    </w:p>
    <w:p w14:paraId="3603B1CA"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Digital Technologies Bring New Dimension to Dementia Study, Care</w:t>
      </w:r>
    </w:p>
    <w:p w14:paraId="46C86E78" w14:textId="77777777" w:rsidR="00000000" w:rsidRPr="0060384B" w:rsidRDefault="00CA5F6F">
      <w:pPr>
        <w:spacing w:line="287" w:lineRule="exact"/>
        <w:rPr>
          <w:rFonts w:ascii="Lato" w:eastAsia="Times New Roman" w:hAnsi="Lato"/>
          <w:color w:val="000000" w:themeColor="text1"/>
          <w:sz w:val="24"/>
          <w:szCs w:val="24"/>
        </w:rPr>
      </w:pPr>
    </w:p>
    <w:p w14:paraId="1242D481" w14:textId="77777777" w:rsidR="00000000" w:rsidRPr="0060384B" w:rsidRDefault="00CA5F6F">
      <w:pPr>
        <w:spacing w:line="247" w:lineRule="auto"/>
        <w:ind w:right="400"/>
        <w:rPr>
          <w:rFonts w:ascii="Lato" w:hAnsi="Lato"/>
          <w:color w:val="000000" w:themeColor="text1"/>
          <w:sz w:val="24"/>
          <w:szCs w:val="24"/>
        </w:rPr>
      </w:pPr>
      <w:r w:rsidRPr="0060384B">
        <w:rPr>
          <w:rFonts w:ascii="Lato" w:hAnsi="Lato"/>
          <w:color w:val="000000" w:themeColor="text1"/>
          <w:sz w:val="24"/>
          <w:szCs w:val="24"/>
        </w:rPr>
        <w:t>NIH has long been interested in promoting the development and use of new technologies in dementia study and care. Hi</w:t>
      </w:r>
      <w:r w:rsidRPr="0060384B">
        <w:rPr>
          <w:rFonts w:ascii="Lato" w:hAnsi="Lato"/>
          <w:color w:val="000000" w:themeColor="text1"/>
          <w:sz w:val="24"/>
          <w:szCs w:val="24"/>
        </w:rPr>
        <w:t>ghlighted here are initiatives in mobile measures of cognitive change, screening in clinical settings, and learning more about how patients and their caregivers react to findings from imaging tests.</w:t>
      </w:r>
    </w:p>
    <w:p w14:paraId="28DF0359" w14:textId="77777777" w:rsidR="00000000" w:rsidRPr="0060384B" w:rsidRDefault="00CA5F6F">
      <w:pPr>
        <w:spacing w:line="243" w:lineRule="exact"/>
        <w:rPr>
          <w:rFonts w:ascii="Lato" w:eastAsia="Times New Roman" w:hAnsi="Lato"/>
          <w:color w:val="000000" w:themeColor="text1"/>
          <w:sz w:val="24"/>
          <w:szCs w:val="24"/>
        </w:rPr>
      </w:pPr>
    </w:p>
    <w:p w14:paraId="0E9046CD"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Mobile Measuring of Cognitive Change</w:t>
      </w:r>
    </w:p>
    <w:p w14:paraId="4FF8D54D" w14:textId="77777777" w:rsidR="00000000" w:rsidRPr="0060384B" w:rsidRDefault="00CA5F6F">
      <w:pPr>
        <w:spacing w:line="281" w:lineRule="exact"/>
        <w:rPr>
          <w:rFonts w:ascii="Lato" w:eastAsia="Times New Roman" w:hAnsi="Lato"/>
          <w:color w:val="000000" w:themeColor="text1"/>
          <w:sz w:val="24"/>
          <w:szCs w:val="24"/>
        </w:rPr>
      </w:pPr>
    </w:p>
    <w:p w14:paraId="181BD8F8" w14:textId="77777777" w:rsidR="00000000" w:rsidRPr="0060384B" w:rsidRDefault="00CA5F6F">
      <w:pPr>
        <w:spacing w:line="252" w:lineRule="auto"/>
        <w:ind w:right="40"/>
        <w:rPr>
          <w:rFonts w:ascii="Lato" w:hAnsi="Lato"/>
          <w:color w:val="000000" w:themeColor="text1"/>
          <w:sz w:val="24"/>
          <w:szCs w:val="24"/>
        </w:rPr>
      </w:pPr>
      <w:r w:rsidRPr="0060384B">
        <w:rPr>
          <w:rFonts w:ascii="Lato" w:hAnsi="Lato"/>
          <w:color w:val="000000" w:themeColor="text1"/>
          <w:sz w:val="24"/>
          <w:szCs w:val="24"/>
        </w:rPr>
        <w:t>Building on the su</w:t>
      </w:r>
      <w:r w:rsidRPr="0060384B">
        <w:rPr>
          <w:rFonts w:ascii="Lato" w:hAnsi="Lato"/>
          <w:color w:val="000000" w:themeColor="text1"/>
          <w:sz w:val="24"/>
          <w:szCs w:val="24"/>
        </w:rPr>
        <w:t xml:space="preserve">ccess of the </w:t>
      </w:r>
      <w:hyperlink r:id="rId177" w:history="1">
        <w:r w:rsidRPr="0060384B">
          <w:rPr>
            <w:rFonts w:ascii="Lato" w:hAnsi="Lato"/>
            <w:color w:val="000000" w:themeColor="text1"/>
            <w:sz w:val="24"/>
            <w:szCs w:val="24"/>
          </w:rPr>
          <w:t>NIH Toolbox</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and its common measures of cognitive and emotional health, NIA in 2017 sought to expand and update technology to help assess</w:t>
      </w:r>
      <w:r w:rsidRPr="0060384B">
        <w:rPr>
          <w:rFonts w:ascii="Lato" w:hAnsi="Lato"/>
          <w:color w:val="000000" w:themeColor="text1"/>
          <w:sz w:val="24"/>
          <w:szCs w:val="24"/>
        </w:rPr>
        <w:t xml:space="preserve"> cognitive change through mobile monitoring. In 2018, two projects began:</w:t>
      </w:r>
    </w:p>
    <w:p w14:paraId="7F5F6E71" w14:textId="77777777" w:rsidR="00000000" w:rsidRPr="0060384B" w:rsidRDefault="00CA5F6F">
      <w:pPr>
        <w:spacing w:line="233" w:lineRule="exact"/>
        <w:rPr>
          <w:rFonts w:ascii="Lato" w:eastAsia="Times New Roman" w:hAnsi="Lato"/>
          <w:color w:val="000000" w:themeColor="text1"/>
          <w:sz w:val="24"/>
          <w:szCs w:val="24"/>
        </w:rPr>
      </w:pPr>
    </w:p>
    <w:p w14:paraId="0B1CE8C7" w14:textId="77777777" w:rsidR="00000000" w:rsidRPr="0060384B" w:rsidRDefault="00CA5F6F">
      <w:pPr>
        <w:spacing w:line="244" w:lineRule="auto"/>
        <w:ind w:right="120"/>
        <w:rPr>
          <w:rFonts w:ascii="Lato" w:hAnsi="Lato"/>
          <w:color w:val="000000" w:themeColor="text1"/>
          <w:sz w:val="24"/>
          <w:szCs w:val="24"/>
        </w:rPr>
      </w:pPr>
      <w:r w:rsidRPr="0060384B">
        <w:rPr>
          <w:rFonts w:ascii="Lato" w:hAnsi="Lato"/>
          <w:b/>
          <w:color w:val="000000" w:themeColor="text1"/>
          <w:sz w:val="24"/>
          <w:szCs w:val="24"/>
        </w:rPr>
        <w:t xml:space="preserve">Ambulatory methods for measuring cognitive change </w:t>
      </w:r>
      <w:r w:rsidRPr="0060384B">
        <w:rPr>
          <w:rFonts w:ascii="Lato" w:hAnsi="Lato"/>
          <w:color w:val="000000" w:themeColor="text1"/>
          <w:sz w:val="24"/>
          <w:szCs w:val="24"/>
        </w:rPr>
        <w:t>(</w:t>
      </w:r>
      <w:hyperlink r:id="rId178" w:history="1">
        <w:r w:rsidRPr="0060384B">
          <w:rPr>
            <w:rFonts w:ascii="Lato" w:hAnsi="Lato"/>
            <w:color w:val="000000" w:themeColor="text1"/>
            <w:sz w:val="24"/>
            <w:szCs w:val="24"/>
          </w:rPr>
          <w:t>U2CAG060408, PI Martin Sliwinski</w:t>
        </w:r>
      </w:hyperlink>
      <w:r w:rsidRPr="0060384B">
        <w:rPr>
          <w:rFonts w:ascii="Lato" w:hAnsi="Lato"/>
          <w:color w:val="000000" w:themeColor="text1"/>
          <w:sz w:val="24"/>
          <w:szCs w:val="24"/>
        </w:rPr>
        <w:t>)</w:t>
      </w:r>
      <w:r w:rsidRPr="0060384B">
        <w:rPr>
          <w:rFonts w:ascii="Lato" w:hAnsi="Lato"/>
          <w:color w:val="000000" w:themeColor="text1"/>
          <w:sz w:val="24"/>
          <w:szCs w:val="24"/>
        </w:rPr>
        <w:t>. In</w:t>
      </w:r>
      <w:r w:rsidRPr="0060384B">
        <w:rPr>
          <w:rFonts w:ascii="Lato" w:hAnsi="Lato"/>
          <w:b/>
          <w:color w:val="000000" w:themeColor="text1"/>
          <w:sz w:val="24"/>
          <w:szCs w:val="24"/>
        </w:rPr>
        <w:t xml:space="preserve"> </w:t>
      </w:r>
      <w:r w:rsidRPr="0060384B">
        <w:rPr>
          <w:rFonts w:ascii="Lato" w:hAnsi="Lato"/>
          <w:color w:val="000000" w:themeColor="text1"/>
          <w:sz w:val="24"/>
          <w:szCs w:val="24"/>
        </w:rPr>
        <w:t>this study, scientists are developing infrastructure to provide the research community with validated open, flexible, and usable mobile application tools for sensitive and accurate measurem</w:t>
      </w:r>
      <w:r w:rsidRPr="0060384B">
        <w:rPr>
          <w:rFonts w:ascii="Lato" w:hAnsi="Lato"/>
          <w:color w:val="000000" w:themeColor="text1"/>
          <w:sz w:val="24"/>
          <w:szCs w:val="24"/>
        </w:rPr>
        <w:t>ent of cognitive change. The tools aim to detect subtle cognitive changes years before the onset of discernable cognitive symptoms by developing innovative ambulatory methods that rely on mobile and sensor technology to measure the cognitive and behavioral</w:t>
      </w:r>
      <w:r w:rsidRPr="0060384B">
        <w:rPr>
          <w:rFonts w:ascii="Lato" w:hAnsi="Lato"/>
          <w:color w:val="000000" w:themeColor="text1"/>
          <w:sz w:val="24"/>
          <w:szCs w:val="24"/>
        </w:rPr>
        <w:t xml:space="preserve"> function of people in their everyday lives. These methods may improve measurements of early</w:t>
      </w:r>
    </w:p>
    <w:p w14:paraId="6F1ADA5B" w14:textId="77777777" w:rsidR="00000000" w:rsidRPr="0060384B" w:rsidRDefault="00CA5F6F">
      <w:pPr>
        <w:spacing w:line="244" w:lineRule="auto"/>
        <w:ind w:right="12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7437BA82" w14:textId="77777777" w:rsidR="00000000" w:rsidRPr="0060384B" w:rsidRDefault="00CA5F6F">
      <w:pPr>
        <w:spacing w:line="307"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673D992C" w14:textId="77777777">
        <w:trPr>
          <w:trHeight w:val="245"/>
        </w:trPr>
        <w:tc>
          <w:tcPr>
            <w:tcW w:w="6540" w:type="dxa"/>
            <w:shd w:val="clear" w:color="auto" w:fill="auto"/>
            <w:vAlign w:val="bottom"/>
          </w:tcPr>
          <w:p w14:paraId="18FB0B55"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71EE8A53"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49</w:t>
            </w:r>
          </w:p>
        </w:tc>
      </w:tr>
      <w:tr w:rsidR="00000000" w:rsidRPr="0060384B" w14:paraId="6266859C" w14:textId="77777777">
        <w:trPr>
          <w:trHeight w:val="258"/>
        </w:trPr>
        <w:tc>
          <w:tcPr>
            <w:tcW w:w="6540" w:type="dxa"/>
            <w:shd w:val="clear" w:color="auto" w:fill="auto"/>
            <w:vAlign w:val="bottom"/>
          </w:tcPr>
          <w:p w14:paraId="412A131D"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NIH Bypass Budget Proposal for Fiscal Year 2021</w:t>
            </w:r>
          </w:p>
        </w:tc>
        <w:tc>
          <w:tcPr>
            <w:tcW w:w="2820" w:type="dxa"/>
            <w:shd w:val="clear" w:color="auto" w:fill="auto"/>
            <w:vAlign w:val="bottom"/>
          </w:tcPr>
          <w:p w14:paraId="062C091E" w14:textId="77777777" w:rsidR="00000000" w:rsidRPr="0060384B" w:rsidRDefault="00CA5F6F">
            <w:pPr>
              <w:spacing w:line="0" w:lineRule="atLeast"/>
              <w:rPr>
                <w:rFonts w:ascii="Lato" w:eastAsia="Times New Roman" w:hAnsi="Lato"/>
                <w:color w:val="000000" w:themeColor="text1"/>
                <w:sz w:val="24"/>
                <w:szCs w:val="24"/>
              </w:rPr>
            </w:pPr>
          </w:p>
        </w:tc>
      </w:tr>
    </w:tbl>
    <w:p w14:paraId="122096FA"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074CBE7B" w14:textId="77777777" w:rsidR="00000000" w:rsidRPr="0060384B" w:rsidRDefault="00CA5F6F">
      <w:pPr>
        <w:spacing w:line="262" w:lineRule="auto"/>
        <w:ind w:right="180"/>
        <w:rPr>
          <w:rFonts w:ascii="Lato" w:hAnsi="Lato"/>
          <w:color w:val="000000" w:themeColor="text1"/>
          <w:sz w:val="24"/>
          <w:szCs w:val="24"/>
        </w:rPr>
      </w:pPr>
      <w:bookmarkStart w:id="52" w:name="page53"/>
      <w:bookmarkEnd w:id="52"/>
      <w:r w:rsidRPr="0060384B">
        <w:rPr>
          <w:rFonts w:ascii="Lato" w:hAnsi="Lato"/>
          <w:color w:val="000000" w:themeColor="text1"/>
          <w:sz w:val="24"/>
          <w:szCs w:val="24"/>
        </w:rPr>
        <w:lastRenderedPageBreak/>
        <w:t>signs of cognitive impairment and set the stage for a next generation of early interve</w:t>
      </w:r>
      <w:r w:rsidRPr="0060384B">
        <w:rPr>
          <w:rFonts w:ascii="Lato" w:hAnsi="Lato"/>
          <w:color w:val="000000" w:themeColor="text1"/>
          <w:sz w:val="24"/>
          <w:szCs w:val="24"/>
        </w:rPr>
        <w:t>ntion and prevention studies.</w:t>
      </w:r>
    </w:p>
    <w:p w14:paraId="26341701" w14:textId="77777777" w:rsidR="00000000" w:rsidRPr="0060384B" w:rsidRDefault="00CA5F6F">
      <w:pPr>
        <w:spacing w:line="224" w:lineRule="exact"/>
        <w:rPr>
          <w:rFonts w:ascii="Lato" w:eastAsia="Times New Roman" w:hAnsi="Lato"/>
          <w:color w:val="000000" w:themeColor="text1"/>
          <w:sz w:val="24"/>
          <w:szCs w:val="24"/>
        </w:rPr>
      </w:pPr>
    </w:p>
    <w:p w14:paraId="37633C2F" w14:textId="77777777" w:rsidR="00000000" w:rsidRPr="0060384B" w:rsidRDefault="00CA5F6F">
      <w:pPr>
        <w:spacing w:line="244" w:lineRule="auto"/>
        <w:ind w:right="140"/>
        <w:rPr>
          <w:rFonts w:ascii="Lato" w:hAnsi="Lato"/>
          <w:color w:val="000000" w:themeColor="text1"/>
          <w:sz w:val="24"/>
          <w:szCs w:val="24"/>
        </w:rPr>
      </w:pPr>
      <w:r w:rsidRPr="0060384B">
        <w:rPr>
          <w:rFonts w:ascii="Lato" w:hAnsi="Lato"/>
          <w:b/>
          <w:color w:val="000000" w:themeColor="text1"/>
          <w:sz w:val="24"/>
          <w:szCs w:val="24"/>
        </w:rPr>
        <w:t xml:space="preserve">MobileToolbox for monitoring cognitive function </w:t>
      </w:r>
      <w:r w:rsidRPr="0060384B">
        <w:rPr>
          <w:rFonts w:ascii="Lato" w:hAnsi="Lato"/>
          <w:color w:val="000000" w:themeColor="text1"/>
          <w:sz w:val="24"/>
          <w:szCs w:val="24"/>
        </w:rPr>
        <w:t>(</w:t>
      </w:r>
      <w:hyperlink r:id="rId179" w:history="1">
        <w:r w:rsidRPr="0060384B">
          <w:rPr>
            <w:rFonts w:ascii="Lato" w:hAnsi="Lato"/>
            <w:color w:val="000000" w:themeColor="text1"/>
            <w:sz w:val="24"/>
            <w:szCs w:val="24"/>
          </w:rPr>
          <w:t>U2CAG060426, PI Ri</w:t>
        </w:r>
        <w:r w:rsidRPr="0060384B">
          <w:rPr>
            <w:rFonts w:ascii="Lato" w:hAnsi="Lato"/>
            <w:color w:val="000000" w:themeColor="text1"/>
            <w:sz w:val="24"/>
            <w:szCs w:val="24"/>
          </w:rPr>
          <w:t>chard Gershon</w:t>
        </w:r>
      </w:hyperlink>
      <w:r w:rsidRPr="0060384B">
        <w:rPr>
          <w:rFonts w:ascii="Lato" w:hAnsi="Lato"/>
          <w:color w:val="000000" w:themeColor="text1"/>
          <w:sz w:val="24"/>
          <w:szCs w:val="24"/>
        </w:rPr>
        <w:t>)</w:t>
      </w:r>
      <w:r w:rsidRPr="0060384B">
        <w:rPr>
          <w:rFonts w:ascii="Lato" w:hAnsi="Lato"/>
          <w:color w:val="000000" w:themeColor="text1"/>
          <w:sz w:val="24"/>
          <w:szCs w:val="24"/>
        </w:rPr>
        <w:t>.</w:t>
      </w:r>
      <w:r w:rsidRPr="0060384B">
        <w:rPr>
          <w:rFonts w:ascii="Lato" w:hAnsi="Lato"/>
          <w:b/>
          <w:color w:val="000000" w:themeColor="text1"/>
          <w:sz w:val="24"/>
          <w:szCs w:val="24"/>
        </w:rPr>
        <w:t xml:space="preserve"> </w:t>
      </w:r>
      <w:r w:rsidRPr="0060384B">
        <w:rPr>
          <w:rFonts w:ascii="Lato" w:hAnsi="Lato"/>
          <w:color w:val="000000" w:themeColor="text1"/>
          <w:sz w:val="24"/>
          <w:szCs w:val="24"/>
        </w:rPr>
        <w:t xml:space="preserve">Researchers are developing and validating tests from the NIH Toolbox for use on mobile platforms. A set of harmonized, app-based cognitive assessment tools will seek to discern normal from abnormal cognitive change in adults age 20 to 85. </w:t>
      </w:r>
      <w:r w:rsidRPr="0060384B">
        <w:rPr>
          <w:rFonts w:ascii="Lato" w:hAnsi="Lato"/>
          <w:color w:val="000000" w:themeColor="text1"/>
          <w:sz w:val="24"/>
          <w:szCs w:val="24"/>
        </w:rPr>
        <w:t>This mobile version would be used where in-person administration of the NIH Toolbox assessments would be too expensive. Once developed and validated, the assessments in the MobileToolbox platform can be used in treatment trials and, ultimately, in the clin</w:t>
      </w:r>
      <w:r w:rsidRPr="0060384B">
        <w:rPr>
          <w:rFonts w:ascii="Lato" w:hAnsi="Lato"/>
          <w:color w:val="000000" w:themeColor="text1"/>
          <w:sz w:val="24"/>
          <w:szCs w:val="24"/>
        </w:rPr>
        <w:t>ical environment.</w:t>
      </w:r>
    </w:p>
    <w:p w14:paraId="7508A11A" w14:textId="77777777" w:rsidR="00000000" w:rsidRPr="0060384B" w:rsidRDefault="00CA5F6F">
      <w:pPr>
        <w:spacing w:line="245" w:lineRule="exact"/>
        <w:rPr>
          <w:rFonts w:ascii="Lato" w:eastAsia="Times New Roman" w:hAnsi="Lato"/>
          <w:color w:val="000000" w:themeColor="text1"/>
          <w:sz w:val="24"/>
          <w:szCs w:val="24"/>
        </w:rPr>
      </w:pPr>
    </w:p>
    <w:p w14:paraId="67194DF7"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Improving Clinicians</w:t>
      </w:r>
      <w:r w:rsidRPr="0060384B">
        <w:rPr>
          <w:rFonts w:ascii="Lato" w:hAnsi="Lato"/>
          <w:b/>
          <w:color w:val="000000" w:themeColor="text1"/>
          <w:sz w:val="24"/>
          <w:szCs w:val="24"/>
        </w:rPr>
        <w:t>’ Assessment Capabilities</w:t>
      </w:r>
    </w:p>
    <w:p w14:paraId="50D0EFBF" w14:textId="77777777" w:rsidR="00000000" w:rsidRPr="0060384B" w:rsidRDefault="00CA5F6F">
      <w:pPr>
        <w:spacing w:line="284" w:lineRule="exact"/>
        <w:rPr>
          <w:rFonts w:ascii="Lato" w:eastAsia="Times New Roman" w:hAnsi="Lato"/>
          <w:color w:val="000000" w:themeColor="text1"/>
          <w:sz w:val="24"/>
          <w:szCs w:val="24"/>
        </w:rPr>
      </w:pPr>
    </w:p>
    <w:p w14:paraId="7A8A4541" w14:textId="77777777" w:rsidR="00000000" w:rsidRPr="0060384B" w:rsidRDefault="00CA5F6F">
      <w:pPr>
        <w:spacing w:line="241" w:lineRule="auto"/>
        <w:ind w:right="20"/>
        <w:rPr>
          <w:rFonts w:ascii="Lato" w:hAnsi="Lato"/>
          <w:color w:val="000000" w:themeColor="text1"/>
          <w:sz w:val="24"/>
          <w:szCs w:val="24"/>
        </w:rPr>
      </w:pPr>
      <w:r w:rsidRPr="0060384B">
        <w:rPr>
          <w:rFonts w:ascii="Lato" w:hAnsi="Lato"/>
          <w:color w:val="000000" w:themeColor="text1"/>
          <w:sz w:val="24"/>
          <w:szCs w:val="24"/>
        </w:rPr>
        <w:t>There is considerable evidence that early signs of cognitive impairment are not being detected in the medical system. This failure is occurring despite demonstrated benefits that early knowl</w:t>
      </w:r>
      <w:r w:rsidRPr="0060384B">
        <w:rPr>
          <w:rFonts w:ascii="Lato" w:hAnsi="Lato"/>
          <w:color w:val="000000" w:themeColor="text1"/>
          <w:sz w:val="24"/>
          <w:szCs w:val="24"/>
        </w:rPr>
        <w:t>edge offers important opportunities for individuals and families, such as participation in a clinical trial or study, intervention on potentially modifiable risk factors, compliance with treatments for comorbid conditions, and the chance to prepare for pro</w:t>
      </w:r>
      <w:r w:rsidRPr="0060384B">
        <w:rPr>
          <w:rFonts w:ascii="Lato" w:hAnsi="Lato"/>
          <w:color w:val="000000" w:themeColor="text1"/>
          <w:sz w:val="24"/>
          <w:szCs w:val="24"/>
        </w:rPr>
        <w:t>gressing disease. Research is underway to better understand many aspects of screening and diagnostic instruments for clinical and community settings, including not only their validity, sensitivity, and specificity, but also how they work in diverse populat</w:t>
      </w:r>
      <w:r w:rsidRPr="0060384B">
        <w:rPr>
          <w:rFonts w:ascii="Lato" w:hAnsi="Lato"/>
          <w:color w:val="000000" w:themeColor="text1"/>
          <w:sz w:val="24"/>
          <w:szCs w:val="24"/>
        </w:rPr>
        <w:t xml:space="preserve">ions, how they relate to biomarkers, and the balance of potential harm from false positives with potential benefit from early and accurate diagnosis. An ongoing effort, </w:t>
      </w:r>
      <w:hyperlink r:id="rId180" w:history="1">
        <w:r w:rsidRPr="0060384B">
          <w:rPr>
            <w:rFonts w:ascii="Lato" w:hAnsi="Lato"/>
            <w:color w:val="000000" w:themeColor="text1"/>
            <w:sz w:val="24"/>
            <w:szCs w:val="24"/>
          </w:rPr>
          <w:t>DetectCID</w:t>
        </w:r>
      </w:hyperlink>
      <w:r w:rsidRPr="0060384B">
        <w:rPr>
          <w:rFonts w:ascii="Lato" w:hAnsi="Lato"/>
          <w:color w:val="000000" w:themeColor="text1"/>
          <w:sz w:val="24"/>
          <w:szCs w:val="24"/>
        </w:rPr>
        <w:t>—the Consortium for Detecting Cogni</w:t>
      </w:r>
      <w:r w:rsidRPr="0060384B">
        <w:rPr>
          <w:rFonts w:ascii="Lato" w:hAnsi="Lato"/>
          <w:color w:val="000000" w:themeColor="text1"/>
          <w:sz w:val="24"/>
          <w:szCs w:val="24"/>
        </w:rPr>
        <w:t>tive Impairment, Including Dementia</w:t>
      </w:r>
      <w:r w:rsidRPr="0060384B">
        <w:rPr>
          <w:rFonts w:ascii="Lato" w:hAnsi="Lato"/>
          <w:color w:val="000000" w:themeColor="text1"/>
          <w:sz w:val="24"/>
          <w:szCs w:val="24"/>
        </w:rPr>
        <w:t>—is a collaborative network supported by NIH to develop and validate approaches to detect cognitive impairment in primary care and other everyday clinical settings.</w:t>
      </w:r>
    </w:p>
    <w:p w14:paraId="258FCAC5" w14:textId="77777777" w:rsidR="00000000" w:rsidRPr="0060384B" w:rsidRDefault="00CA5F6F">
      <w:pPr>
        <w:spacing w:line="263" w:lineRule="exact"/>
        <w:rPr>
          <w:rFonts w:ascii="Lato" w:eastAsia="Times New Roman" w:hAnsi="Lato"/>
          <w:color w:val="000000" w:themeColor="text1"/>
          <w:sz w:val="24"/>
          <w:szCs w:val="24"/>
        </w:rPr>
      </w:pPr>
    </w:p>
    <w:p w14:paraId="1862C0A9" w14:textId="77777777" w:rsidR="00000000" w:rsidRPr="0060384B" w:rsidRDefault="00CA5F6F">
      <w:pPr>
        <w:spacing w:line="243" w:lineRule="auto"/>
        <w:ind w:right="40"/>
        <w:rPr>
          <w:rFonts w:ascii="Lato" w:hAnsi="Lato"/>
          <w:color w:val="000000" w:themeColor="text1"/>
          <w:sz w:val="24"/>
          <w:szCs w:val="24"/>
        </w:rPr>
      </w:pPr>
      <w:r w:rsidRPr="0060384B">
        <w:rPr>
          <w:rFonts w:ascii="Lato" w:hAnsi="Lato"/>
          <w:color w:val="000000" w:themeColor="text1"/>
          <w:sz w:val="24"/>
          <w:szCs w:val="24"/>
        </w:rPr>
        <w:t>NIH continues to look for improved and practical screen</w:t>
      </w:r>
      <w:r w:rsidRPr="0060384B">
        <w:rPr>
          <w:rFonts w:ascii="Lato" w:hAnsi="Lato"/>
          <w:color w:val="000000" w:themeColor="text1"/>
          <w:sz w:val="24"/>
          <w:szCs w:val="24"/>
        </w:rPr>
        <w:t>ing capabilities. In a recent report (</w:t>
      </w:r>
      <w:hyperlink r:id="rId181" w:history="1">
        <w:r w:rsidRPr="0060384B">
          <w:rPr>
            <w:rFonts w:ascii="Lato" w:hAnsi="Lato"/>
            <w:color w:val="000000" w:themeColor="text1"/>
            <w:sz w:val="24"/>
            <w:szCs w:val="24"/>
          </w:rPr>
          <w:t>Galvin et al., 2018</w:t>
        </w:r>
      </w:hyperlink>
      <w:r w:rsidRPr="0060384B">
        <w:rPr>
          <w:rFonts w:ascii="Lato" w:hAnsi="Lato"/>
          <w:color w:val="000000" w:themeColor="text1"/>
          <w:sz w:val="24"/>
          <w:szCs w:val="24"/>
        </w:rPr>
        <w:t>), a team of researchers supported by NIH evaluated performance and informant-based assessments, as well as the usefulness of patient self</w:t>
      </w:r>
      <w:r w:rsidRPr="0060384B">
        <w:rPr>
          <w:rFonts w:ascii="Lato" w:hAnsi="Lato"/>
          <w:color w:val="000000" w:themeColor="text1"/>
          <w:sz w:val="24"/>
          <w:szCs w:val="24"/>
        </w:rPr>
        <w:t>-reports of subjective cognitive impairment. They developed an algorithm combining these measures for screening for dementia in a variety of clinical settings. The approach may help to inform providers about the presence or absence of a cognitive disorder,</w:t>
      </w:r>
      <w:r w:rsidRPr="0060384B">
        <w:rPr>
          <w:rFonts w:ascii="Lato" w:hAnsi="Lato"/>
          <w:color w:val="000000" w:themeColor="text1"/>
          <w:sz w:val="24"/>
          <w:szCs w:val="24"/>
        </w:rPr>
        <w:t xml:space="preserve"> stage the extent of the disorder, and develop a differential diagnosis and management plan. The research team has received support to develop and test their approach in a multicultural community.</w:t>
      </w:r>
    </w:p>
    <w:p w14:paraId="1F85C5C0" w14:textId="77777777" w:rsidR="00000000" w:rsidRPr="0060384B" w:rsidRDefault="00CA5F6F">
      <w:pPr>
        <w:spacing w:line="249" w:lineRule="exact"/>
        <w:rPr>
          <w:rFonts w:ascii="Lato" w:eastAsia="Times New Roman" w:hAnsi="Lato"/>
          <w:color w:val="000000" w:themeColor="text1"/>
          <w:sz w:val="24"/>
          <w:szCs w:val="24"/>
        </w:rPr>
      </w:pPr>
    </w:p>
    <w:p w14:paraId="6A000C9F"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Assessing the Impact of Biomarker, Imaging Tests on Patien</w:t>
      </w:r>
      <w:r w:rsidRPr="0060384B">
        <w:rPr>
          <w:rFonts w:ascii="Lato" w:hAnsi="Lato"/>
          <w:b/>
          <w:color w:val="000000" w:themeColor="text1"/>
          <w:sz w:val="24"/>
          <w:szCs w:val="24"/>
        </w:rPr>
        <w:t>ts and Caregivers</w:t>
      </w:r>
    </w:p>
    <w:p w14:paraId="1EF1209B" w14:textId="77777777" w:rsidR="00000000" w:rsidRPr="0060384B" w:rsidRDefault="00CA5F6F">
      <w:pPr>
        <w:spacing w:line="281" w:lineRule="exact"/>
        <w:rPr>
          <w:rFonts w:ascii="Lato" w:eastAsia="Times New Roman" w:hAnsi="Lato"/>
          <w:color w:val="000000" w:themeColor="text1"/>
          <w:sz w:val="24"/>
          <w:szCs w:val="24"/>
        </w:rPr>
      </w:pPr>
    </w:p>
    <w:p w14:paraId="237CA2EB" w14:textId="77777777" w:rsidR="00000000" w:rsidRPr="0060384B" w:rsidRDefault="00CA5F6F">
      <w:pPr>
        <w:spacing w:line="243" w:lineRule="auto"/>
        <w:ind w:right="20"/>
        <w:jc w:val="both"/>
        <w:rPr>
          <w:rFonts w:ascii="Lato" w:hAnsi="Lato"/>
          <w:color w:val="000000" w:themeColor="text1"/>
          <w:sz w:val="24"/>
          <w:szCs w:val="24"/>
        </w:rPr>
      </w:pPr>
      <w:r w:rsidRPr="0060384B">
        <w:rPr>
          <w:rFonts w:ascii="Lato" w:hAnsi="Lato"/>
          <w:color w:val="000000" w:themeColor="text1"/>
          <w:sz w:val="24"/>
          <w:szCs w:val="24"/>
        </w:rPr>
        <w:t>How people living with dementia and their caregivers are impacted by news about brain scans and biomarkers is an important element in care. The Imaging Dementia</w:t>
      </w:r>
      <w:r w:rsidRPr="0060384B">
        <w:rPr>
          <w:rFonts w:ascii="Lato" w:hAnsi="Lato"/>
          <w:color w:val="000000" w:themeColor="text1"/>
          <w:sz w:val="24"/>
          <w:szCs w:val="24"/>
        </w:rPr>
        <w:t>–Evidence for Amyloid Scanning (IDEAS) Study, supported by the Alzheimer</w:t>
      </w:r>
      <w:r w:rsidRPr="0060384B">
        <w:rPr>
          <w:rFonts w:ascii="Lato" w:hAnsi="Lato"/>
          <w:color w:val="000000" w:themeColor="text1"/>
          <w:sz w:val="24"/>
          <w:szCs w:val="24"/>
        </w:rPr>
        <w:t>’s As</w:t>
      </w:r>
      <w:r w:rsidRPr="0060384B">
        <w:rPr>
          <w:rFonts w:ascii="Lato" w:hAnsi="Lato"/>
          <w:color w:val="000000" w:themeColor="text1"/>
          <w:sz w:val="24"/>
          <w:szCs w:val="24"/>
        </w:rPr>
        <w:t>sociation and the American College of Radiology in collaboration with the Centers for Medicare and Medicaid Services, examines how amyloid PET scans guide doctors in diagnosing Alzheimer</w:t>
      </w:r>
      <w:r w:rsidRPr="0060384B">
        <w:rPr>
          <w:rFonts w:ascii="Lato" w:hAnsi="Lato"/>
          <w:color w:val="000000" w:themeColor="text1"/>
          <w:sz w:val="24"/>
          <w:szCs w:val="24"/>
        </w:rPr>
        <w:t>’s disease and other dementias early in disease progression, where a d</w:t>
      </w:r>
      <w:r w:rsidRPr="0060384B">
        <w:rPr>
          <w:rFonts w:ascii="Lato" w:hAnsi="Lato"/>
          <w:color w:val="000000" w:themeColor="text1"/>
          <w:sz w:val="24"/>
          <w:szCs w:val="24"/>
        </w:rPr>
        <w:t>ifferential diagnosis is needed. To add the perspective of people with dementia and caregivers to this practice, NIA supported a supplemental CARE IDEAS Study on decision making, preferences, and emotional well-being of people with dementia, families,</w:t>
      </w:r>
    </w:p>
    <w:p w14:paraId="7F82C538" w14:textId="77777777" w:rsidR="00000000" w:rsidRPr="0060384B" w:rsidRDefault="00CA5F6F">
      <w:pPr>
        <w:spacing w:line="243" w:lineRule="auto"/>
        <w:ind w:right="20"/>
        <w:jc w:val="both"/>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56D4E9DB" w14:textId="77777777" w:rsidR="00000000" w:rsidRPr="0060384B" w:rsidRDefault="00CA5F6F">
      <w:pPr>
        <w:spacing w:line="345"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4654F198" w14:textId="77777777">
        <w:trPr>
          <w:trHeight w:val="245"/>
        </w:trPr>
        <w:tc>
          <w:tcPr>
            <w:tcW w:w="6540" w:type="dxa"/>
            <w:shd w:val="clear" w:color="auto" w:fill="auto"/>
            <w:vAlign w:val="bottom"/>
          </w:tcPr>
          <w:p w14:paraId="411C61C8"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TO</w:t>
            </w:r>
            <w:r w:rsidRPr="0060384B">
              <w:rPr>
                <w:rFonts w:ascii="Lato" w:hAnsi="Lato"/>
                <w:color w:val="000000" w:themeColor="text1"/>
                <w:sz w:val="24"/>
                <w:szCs w:val="24"/>
              </w:rPr>
              <w:t>GETHER WE SUCCEED</w:t>
            </w:r>
          </w:p>
        </w:tc>
        <w:tc>
          <w:tcPr>
            <w:tcW w:w="2820" w:type="dxa"/>
            <w:shd w:val="clear" w:color="auto" w:fill="auto"/>
            <w:vAlign w:val="bottom"/>
          </w:tcPr>
          <w:p w14:paraId="78E00CB8"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50</w:t>
            </w:r>
          </w:p>
        </w:tc>
      </w:tr>
      <w:tr w:rsidR="00000000" w:rsidRPr="0060384B" w14:paraId="05E457A0" w14:textId="77777777">
        <w:trPr>
          <w:trHeight w:val="258"/>
        </w:trPr>
        <w:tc>
          <w:tcPr>
            <w:tcW w:w="6540" w:type="dxa"/>
            <w:shd w:val="clear" w:color="auto" w:fill="auto"/>
            <w:vAlign w:val="bottom"/>
          </w:tcPr>
          <w:p w14:paraId="43C52CB6"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7E510972" w14:textId="77777777" w:rsidR="00000000" w:rsidRPr="0060384B" w:rsidRDefault="00CA5F6F">
            <w:pPr>
              <w:spacing w:line="0" w:lineRule="atLeast"/>
              <w:rPr>
                <w:rFonts w:ascii="Lato" w:eastAsia="Times New Roman" w:hAnsi="Lato"/>
                <w:color w:val="000000" w:themeColor="text1"/>
                <w:sz w:val="24"/>
                <w:szCs w:val="24"/>
              </w:rPr>
            </w:pPr>
          </w:p>
        </w:tc>
      </w:tr>
    </w:tbl>
    <w:p w14:paraId="24023652"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03EAAD2D" w14:textId="77777777" w:rsidR="00000000" w:rsidRPr="0060384B" w:rsidRDefault="00CA5F6F">
      <w:pPr>
        <w:spacing w:line="242" w:lineRule="auto"/>
        <w:ind w:right="160"/>
        <w:rPr>
          <w:rFonts w:ascii="Lato" w:hAnsi="Lato"/>
          <w:color w:val="000000" w:themeColor="text1"/>
          <w:sz w:val="24"/>
          <w:szCs w:val="24"/>
        </w:rPr>
      </w:pPr>
      <w:bookmarkStart w:id="53" w:name="page54"/>
      <w:bookmarkEnd w:id="53"/>
      <w:r w:rsidRPr="0060384B">
        <w:rPr>
          <w:rFonts w:ascii="Lato" w:hAnsi="Lato"/>
          <w:color w:val="000000" w:themeColor="text1"/>
          <w:sz w:val="24"/>
          <w:szCs w:val="24"/>
        </w:rPr>
        <w:lastRenderedPageBreak/>
        <w:t>and caregivers in reaction to diagnostic results from a brain scan. The study has received support to conduct a 2-year, follow-up data collection, aimed at filling a gap in understand</w:t>
      </w:r>
      <w:r w:rsidRPr="0060384B">
        <w:rPr>
          <w:rFonts w:ascii="Lato" w:hAnsi="Lato"/>
          <w:color w:val="000000" w:themeColor="text1"/>
          <w:sz w:val="24"/>
          <w:szCs w:val="24"/>
        </w:rPr>
        <w:t>ing the patient/caregiver dynamic in these situations. Specifically, researchers will look at care-seeking behavior and health care utilization, future planning, emotional well-being, and economic security, as influenced by the results of amyloid PET scans</w:t>
      </w:r>
      <w:r w:rsidRPr="0060384B">
        <w:rPr>
          <w:rFonts w:ascii="Lato" w:hAnsi="Lato"/>
          <w:color w:val="000000" w:themeColor="text1"/>
          <w:sz w:val="24"/>
          <w:szCs w:val="24"/>
        </w:rPr>
        <w:t xml:space="preserve">. The update will provide the research community with a longitudinal data resource that includes survey data, Medicare claims data, and IDEAS study amyloid PET scans to help determine the value people with dementia and their care partners place on getting </w:t>
      </w:r>
      <w:r w:rsidRPr="0060384B">
        <w:rPr>
          <w:rFonts w:ascii="Lato" w:hAnsi="Lato"/>
          <w:color w:val="000000" w:themeColor="text1"/>
          <w:sz w:val="24"/>
          <w:szCs w:val="24"/>
        </w:rPr>
        <w:t>a diagnosis confirmed by imaging, and whether diagnosis affects the pursuit of additional diagnostic certainty.</w:t>
      </w:r>
    </w:p>
    <w:p w14:paraId="5D025277" w14:textId="77777777" w:rsidR="00000000" w:rsidRPr="0060384B" w:rsidRDefault="00CA5F6F">
      <w:pPr>
        <w:spacing w:line="257" w:lineRule="exact"/>
        <w:rPr>
          <w:rFonts w:ascii="Lato" w:eastAsia="Times New Roman" w:hAnsi="Lato"/>
          <w:color w:val="000000" w:themeColor="text1"/>
          <w:sz w:val="24"/>
          <w:szCs w:val="24"/>
        </w:rPr>
      </w:pPr>
    </w:p>
    <w:p w14:paraId="3D228522" w14:textId="77777777" w:rsidR="00000000" w:rsidRPr="0060384B" w:rsidRDefault="00CA5F6F">
      <w:pPr>
        <w:spacing w:line="262" w:lineRule="auto"/>
        <w:ind w:right="1280"/>
        <w:rPr>
          <w:rFonts w:ascii="Lato" w:hAnsi="Lato"/>
          <w:color w:val="000000" w:themeColor="text1"/>
          <w:sz w:val="24"/>
          <w:szCs w:val="24"/>
        </w:rPr>
      </w:pPr>
      <w:r w:rsidRPr="0060384B">
        <w:rPr>
          <w:rFonts w:ascii="Lato" w:hAnsi="Lato"/>
          <w:color w:val="000000" w:themeColor="text1"/>
          <w:sz w:val="24"/>
          <w:szCs w:val="24"/>
        </w:rPr>
        <w:t xml:space="preserve">Learn more about research implementation milestones and progress in this area at </w:t>
      </w:r>
      <w:hyperlink r:id="rId182" w:history="1">
        <w:r w:rsidRPr="0060384B">
          <w:rPr>
            <w:rFonts w:ascii="Lato" w:hAnsi="Lato"/>
            <w:color w:val="000000" w:themeColor="text1"/>
            <w:sz w:val="24"/>
            <w:szCs w:val="24"/>
          </w:rPr>
          <w:t>www.nia.nih.gov/research/milestones/focus-area/biomarkers-diagnosis</w:t>
        </w:r>
        <w:r w:rsidRPr="0060384B">
          <w:rPr>
            <w:rFonts w:ascii="Lato" w:hAnsi="Lato"/>
            <w:color w:val="000000" w:themeColor="text1"/>
            <w:sz w:val="24"/>
            <w:szCs w:val="24"/>
          </w:rPr>
          <w:t>.</w:t>
        </w:r>
      </w:hyperlink>
    </w:p>
    <w:p w14:paraId="705A4463" w14:textId="77777777" w:rsidR="00000000" w:rsidRPr="0060384B" w:rsidRDefault="00CA5F6F">
      <w:pPr>
        <w:spacing w:line="262" w:lineRule="auto"/>
        <w:ind w:right="128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51FE7E67" w14:textId="77777777" w:rsidR="00000000" w:rsidRPr="0060384B" w:rsidRDefault="00CA5F6F">
      <w:pPr>
        <w:spacing w:line="200" w:lineRule="exact"/>
        <w:rPr>
          <w:rFonts w:ascii="Lato" w:eastAsia="Times New Roman" w:hAnsi="Lato"/>
          <w:color w:val="000000" w:themeColor="text1"/>
          <w:sz w:val="24"/>
          <w:szCs w:val="24"/>
        </w:rPr>
      </w:pPr>
    </w:p>
    <w:p w14:paraId="2B4419C0" w14:textId="77777777" w:rsidR="00000000" w:rsidRPr="0060384B" w:rsidRDefault="00CA5F6F">
      <w:pPr>
        <w:spacing w:line="200" w:lineRule="exact"/>
        <w:rPr>
          <w:rFonts w:ascii="Lato" w:eastAsia="Times New Roman" w:hAnsi="Lato"/>
          <w:color w:val="000000" w:themeColor="text1"/>
          <w:sz w:val="24"/>
          <w:szCs w:val="24"/>
        </w:rPr>
      </w:pPr>
    </w:p>
    <w:p w14:paraId="6E9C968A" w14:textId="77777777" w:rsidR="00000000" w:rsidRPr="0060384B" w:rsidRDefault="00CA5F6F">
      <w:pPr>
        <w:spacing w:line="200" w:lineRule="exact"/>
        <w:rPr>
          <w:rFonts w:ascii="Lato" w:eastAsia="Times New Roman" w:hAnsi="Lato"/>
          <w:color w:val="000000" w:themeColor="text1"/>
          <w:sz w:val="24"/>
          <w:szCs w:val="24"/>
        </w:rPr>
      </w:pPr>
    </w:p>
    <w:p w14:paraId="08482A64" w14:textId="77777777" w:rsidR="00000000" w:rsidRPr="0060384B" w:rsidRDefault="00CA5F6F">
      <w:pPr>
        <w:spacing w:line="200" w:lineRule="exact"/>
        <w:rPr>
          <w:rFonts w:ascii="Lato" w:eastAsia="Times New Roman" w:hAnsi="Lato"/>
          <w:color w:val="000000" w:themeColor="text1"/>
          <w:sz w:val="24"/>
          <w:szCs w:val="24"/>
        </w:rPr>
      </w:pPr>
    </w:p>
    <w:p w14:paraId="538EF45A" w14:textId="77777777" w:rsidR="00000000" w:rsidRPr="0060384B" w:rsidRDefault="00CA5F6F">
      <w:pPr>
        <w:spacing w:line="200" w:lineRule="exact"/>
        <w:rPr>
          <w:rFonts w:ascii="Lato" w:eastAsia="Times New Roman" w:hAnsi="Lato"/>
          <w:color w:val="000000" w:themeColor="text1"/>
          <w:sz w:val="24"/>
          <w:szCs w:val="24"/>
        </w:rPr>
      </w:pPr>
    </w:p>
    <w:p w14:paraId="2E40F91D" w14:textId="77777777" w:rsidR="00000000" w:rsidRPr="0060384B" w:rsidRDefault="00CA5F6F">
      <w:pPr>
        <w:spacing w:line="200" w:lineRule="exact"/>
        <w:rPr>
          <w:rFonts w:ascii="Lato" w:eastAsia="Times New Roman" w:hAnsi="Lato"/>
          <w:color w:val="000000" w:themeColor="text1"/>
          <w:sz w:val="24"/>
          <w:szCs w:val="24"/>
        </w:rPr>
      </w:pPr>
    </w:p>
    <w:p w14:paraId="0DA18DE7" w14:textId="77777777" w:rsidR="00000000" w:rsidRPr="0060384B" w:rsidRDefault="00CA5F6F">
      <w:pPr>
        <w:spacing w:line="200" w:lineRule="exact"/>
        <w:rPr>
          <w:rFonts w:ascii="Lato" w:eastAsia="Times New Roman" w:hAnsi="Lato"/>
          <w:color w:val="000000" w:themeColor="text1"/>
          <w:sz w:val="24"/>
          <w:szCs w:val="24"/>
        </w:rPr>
      </w:pPr>
    </w:p>
    <w:p w14:paraId="09CD8B85" w14:textId="77777777" w:rsidR="00000000" w:rsidRPr="0060384B" w:rsidRDefault="00CA5F6F">
      <w:pPr>
        <w:spacing w:line="200" w:lineRule="exact"/>
        <w:rPr>
          <w:rFonts w:ascii="Lato" w:eastAsia="Times New Roman" w:hAnsi="Lato"/>
          <w:color w:val="000000" w:themeColor="text1"/>
          <w:sz w:val="24"/>
          <w:szCs w:val="24"/>
        </w:rPr>
      </w:pPr>
    </w:p>
    <w:p w14:paraId="2D6E346D" w14:textId="77777777" w:rsidR="00000000" w:rsidRPr="0060384B" w:rsidRDefault="00CA5F6F">
      <w:pPr>
        <w:spacing w:line="200" w:lineRule="exact"/>
        <w:rPr>
          <w:rFonts w:ascii="Lato" w:eastAsia="Times New Roman" w:hAnsi="Lato"/>
          <w:color w:val="000000" w:themeColor="text1"/>
          <w:sz w:val="24"/>
          <w:szCs w:val="24"/>
        </w:rPr>
      </w:pPr>
    </w:p>
    <w:p w14:paraId="77DDFB88" w14:textId="77777777" w:rsidR="00000000" w:rsidRPr="0060384B" w:rsidRDefault="00CA5F6F">
      <w:pPr>
        <w:spacing w:line="200" w:lineRule="exact"/>
        <w:rPr>
          <w:rFonts w:ascii="Lato" w:eastAsia="Times New Roman" w:hAnsi="Lato"/>
          <w:color w:val="000000" w:themeColor="text1"/>
          <w:sz w:val="24"/>
          <w:szCs w:val="24"/>
        </w:rPr>
      </w:pPr>
    </w:p>
    <w:p w14:paraId="1A078A9E" w14:textId="77777777" w:rsidR="00000000" w:rsidRPr="0060384B" w:rsidRDefault="00CA5F6F">
      <w:pPr>
        <w:spacing w:line="200" w:lineRule="exact"/>
        <w:rPr>
          <w:rFonts w:ascii="Lato" w:eastAsia="Times New Roman" w:hAnsi="Lato"/>
          <w:color w:val="000000" w:themeColor="text1"/>
          <w:sz w:val="24"/>
          <w:szCs w:val="24"/>
        </w:rPr>
      </w:pPr>
    </w:p>
    <w:p w14:paraId="2E5D8CC4" w14:textId="77777777" w:rsidR="00000000" w:rsidRPr="0060384B" w:rsidRDefault="00CA5F6F">
      <w:pPr>
        <w:spacing w:line="200" w:lineRule="exact"/>
        <w:rPr>
          <w:rFonts w:ascii="Lato" w:eastAsia="Times New Roman" w:hAnsi="Lato"/>
          <w:color w:val="000000" w:themeColor="text1"/>
          <w:sz w:val="24"/>
          <w:szCs w:val="24"/>
        </w:rPr>
      </w:pPr>
    </w:p>
    <w:p w14:paraId="55EE0BFA" w14:textId="77777777" w:rsidR="00000000" w:rsidRPr="0060384B" w:rsidRDefault="00CA5F6F">
      <w:pPr>
        <w:spacing w:line="200" w:lineRule="exact"/>
        <w:rPr>
          <w:rFonts w:ascii="Lato" w:eastAsia="Times New Roman" w:hAnsi="Lato"/>
          <w:color w:val="000000" w:themeColor="text1"/>
          <w:sz w:val="24"/>
          <w:szCs w:val="24"/>
        </w:rPr>
      </w:pPr>
    </w:p>
    <w:p w14:paraId="284E4851" w14:textId="77777777" w:rsidR="00000000" w:rsidRPr="0060384B" w:rsidRDefault="00CA5F6F">
      <w:pPr>
        <w:spacing w:line="200" w:lineRule="exact"/>
        <w:rPr>
          <w:rFonts w:ascii="Lato" w:eastAsia="Times New Roman" w:hAnsi="Lato"/>
          <w:color w:val="000000" w:themeColor="text1"/>
          <w:sz w:val="24"/>
          <w:szCs w:val="24"/>
        </w:rPr>
      </w:pPr>
    </w:p>
    <w:p w14:paraId="5E3924BD" w14:textId="77777777" w:rsidR="00000000" w:rsidRPr="0060384B" w:rsidRDefault="00CA5F6F">
      <w:pPr>
        <w:spacing w:line="200" w:lineRule="exact"/>
        <w:rPr>
          <w:rFonts w:ascii="Lato" w:eastAsia="Times New Roman" w:hAnsi="Lato"/>
          <w:color w:val="000000" w:themeColor="text1"/>
          <w:sz w:val="24"/>
          <w:szCs w:val="24"/>
        </w:rPr>
      </w:pPr>
    </w:p>
    <w:p w14:paraId="51435448" w14:textId="77777777" w:rsidR="00000000" w:rsidRPr="0060384B" w:rsidRDefault="00CA5F6F">
      <w:pPr>
        <w:spacing w:line="200" w:lineRule="exact"/>
        <w:rPr>
          <w:rFonts w:ascii="Lato" w:eastAsia="Times New Roman" w:hAnsi="Lato"/>
          <w:color w:val="000000" w:themeColor="text1"/>
          <w:sz w:val="24"/>
          <w:szCs w:val="24"/>
        </w:rPr>
      </w:pPr>
    </w:p>
    <w:p w14:paraId="1F051E08" w14:textId="77777777" w:rsidR="00000000" w:rsidRPr="0060384B" w:rsidRDefault="00CA5F6F">
      <w:pPr>
        <w:spacing w:line="200" w:lineRule="exact"/>
        <w:rPr>
          <w:rFonts w:ascii="Lato" w:eastAsia="Times New Roman" w:hAnsi="Lato"/>
          <w:color w:val="000000" w:themeColor="text1"/>
          <w:sz w:val="24"/>
          <w:szCs w:val="24"/>
        </w:rPr>
      </w:pPr>
    </w:p>
    <w:p w14:paraId="225DE483" w14:textId="77777777" w:rsidR="00000000" w:rsidRPr="0060384B" w:rsidRDefault="00CA5F6F">
      <w:pPr>
        <w:spacing w:line="200" w:lineRule="exact"/>
        <w:rPr>
          <w:rFonts w:ascii="Lato" w:eastAsia="Times New Roman" w:hAnsi="Lato"/>
          <w:color w:val="000000" w:themeColor="text1"/>
          <w:sz w:val="24"/>
          <w:szCs w:val="24"/>
        </w:rPr>
      </w:pPr>
    </w:p>
    <w:p w14:paraId="071433A2" w14:textId="77777777" w:rsidR="00000000" w:rsidRPr="0060384B" w:rsidRDefault="00CA5F6F">
      <w:pPr>
        <w:spacing w:line="200" w:lineRule="exact"/>
        <w:rPr>
          <w:rFonts w:ascii="Lato" w:eastAsia="Times New Roman" w:hAnsi="Lato"/>
          <w:color w:val="000000" w:themeColor="text1"/>
          <w:sz w:val="24"/>
          <w:szCs w:val="24"/>
        </w:rPr>
      </w:pPr>
    </w:p>
    <w:p w14:paraId="2D0D909D" w14:textId="77777777" w:rsidR="00000000" w:rsidRPr="0060384B" w:rsidRDefault="00CA5F6F">
      <w:pPr>
        <w:spacing w:line="200" w:lineRule="exact"/>
        <w:rPr>
          <w:rFonts w:ascii="Lato" w:eastAsia="Times New Roman" w:hAnsi="Lato"/>
          <w:color w:val="000000" w:themeColor="text1"/>
          <w:sz w:val="24"/>
          <w:szCs w:val="24"/>
        </w:rPr>
      </w:pPr>
    </w:p>
    <w:p w14:paraId="7C71AACD" w14:textId="77777777" w:rsidR="00000000" w:rsidRPr="0060384B" w:rsidRDefault="00CA5F6F">
      <w:pPr>
        <w:spacing w:line="200" w:lineRule="exact"/>
        <w:rPr>
          <w:rFonts w:ascii="Lato" w:eastAsia="Times New Roman" w:hAnsi="Lato"/>
          <w:color w:val="000000" w:themeColor="text1"/>
          <w:sz w:val="24"/>
          <w:szCs w:val="24"/>
        </w:rPr>
      </w:pPr>
    </w:p>
    <w:p w14:paraId="2FB27D86" w14:textId="77777777" w:rsidR="00000000" w:rsidRPr="0060384B" w:rsidRDefault="00CA5F6F">
      <w:pPr>
        <w:spacing w:line="200" w:lineRule="exact"/>
        <w:rPr>
          <w:rFonts w:ascii="Lato" w:eastAsia="Times New Roman" w:hAnsi="Lato"/>
          <w:color w:val="000000" w:themeColor="text1"/>
          <w:sz w:val="24"/>
          <w:szCs w:val="24"/>
        </w:rPr>
      </w:pPr>
    </w:p>
    <w:p w14:paraId="6D864BAD" w14:textId="77777777" w:rsidR="00000000" w:rsidRPr="0060384B" w:rsidRDefault="00CA5F6F">
      <w:pPr>
        <w:spacing w:line="200" w:lineRule="exact"/>
        <w:rPr>
          <w:rFonts w:ascii="Lato" w:eastAsia="Times New Roman" w:hAnsi="Lato"/>
          <w:color w:val="000000" w:themeColor="text1"/>
          <w:sz w:val="24"/>
          <w:szCs w:val="24"/>
        </w:rPr>
      </w:pPr>
    </w:p>
    <w:p w14:paraId="54122F6C" w14:textId="77777777" w:rsidR="00000000" w:rsidRPr="0060384B" w:rsidRDefault="00CA5F6F">
      <w:pPr>
        <w:spacing w:line="200" w:lineRule="exact"/>
        <w:rPr>
          <w:rFonts w:ascii="Lato" w:eastAsia="Times New Roman" w:hAnsi="Lato"/>
          <w:color w:val="000000" w:themeColor="text1"/>
          <w:sz w:val="24"/>
          <w:szCs w:val="24"/>
        </w:rPr>
      </w:pPr>
    </w:p>
    <w:p w14:paraId="58B21A93" w14:textId="77777777" w:rsidR="00000000" w:rsidRPr="0060384B" w:rsidRDefault="00CA5F6F">
      <w:pPr>
        <w:spacing w:line="200" w:lineRule="exact"/>
        <w:rPr>
          <w:rFonts w:ascii="Lato" w:eastAsia="Times New Roman" w:hAnsi="Lato"/>
          <w:color w:val="000000" w:themeColor="text1"/>
          <w:sz w:val="24"/>
          <w:szCs w:val="24"/>
        </w:rPr>
      </w:pPr>
    </w:p>
    <w:p w14:paraId="43B25929" w14:textId="77777777" w:rsidR="00000000" w:rsidRPr="0060384B" w:rsidRDefault="00CA5F6F">
      <w:pPr>
        <w:spacing w:line="200" w:lineRule="exact"/>
        <w:rPr>
          <w:rFonts w:ascii="Lato" w:eastAsia="Times New Roman" w:hAnsi="Lato"/>
          <w:color w:val="000000" w:themeColor="text1"/>
          <w:sz w:val="24"/>
          <w:szCs w:val="24"/>
        </w:rPr>
      </w:pPr>
    </w:p>
    <w:p w14:paraId="2C1358FB" w14:textId="77777777" w:rsidR="00000000" w:rsidRPr="0060384B" w:rsidRDefault="00CA5F6F">
      <w:pPr>
        <w:spacing w:line="200" w:lineRule="exact"/>
        <w:rPr>
          <w:rFonts w:ascii="Lato" w:eastAsia="Times New Roman" w:hAnsi="Lato"/>
          <w:color w:val="000000" w:themeColor="text1"/>
          <w:sz w:val="24"/>
          <w:szCs w:val="24"/>
        </w:rPr>
      </w:pPr>
    </w:p>
    <w:p w14:paraId="7D495BEA" w14:textId="77777777" w:rsidR="00000000" w:rsidRPr="0060384B" w:rsidRDefault="00CA5F6F">
      <w:pPr>
        <w:spacing w:line="200" w:lineRule="exact"/>
        <w:rPr>
          <w:rFonts w:ascii="Lato" w:eastAsia="Times New Roman" w:hAnsi="Lato"/>
          <w:color w:val="000000" w:themeColor="text1"/>
          <w:sz w:val="24"/>
          <w:szCs w:val="24"/>
        </w:rPr>
      </w:pPr>
    </w:p>
    <w:p w14:paraId="02580BD5" w14:textId="77777777" w:rsidR="00000000" w:rsidRPr="0060384B" w:rsidRDefault="00CA5F6F">
      <w:pPr>
        <w:spacing w:line="200" w:lineRule="exact"/>
        <w:rPr>
          <w:rFonts w:ascii="Lato" w:eastAsia="Times New Roman" w:hAnsi="Lato"/>
          <w:color w:val="000000" w:themeColor="text1"/>
          <w:sz w:val="24"/>
          <w:szCs w:val="24"/>
        </w:rPr>
      </w:pPr>
    </w:p>
    <w:p w14:paraId="06CAAC8B" w14:textId="77777777" w:rsidR="00000000" w:rsidRPr="0060384B" w:rsidRDefault="00CA5F6F">
      <w:pPr>
        <w:spacing w:line="200" w:lineRule="exact"/>
        <w:rPr>
          <w:rFonts w:ascii="Lato" w:eastAsia="Times New Roman" w:hAnsi="Lato"/>
          <w:color w:val="000000" w:themeColor="text1"/>
          <w:sz w:val="24"/>
          <w:szCs w:val="24"/>
        </w:rPr>
      </w:pPr>
    </w:p>
    <w:p w14:paraId="284A12E3" w14:textId="77777777" w:rsidR="00000000" w:rsidRPr="0060384B" w:rsidRDefault="00CA5F6F">
      <w:pPr>
        <w:spacing w:line="200" w:lineRule="exact"/>
        <w:rPr>
          <w:rFonts w:ascii="Lato" w:eastAsia="Times New Roman" w:hAnsi="Lato"/>
          <w:color w:val="000000" w:themeColor="text1"/>
          <w:sz w:val="24"/>
          <w:szCs w:val="24"/>
        </w:rPr>
      </w:pPr>
    </w:p>
    <w:p w14:paraId="3CC35663" w14:textId="77777777" w:rsidR="00000000" w:rsidRPr="0060384B" w:rsidRDefault="00CA5F6F">
      <w:pPr>
        <w:spacing w:line="200" w:lineRule="exact"/>
        <w:rPr>
          <w:rFonts w:ascii="Lato" w:eastAsia="Times New Roman" w:hAnsi="Lato"/>
          <w:color w:val="000000" w:themeColor="text1"/>
          <w:sz w:val="24"/>
          <w:szCs w:val="24"/>
        </w:rPr>
      </w:pPr>
    </w:p>
    <w:p w14:paraId="2CD5ECF2" w14:textId="77777777" w:rsidR="00000000" w:rsidRPr="0060384B" w:rsidRDefault="00CA5F6F">
      <w:pPr>
        <w:spacing w:line="200" w:lineRule="exact"/>
        <w:rPr>
          <w:rFonts w:ascii="Lato" w:eastAsia="Times New Roman" w:hAnsi="Lato"/>
          <w:color w:val="000000" w:themeColor="text1"/>
          <w:sz w:val="24"/>
          <w:szCs w:val="24"/>
        </w:rPr>
      </w:pPr>
    </w:p>
    <w:p w14:paraId="25EFBAF6" w14:textId="77777777" w:rsidR="00000000" w:rsidRPr="0060384B" w:rsidRDefault="00CA5F6F">
      <w:pPr>
        <w:spacing w:line="200" w:lineRule="exact"/>
        <w:rPr>
          <w:rFonts w:ascii="Lato" w:eastAsia="Times New Roman" w:hAnsi="Lato"/>
          <w:color w:val="000000" w:themeColor="text1"/>
          <w:sz w:val="24"/>
          <w:szCs w:val="24"/>
        </w:rPr>
      </w:pPr>
    </w:p>
    <w:p w14:paraId="78E427EF" w14:textId="77777777" w:rsidR="00000000" w:rsidRPr="0060384B" w:rsidRDefault="00CA5F6F">
      <w:pPr>
        <w:spacing w:line="200" w:lineRule="exact"/>
        <w:rPr>
          <w:rFonts w:ascii="Lato" w:eastAsia="Times New Roman" w:hAnsi="Lato"/>
          <w:color w:val="000000" w:themeColor="text1"/>
          <w:sz w:val="24"/>
          <w:szCs w:val="24"/>
        </w:rPr>
      </w:pPr>
    </w:p>
    <w:p w14:paraId="63DD0158" w14:textId="77777777" w:rsidR="00000000" w:rsidRPr="0060384B" w:rsidRDefault="00CA5F6F">
      <w:pPr>
        <w:spacing w:line="200" w:lineRule="exact"/>
        <w:rPr>
          <w:rFonts w:ascii="Lato" w:eastAsia="Times New Roman" w:hAnsi="Lato"/>
          <w:color w:val="000000" w:themeColor="text1"/>
          <w:sz w:val="24"/>
          <w:szCs w:val="24"/>
        </w:rPr>
      </w:pPr>
    </w:p>
    <w:p w14:paraId="3089812F" w14:textId="77777777" w:rsidR="00000000" w:rsidRPr="0060384B" w:rsidRDefault="00CA5F6F">
      <w:pPr>
        <w:spacing w:line="200" w:lineRule="exact"/>
        <w:rPr>
          <w:rFonts w:ascii="Lato" w:eastAsia="Times New Roman" w:hAnsi="Lato"/>
          <w:color w:val="000000" w:themeColor="text1"/>
          <w:sz w:val="24"/>
          <w:szCs w:val="24"/>
        </w:rPr>
      </w:pPr>
    </w:p>
    <w:p w14:paraId="262DB75A" w14:textId="77777777" w:rsidR="00000000" w:rsidRPr="0060384B" w:rsidRDefault="00CA5F6F">
      <w:pPr>
        <w:spacing w:line="200" w:lineRule="exact"/>
        <w:rPr>
          <w:rFonts w:ascii="Lato" w:eastAsia="Times New Roman" w:hAnsi="Lato"/>
          <w:color w:val="000000" w:themeColor="text1"/>
          <w:sz w:val="24"/>
          <w:szCs w:val="24"/>
        </w:rPr>
      </w:pPr>
    </w:p>
    <w:p w14:paraId="42DFB1EA" w14:textId="77777777" w:rsidR="00000000" w:rsidRPr="0060384B" w:rsidRDefault="00CA5F6F">
      <w:pPr>
        <w:spacing w:line="200" w:lineRule="exact"/>
        <w:rPr>
          <w:rFonts w:ascii="Lato" w:eastAsia="Times New Roman" w:hAnsi="Lato"/>
          <w:color w:val="000000" w:themeColor="text1"/>
          <w:sz w:val="24"/>
          <w:szCs w:val="24"/>
        </w:rPr>
      </w:pPr>
    </w:p>
    <w:p w14:paraId="1AB93D05" w14:textId="77777777" w:rsidR="00000000" w:rsidRPr="0060384B" w:rsidRDefault="00CA5F6F">
      <w:pPr>
        <w:spacing w:line="200" w:lineRule="exact"/>
        <w:rPr>
          <w:rFonts w:ascii="Lato" w:eastAsia="Times New Roman" w:hAnsi="Lato"/>
          <w:color w:val="000000" w:themeColor="text1"/>
          <w:sz w:val="24"/>
          <w:szCs w:val="24"/>
        </w:rPr>
      </w:pPr>
    </w:p>
    <w:p w14:paraId="4F66A894" w14:textId="77777777" w:rsidR="00000000" w:rsidRPr="0060384B" w:rsidRDefault="00CA5F6F">
      <w:pPr>
        <w:spacing w:line="200" w:lineRule="exact"/>
        <w:rPr>
          <w:rFonts w:ascii="Lato" w:eastAsia="Times New Roman" w:hAnsi="Lato"/>
          <w:color w:val="000000" w:themeColor="text1"/>
          <w:sz w:val="24"/>
          <w:szCs w:val="24"/>
        </w:rPr>
      </w:pPr>
    </w:p>
    <w:p w14:paraId="305E25B6" w14:textId="77777777" w:rsidR="00000000" w:rsidRPr="0060384B" w:rsidRDefault="00CA5F6F">
      <w:pPr>
        <w:spacing w:line="200" w:lineRule="exact"/>
        <w:rPr>
          <w:rFonts w:ascii="Lato" w:eastAsia="Times New Roman" w:hAnsi="Lato"/>
          <w:color w:val="000000" w:themeColor="text1"/>
          <w:sz w:val="24"/>
          <w:szCs w:val="24"/>
        </w:rPr>
      </w:pPr>
    </w:p>
    <w:p w14:paraId="26D978D5" w14:textId="77777777" w:rsidR="00000000" w:rsidRPr="0060384B" w:rsidRDefault="00CA5F6F">
      <w:pPr>
        <w:spacing w:line="200" w:lineRule="exact"/>
        <w:rPr>
          <w:rFonts w:ascii="Lato" w:eastAsia="Times New Roman" w:hAnsi="Lato"/>
          <w:color w:val="000000" w:themeColor="text1"/>
          <w:sz w:val="24"/>
          <w:szCs w:val="24"/>
        </w:rPr>
      </w:pPr>
    </w:p>
    <w:p w14:paraId="7FFD4251" w14:textId="77777777" w:rsidR="00000000" w:rsidRPr="0060384B" w:rsidRDefault="00CA5F6F">
      <w:pPr>
        <w:spacing w:line="200" w:lineRule="exact"/>
        <w:rPr>
          <w:rFonts w:ascii="Lato" w:eastAsia="Times New Roman" w:hAnsi="Lato"/>
          <w:color w:val="000000" w:themeColor="text1"/>
          <w:sz w:val="24"/>
          <w:szCs w:val="24"/>
        </w:rPr>
      </w:pPr>
    </w:p>
    <w:p w14:paraId="31E60D72" w14:textId="77777777" w:rsidR="00000000" w:rsidRPr="0060384B" w:rsidRDefault="00CA5F6F">
      <w:pPr>
        <w:spacing w:line="200" w:lineRule="exact"/>
        <w:rPr>
          <w:rFonts w:ascii="Lato" w:eastAsia="Times New Roman" w:hAnsi="Lato"/>
          <w:color w:val="000000" w:themeColor="text1"/>
          <w:sz w:val="24"/>
          <w:szCs w:val="24"/>
        </w:rPr>
      </w:pPr>
    </w:p>
    <w:p w14:paraId="619E972B" w14:textId="77777777" w:rsidR="00000000" w:rsidRPr="0060384B" w:rsidRDefault="00CA5F6F">
      <w:pPr>
        <w:spacing w:line="200" w:lineRule="exact"/>
        <w:rPr>
          <w:rFonts w:ascii="Lato" w:eastAsia="Times New Roman" w:hAnsi="Lato"/>
          <w:color w:val="000000" w:themeColor="text1"/>
          <w:sz w:val="24"/>
          <w:szCs w:val="24"/>
        </w:rPr>
      </w:pPr>
    </w:p>
    <w:p w14:paraId="1C1A34C6" w14:textId="77777777" w:rsidR="00000000" w:rsidRPr="0060384B" w:rsidRDefault="00CA5F6F">
      <w:pPr>
        <w:spacing w:line="200" w:lineRule="exact"/>
        <w:rPr>
          <w:rFonts w:ascii="Lato" w:eastAsia="Times New Roman" w:hAnsi="Lato"/>
          <w:color w:val="000000" w:themeColor="text1"/>
          <w:sz w:val="24"/>
          <w:szCs w:val="24"/>
        </w:rPr>
      </w:pPr>
    </w:p>
    <w:p w14:paraId="346755D7" w14:textId="77777777" w:rsidR="00000000" w:rsidRPr="0060384B" w:rsidRDefault="00CA5F6F">
      <w:pPr>
        <w:spacing w:line="200" w:lineRule="exact"/>
        <w:rPr>
          <w:rFonts w:ascii="Lato" w:eastAsia="Times New Roman" w:hAnsi="Lato"/>
          <w:color w:val="000000" w:themeColor="text1"/>
          <w:sz w:val="24"/>
          <w:szCs w:val="24"/>
        </w:rPr>
      </w:pPr>
    </w:p>
    <w:p w14:paraId="7B54DEA3" w14:textId="77777777" w:rsidR="00000000" w:rsidRPr="0060384B" w:rsidRDefault="00CA5F6F">
      <w:pPr>
        <w:spacing w:line="200" w:lineRule="exact"/>
        <w:rPr>
          <w:rFonts w:ascii="Lato" w:eastAsia="Times New Roman" w:hAnsi="Lato"/>
          <w:color w:val="000000" w:themeColor="text1"/>
          <w:sz w:val="24"/>
          <w:szCs w:val="24"/>
        </w:rPr>
      </w:pPr>
    </w:p>
    <w:p w14:paraId="01EE02A3" w14:textId="77777777" w:rsidR="00000000" w:rsidRPr="0060384B" w:rsidRDefault="00CA5F6F">
      <w:pPr>
        <w:spacing w:line="200" w:lineRule="exact"/>
        <w:rPr>
          <w:rFonts w:ascii="Lato" w:eastAsia="Times New Roman" w:hAnsi="Lato"/>
          <w:color w:val="000000" w:themeColor="text1"/>
          <w:sz w:val="24"/>
          <w:szCs w:val="24"/>
        </w:rPr>
      </w:pPr>
    </w:p>
    <w:p w14:paraId="22E7DE97" w14:textId="77777777" w:rsidR="00000000" w:rsidRPr="0060384B" w:rsidRDefault="00CA5F6F">
      <w:pPr>
        <w:spacing w:line="217"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62648BE5" w14:textId="77777777">
        <w:trPr>
          <w:trHeight w:val="245"/>
        </w:trPr>
        <w:tc>
          <w:tcPr>
            <w:tcW w:w="6540" w:type="dxa"/>
            <w:shd w:val="clear" w:color="auto" w:fill="auto"/>
            <w:vAlign w:val="bottom"/>
          </w:tcPr>
          <w:p w14:paraId="34530340"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6FB08829"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51</w:t>
            </w:r>
          </w:p>
        </w:tc>
      </w:tr>
      <w:tr w:rsidR="00000000" w:rsidRPr="0060384B" w14:paraId="017BEBBD" w14:textId="77777777">
        <w:trPr>
          <w:trHeight w:val="258"/>
        </w:trPr>
        <w:tc>
          <w:tcPr>
            <w:tcW w:w="6540" w:type="dxa"/>
            <w:shd w:val="clear" w:color="auto" w:fill="auto"/>
            <w:vAlign w:val="bottom"/>
          </w:tcPr>
          <w:p w14:paraId="4657CBE6"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NIH Bypass Budget Proposal for Fiscal Year 2021</w:t>
            </w:r>
          </w:p>
        </w:tc>
        <w:tc>
          <w:tcPr>
            <w:tcW w:w="2820" w:type="dxa"/>
            <w:shd w:val="clear" w:color="auto" w:fill="auto"/>
            <w:vAlign w:val="bottom"/>
          </w:tcPr>
          <w:p w14:paraId="31360C20" w14:textId="77777777" w:rsidR="00000000" w:rsidRPr="0060384B" w:rsidRDefault="00CA5F6F">
            <w:pPr>
              <w:spacing w:line="0" w:lineRule="atLeast"/>
              <w:rPr>
                <w:rFonts w:ascii="Lato" w:eastAsia="Times New Roman" w:hAnsi="Lato"/>
                <w:color w:val="000000" w:themeColor="text1"/>
                <w:sz w:val="24"/>
                <w:szCs w:val="24"/>
              </w:rPr>
            </w:pPr>
          </w:p>
        </w:tc>
      </w:tr>
    </w:tbl>
    <w:p w14:paraId="0A0F6969"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0C4B9A05" w14:textId="77777777" w:rsidR="00000000" w:rsidRPr="0060384B" w:rsidRDefault="00CA5F6F">
      <w:pPr>
        <w:spacing w:line="271" w:lineRule="auto"/>
        <w:ind w:right="600"/>
        <w:rPr>
          <w:rFonts w:ascii="Lato" w:hAnsi="Lato"/>
          <w:b/>
          <w:color w:val="000000" w:themeColor="text1"/>
          <w:sz w:val="24"/>
          <w:szCs w:val="24"/>
        </w:rPr>
      </w:pPr>
      <w:bookmarkStart w:id="54" w:name="page55"/>
      <w:bookmarkEnd w:id="54"/>
      <w:r w:rsidRPr="0060384B">
        <w:rPr>
          <w:rFonts w:ascii="Lato" w:hAnsi="Lato"/>
          <w:b/>
          <w:color w:val="000000" w:themeColor="text1"/>
          <w:sz w:val="24"/>
          <w:szCs w:val="24"/>
        </w:rPr>
        <w:lastRenderedPageBreak/>
        <w:t>DRUG DISCOVERY, DEVELOPMENT, AN</w:t>
      </w:r>
      <w:r w:rsidRPr="0060384B">
        <w:rPr>
          <w:rFonts w:ascii="Lato" w:hAnsi="Lato"/>
          <w:b/>
          <w:color w:val="000000" w:themeColor="text1"/>
          <w:sz w:val="24"/>
          <w:szCs w:val="24"/>
        </w:rPr>
        <w:t>D TESTING: ZEROING IN ON NEW TARGETS</w:t>
      </w:r>
    </w:p>
    <w:p w14:paraId="4B606BA0" w14:textId="77777777" w:rsidR="00000000" w:rsidRPr="0060384B" w:rsidRDefault="00CA5F6F">
      <w:pPr>
        <w:spacing w:line="187" w:lineRule="exact"/>
        <w:rPr>
          <w:rFonts w:ascii="Lato" w:eastAsia="Times New Roman" w:hAnsi="Lato"/>
          <w:color w:val="000000" w:themeColor="text1"/>
          <w:sz w:val="24"/>
          <w:szCs w:val="24"/>
        </w:rPr>
      </w:pPr>
    </w:p>
    <w:p w14:paraId="4D0DA4FD" w14:textId="77777777" w:rsidR="00000000" w:rsidRPr="0060384B" w:rsidRDefault="00CA5F6F">
      <w:pPr>
        <w:spacing w:line="242" w:lineRule="auto"/>
        <w:ind w:right="4920"/>
        <w:rPr>
          <w:rFonts w:ascii="Lato" w:hAnsi="Lato"/>
          <w:color w:val="000000" w:themeColor="text1"/>
          <w:sz w:val="24"/>
          <w:szCs w:val="24"/>
        </w:rPr>
      </w:pPr>
      <w:r w:rsidRPr="0060384B">
        <w:rPr>
          <w:rFonts w:ascii="Lato" w:hAnsi="Lato"/>
          <w:color w:val="000000" w:themeColor="text1"/>
          <w:sz w:val="24"/>
          <w:szCs w:val="24"/>
        </w:rPr>
        <w:t xml:space="preserve">The translation of basic findings into effective treatments has traditionally been a slow process, for any disease. In recent years, spurred by a boost in funding, the National Institutes of Health (NIH) has been able </w:t>
      </w:r>
      <w:r w:rsidRPr="0060384B">
        <w:rPr>
          <w:rFonts w:ascii="Lato" w:hAnsi="Lato"/>
          <w:color w:val="000000" w:themeColor="text1"/>
          <w:sz w:val="24"/>
          <w:szCs w:val="24"/>
        </w:rPr>
        <w:t>to accelerate that process significantly for Alzheimer</w:t>
      </w:r>
      <w:r w:rsidRPr="0060384B">
        <w:rPr>
          <w:rFonts w:ascii="Lato" w:hAnsi="Lato"/>
          <w:color w:val="000000" w:themeColor="text1"/>
          <w:sz w:val="24"/>
          <w:szCs w:val="24"/>
        </w:rPr>
        <w:t>’s disease and related dementias, building strategically on basic science and the capabilities of an expanded, foundational infrastructure for discovery.</w:t>
      </w:r>
    </w:p>
    <w:p w14:paraId="1F7F6790" w14:textId="7B158789" w:rsidR="00000000" w:rsidRPr="0060384B" w:rsidRDefault="00FB45BD">
      <w:pPr>
        <w:spacing w:line="20" w:lineRule="exact"/>
        <w:rPr>
          <w:rFonts w:ascii="Lato" w:eastAsia="Times New Roman" w:hAnsi="Lato"/>
          <w:color w:val="000000" w:themeColor="text1"/>
          <w:sz w:val="24"/>
          <w:szCs w:val="24"/>
        </w:rPr>
      </w:pPr>
      <w:r w:rsidRPr="0060384B">
        <w:rPr>
          <w:rFonts w:ascii="Lato" w:hAnsi="Lato"/>
          <w:noProof/>
          <w:color w:val="000000" w:themeColor="text1"/>
          <w:sz w:val="24"/>
          <w:szCs w:val="24"/>
        </w:rPr>
        <w:drawing>
          <wp:anchor distT="0" distB="0" distL="114300" distR="114300" simplePos="0" relativeHeight="251659776" behindDoc="1" locked="0" layoutInCell="1" allowOverlap="1" wp14:anchorId="033AC5FE" wp14:editId="28DB2B36">
            <wp:simplePos x="0" y="0"/>
            <wp:positionH relativeFrom="column">
              <wp:posOffset>3114040</wp:posOffset>
            </wp:positionH>
            <wp:positionV relativeFrom="paragraph">
              <wp:posOffset>-1851025</wp:posOffset>
            </wp:positionV>
            <wp:extent cx="2828925" cy="18859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pic:spPr>
                </pic:pic>
              </a:graphicData>
            </a:graphic>
            <wp14:sizeRelH relativeFrom="page">
              <wp14:pctWidth>0</wp14:pctWidth>
            </wp14:sizeRelH>
            <wp14:sizeRelV relativeFrom="page">
              <wp14:pctHeight>0</wp14:pctHeight>
            </wp14:sizeRelV>
          </wp:anchor>
        </w:drawing>
      </w:r>
    </w:p>
    <w:p w14:paraId="75B4B722" w14:textId="77777777" w:rsidR="00000000" w:rsidRPr="0060384B" w:rsidRDefault="00CA5F6F">
      <w:pPr>
        <w:spacing w:line="237" w:lineRule="exact"/>
        <w:rPr>
          <w:rFonts w:ascii="Lato" w:eastAsia="Times New Roman" w:hAnsi="Lato"/>
          <w:color w:val="000000" w:themeColor="text1"/>
          <w:sz w:val="24"/>
          <w:szCs w:val="24"/>
        </w:rPr>
      </w:pPr>
    </w:p>
    <w:p w14:paraId="30E2798E" w14:textId="77777777" w:rsidR="00000000" w:rsidRPr="0060384B" w:rsidRDefault="00CA5F6F">
      <w:pPr>
        <w:spacing w:line="243" w:lineRule="auto"/>
        <w:ind w:right="120"/>
        <w:rPr>
          <w:rFonts w:ascii="Lato" w:hAnsi="Lato"/>
          <w:color w:val="000000" w:themeColor="text1"/>
          <w:sz w:val="24"/>
          <w:szCs w:val="24"/>
        </w:rPr>
      </w:pPr>
      <w:r w:rsidRPr="0060384B">
        <w:rPr>
          <w:rFonts w:ascii="Lato" w:hAnsi="Lato"/>
          <w:color w:val="000000" w:themeColor="text1"/>
          <w:sz w:val="24"/>
          <w:szCs w:val="24"/>
        </w:rPr>
        <w:t>Negative reports from a few recently complete</w:t>
      </w:r>
      <w:r w:rsidRPr="0060384B">
        <w:rPr>
          <w:rFonts w:ascii="Lato" w:hAnsi="Lato"/>
          <w:color w:val="000000" w:themeColor="text1"/>
          <w:sz w:val="24"/>
          <w:szCs w:val="24"/>
        </w:rPr>
        <w:t>d trials of Alzheimer</w:t>
      </w:r>
      <w:r w:rsidRPr="0060384B">
        <w:rPr>
          <w:rFonts w:ascii="Lato" w:hAnsi="Lato"/>
          <w:color w:val="000000" w:themeColor="text1"/>
          <w:sz w:val="24"/>
          <w:szCs w:val="24"/>
        </w:rPr>
        <w:t xml:space="preserve">’s drugs have been disappointing. These studies, based on early knowledge, mostly sought to interfere with processes involved in forming and/or clearing beta-amyloid plaques in the brain. Despite these setbacks, scientists continue to </w:t>
      </w:r>
      <w:r w:rsidRPr="0060384B">
        <w:rPr>
          <w:rFonts w:ascii="Lato" w:hAnsi="Lato"/>
          <w:color w:val="000000" w:themeColor="text1"/>
          <w:sz w:val="24"/>
          <w:szCs w:val="24"/>
        </w:rPr>
        <w:t>be interested in amyloid, as basic and mechanistic studies further describe its role. It may be that these initial trials intervened too late in the disease process, and an anti-amyloid line of attack still may have the potential to make a difference at an</w:t>
      </w:r>
      <w:r w:rsidRPr="0060384B">
        <w:rPr>
          <w:rFonts w:ascii="Lato" w:hAnsi="Lato"/>
          <w:color w:val="000000" w:themeColor="text1"/>
          <w:sz w:val="24"/>
          <w:szCs w:val="24"/>
        </w:rPr>
        <w:t xml:space="preserve"> early presymptomatic stage. It is important that studies continue to investigate amyloid, as both negative and positive findings help refine the research approach to all dementias.</w:t>
      </w:r>
    </w:p>
    <w:p w14:paraId="7B5E0D21" w14:textId="77777777" w:rsidR="00000000" w:rsidRPr="0060384B" w:rsidRDefault="00CA5F6F">
      <w:pPr>
        <w:spacing w:line="243" w:lineRule="exact"/>
        <w:rPr>
          <w:rFonts w:ascii="Lato" w:eastAsia="Times New Roman" w:hAnsi="Lato"/>
          <w:color w:val="000000" w:themeColor="text1"/>
          <w:sz w:val="24"/>
          <w:szCs w:val="24"/>
        </w:rPr>
      </w:pPr>
    </w:p>
    <w:p w14:paraId="622AB54E"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Aiming at a Multitude of Therapeutic Targets</w:t>
      </w:r>
    </w:p>
    <w:p w14:paraId="1B7A572B" w14:textId="77777777" w:rsidR="00000000" w:rsidRPr="0060384B" w:rsidRDefault="00CA5F6F">
      <w:pPr>
        <w:spacing w:line="287" w:lineRule="exact"/>
        <w:rPr>
          <w:rFonts w:ascii="Lato" w:eastAsia="Times New Roman" w:hAnsi="Lato"/>
          <w:color w:val="000000" w:themeColor="text1"/>
          <w:sz w:val="24"/>
          <w:szCs w:val="24"/>
        </w:rPr>
      </w:pPr>
    </w:p>
    <w:p w14:paraId="3F6EBA54" w14:textId="77777777" w:rsidR="00000000" w:rsidRPr="0060384B" w:rsidRDefault="00CA5F6F">
      <w:pPr>
        <w:spacing w:line="243" w:lineRule="auto"/>
        <w:ind w:right="40"/>
        <w:rPr>
          <w:rFonts w:ascii="Lato" w:hAnsi="Lato"/>
          <w:color w:val="000000" w:themeColor="text1"/>
          <w:sz w:val="24"/>
          <w:szCs w:val="24"/>
        </w:rPr>
      </w:pPr>
      <w:r w:rsidRPr="0060384B">
        <w:rPr>
          <w:rFonts w:ascii="Lato" w:hAnsi="Lato"/>
          <w:color w:val="000000" w:themeColor="text1"/>
          <w:sz w:val="24"/>
          <w:szCs w:val="24"/>
        </w:rPr>
        <w:t>As we continue to investiga</w:t>
      </w:r>
      <w:r w:rsidRPr="0060384B">
        <w:rPr>
          <w:rFonts w:ascii="Lato" w:hAnsi="Lato"/>
          <w:color w:val="000000" w:themeColor="text1"/>
          <w:sz w:val="24"/>
          <w:szCs w:val="24"/>
        </w:rPr>
        <w:t>te amyloid, it appears likely that a variety of targets and combined therapies may be the ultimate approach to treat dementia. We are undertaking a next-generation program, seeking to treat and prevent neurodegenerative disease at the earliest possible sta</w:t>
      </w:r>
      <w:r w:rsidRPr="0060384B">
        <w:rPr>
          <w:rFonts w:ascii="Lato" w:hAnsi="Lato"/>
          <w:color w:val="000000" w:themeColor="text1"/>
          <w:sz w:val="24"/>
          <w:szCs w:val="24"/>
        </w:rPr>
        <w:t>ge while continuing to seek relief for patients and families already affected. Breakthroughs in biomedical imaging and detection of promising biomarkers, coupled with new understanding of disease genetics and mechanisms, have opened exciting windows of opp</w:t>
      </w:r>
      <w:r w:rsidRPr="0060384B">
        <w:rPr>
          <w:rFonts w:ascii="Lato" w:hAnsi="Lato"/>
          <w:color w:val="000000" w:themeColor="text1"/>
          <w:sz w:val="24"/>
          <w:szCs w:val="24"/>
        </w:rPr>
        <w:t>ortunity to affect and even reverse underlying pathology. The search for pharmaceutical and nondrug interventions is energized as never before.</w:t>
      </w:r>
    </w:p>
    <w:p w14:paraId="15EEFAB7" w14:textId="77777777" w:rsidR="00000000" w:rsidRPr="0060384B" w:rsidRDefault="00CA5F6F">
      <w:pPr>
        <w:spacing w:line="250" w:lineRule="exact"/>
        <w:rPr>
          <w:rFonts w:ascii="Lato" w:eastAsia="Times New Roman" w:hAnsi="Lato"/>
          <w:color w:val="000000" w:themeColor="text1"/>
          <w:sz w:val="24"/>
          <w:szCs w:val="24"/>
        </w:rPr>
      </w:pPr>
    </w:p>
    <w:p w14:paraId="0C14FBED" w14:textId="77777777" w:rsidR="00000000" w:rsidRPr="0060384B" w:rsidRDefault="00CA5F6F">
      <w:pPr>
        <w:spacing w:line="242" w:lineRule="auto"/>
        <w:ind w:right="140"/>
        <w:rPr>
          <w:rFonts w:ascii="Lato" w:hAnsi="Lato"/>
          <w:color w:val="000000" w:themeColor="text1"/>
          <w:sz w:val="24"/>
          <w:szCs w:val="24"/>
        </w:rPr>
      </w:pPr>
      <w:r w:rsidRPr="0060384B">
        <w:rPr>
          <w:rFonts w:ascii="Lato" w:hAnsi="Lato"/>
          <w:color w:val="000000" w:themeColor="text1"/>
          <w:sz w:val="24"/>
          <w:szCs w:val="24"/>
        </w:rPr>
        <w:t>The pipeline for developing novel drug candidates for Alzheimer</w:t>
      </w:r>
      <w:r w:rsidRPr="0060384B">
        <w:rPr>
          <w:rFonts w:ascii="Lato" w:hAnsi="Lato"/>
          <w:color w:val="000000" w:themeColor="text1"/>
          <w:sz w:val="24"/>
          <w:szCs w:val="24"/>
        </w:rPr>
        <w:t>’s treatment and prevention is diverse and expan</w:t>
      </w:r>
      <w:r w:rsidRPr="0060384B">
        <w:rPr>
          <w:rFonts w:ascii="Lato" w:hAnsi="Lato"/>
          <w:color w:val="000000" w:themeColor="text1"/>
          <w:sz w:val="24"/>
          <w:szCs w:val="24"/>
        </w:rPr>
        <w:t>ding. Over the last 12 years, NIH has invested in a robust translational research program to develop and diversify therapeutic targets and candidate drugs for dementia. Today, more than 30 novel therapeutic candidates for more than a dozen non-amyloid/non-</w:t>
      </w:r>
      <w:r w:rsidRPr="0060384B">
        <w:rPr>
          <w:rFonts w:ascii="Lato" w:hAnsi="Lato"/>
          <w:color w:val="000000" w:themeColor="text1"/>
          <w:sz w:val="24"/>
          <w:szCs w:val="24"/>
        </w:rPr>
        <w:t>tau targets are at different stages of preclinical drug development, including several funded under NIH small-business programs. Some 40 compounds are further along the pipeline, under study for the prevention and treatment of Alzheimer</w:t>
      </w:r>
      <w:r w:rsidRPr="0060384B">
        <w:rPr>
          <w:rFonts w:ascii="Lato" w:hAnsi="Lato"/>
          <w:color w:val="000000" w:themeColor="text1"/>
          <w:sz w:val="24"/>
          <w:szCs w:val="24"/>
        </w:rPr>
        <w:t>’s and related demen</w:t>
      </w:r>
      <w:r w:rsidRPr="0060384B">
        <w:rPr>
          <w:rFonts w:ascii="Lato" w:hAnsi="Lato"/>
          <w:color w:val="000000" w:themeColor="text1"/>
          <w:sz w:val="24"/>
          <w:szCs w:val="24"/>
        </w:rPr>
        <w:t>tias, mild cognitive impairment, and age-related cognitive decline. And approximately 200 clinical trials, both pilot and large-scale studies, of a wide range of interventions are underway. Not only drugs are being tested. Several trials are examining nonp</w:t>
      </w:r>
      <w:r w:rsidRPr="0060384B">
        <w:rPr>
          <w:rFonts w:ascii="Lato" w:hAnsi="Lato"/>
          <w:color w:val="000000" w:themeColor="text1"/>
          <w:sz w:val="24"/>
          <w:szCs w:val="24"/>
        </w:rPr>
        <w:t>harmacological interventions, including diet, exercise, and cognitive training.</w:t>
      </w:r>
    </w:p>
    <w:p w14:paraId="1C11647A" w14:textId="77777777" w:rsidR="00000000" w:rsidRPr="0060384B" w:rsidRDefault="00CA5F6F">
      <w:pPr>
        <w:spacing w:line="242" w:lineRule="auto"/>
        <w:ind w:right="140"/>
        <w:rPr>
          <w:rFonts w:ascii="Lato" w:hAnsi="Lato"/>
          <w:color w:val="000000" w:themeColor="text1"/>
          <w:sz w:val="24"/>
          <w:szCs w:val="24"/>
        </w:rPr>
        <w:sectPr w:rsidR="00000000" w:rsidRPr="0060384B">
          <w:pgSz w:w="12240" w:h="15840"/>
          <w:pgMar w:top="1125" w:right="1440" w:bottom="0" w:left="1440" w:header="0" w:footer="0" w:gutter="0"/>
          <w:cols w:space="0" w:equalWidth="0">
            <w:col w:w="9360"/>
          </w:cols>
          <w:docGrid w:linePitch="360"/>
        </w:sectPr>
      </w:pPr>
    </w:p>
    <w:p w14:paraId="62486AB2" w14:textId="77777777" w:rsidR="00000000" w:rsidRPr="0060384B" w:rsidRDefault="00CA5F6F">
      <w:pPr>
        <w:spacing w:line="383"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3516A361" w14:textId="77777777">
        <w:trPr>
          <w:trHeight w:val="245"/>
        </w:trPr>
        <w:tc>
          <w:tcPr>
            <w:tcW w:w="6540" w:type="dxa"/>
            <w:shd w:val="clear" w:color="auto" w:fill="auto"/>
            <w:vAlign w:val="bottom"/>
          </w:tcPr>
          <w:p w14:paraId="0F32085B"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0D774ECC"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52</w:t>
            </w:r>
          </w:p>
        </w:tc>
      </w:tr>
      <w:tr w:rsidR="00000000" w:rsidRPr="0060384B" w14:paraId="24CE0A9F" w14:textId="77777777">
        <w:trPr>
          <w:trHeight w:val="258"/>
        </w:trPr>
        <w:tc>
          <w:tcPr>
            <w:tcW w:w="6540" w:type="dxa"/>
            <w:shd w:val="clear" w:color="auto" w:fill="auto"/>
            <w:vAlign w:val="bottom"/>
          </w:tcPr>
          <w:p w14:paraId="40868DB7"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NIH Bypass Budget Proposal for Fiscal Year 2021</w:t>
            </w:r>
          </w:p>
        </w:tc>
        <w:tc>
          <w:tcPr>
            <w:tcW w:w="2820" w:type="dxa"/>
            <w:shd w:val="clear" w:color="auto" w:fill="auto"/>
            <w:vAlign w:val="bottom"/>
          </w:tcPr>
          <w:p w14:paraId="04F77848" w14:textId="77777777" w:rsidR="00000000" w:rsidRPr="0060384B" w:rsidRDefault="00CA5F6F">
            <w:pPr>
              <w:spacing w:line="0" w:lineRule="atLeast"/>
              <w:rPr>
                <w:rFonts w:ascii="Lato" w:eastAsia="Times New Roman" w:hAnsi="Lato"/>
                <w:color w:val="000000" w:themeColor="text1"/>
                <w:sz w:val="24"/>
                <w:szCs w:val="24"/>
              </w:rPr>
            </w:pPr>
          </w:p>
        </w:tc>
      </w:tr>
    </w:tbl>
    <w:p w14:paraId="0F7A2C8A"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25" w:right="1440" w:bottom="0" w:left="1440" w:header="0" w:footer="0" w:gutter="0"/>
          <w:cols w:space="0" w:equalWidth="0">
            <w:col w:w="9360"/>
          </w:cols>
          <w:docGrid w:linePitch="360"/>
        </w:sectPr>
      </w:pPr>
    </w:p>
    <w:p w14:paraId="5D0B5524" w14:textId="77777777" w:rsidR="00000000" w:rsidRPr="0060384B" w:rsidRDefault="00CA5F6F">
      <w:pPr>
        <w:spacing w:line="245" w:lineRule="auto"/>
        <w:ind w:right="40"/>
        <w:rPr>
          <w:rFonts w:ascii="Lato" w:hAnsi="Lato"/>
          <w:color w:val="000000" w:themeColor="text1"/>
          <w:sz w:val="24"/>
          <w:szCs w:val="24"/>
        </w:rPr>
      </w:pPr>
      <w:bookmarkStart w:id="55" w:name="page56"/>
      <w:bookmarkEnd w:id="55"/>
      <w:r w:rsidRPr="0060384B">
        <w:rPr>
          <w:rFonts w:ascii="Lato" w:hAnsi="Lato"/>
          <w:color w:val="000000" w:themeColor="text1"/>
          <w:sz w:val="24"/>
          <w:szCs w:val="24"/>
        </w:rPr>
        <w:lastRenderedPageBreak/>
        <w:t xml:space="preserve">Crucial to these discoveries are massive datasets containing detailed, deidentified information on </w:t>
      </w:r>
      <w:r w:rsidRPr="0060384B">
        <w:rPr>
          <w:rFonts w:ascii="Lato" w:hAnsi="Lato"/>
          <w:color w:val="000000" w:themeColor="text1"/>
          <w:sz w:val="24"/>
          <w:szCs w:val="24"/>
        </w:rPr>
        <w:t>millions of individuals. By analyzing data across such large groups of people, scientists can look at common influences on dementia and pinpoint what may put subgroups and types of individuals at risk. This strategy will inform the ultimate goal of develop</w:t>
      </w:r>
      <w:r w:rsidRPr="0060384B">
        <w:rPr>
          <w:rFonts w:ascii="Lato" w:hAnsi="Lato"/>
          <w:color w:val="000000" w:themeColor="text1"/>
          <w:sz w:val="24"/>
          <w:szCs w:val="24"/>
        </w:rPr>
        <w:t>ing a precision medicine approach to treatment and prevention.</w:t>
      </w:r>
    </w:p>
    <w:p w14:paraId="16CE29F6" w14:textId="77777777" w:rsidR="00000000" w:rsidRPr="0060384B" w:rsidRDefault="00CA5F6F">
      <w:pPr>
        <w:spacing w:line="249" w:lineRule="exact"/>
        <w:rPr>
          <w:rFonts w:ascii="Lato" w:eastAsia="Times New Roman" w:hAnsi="Lato"/>
          <w:color w:val="000000" w:themeColor="text1"/>
          <w:sz w:val="24"/>
          <w:szCs w:val="24"/>
        </w:rPr>
      </w:pPr>
    </w:p>
    <w:p w14:paraId="7E2C7AB6" w14:textId="77777777" w:rsidR="00000000" w:rsidRPr="0060384B" w:rsidRDefault="00CA5F6F">
      <w:pPr>
        <w:spacing w:line="243" w:lineRule="auto"/>
        <w:ind w:right="280"/>
        <w:rPr>
          <w:rFonts w:ascii="Lato" w:hAnsi="Lato"/>
          <w:color w:val="000000" w:themeColor="text1"/>
          <w:sz w:val="24"/>
          <w:szCs w:val="24"/>
        </w:rPr>
      </w:pPr>
      <w:r w:rsidRPr="0060384B">
        <w:rPr>
          <w:rFonts w:ascii="Lato" w:hAnsi="Lato"/>
          <w:color w:val="000000" w:themeColor="text1"/>
          <w:sz w:val="24"/>
          <w:szCs w:val="24"/>
        </w:rPr>
        <w:t>In Alzheimer</w:t>
      </w:r>
      <w:r w:rsidRPr="0060384B">
        <w:rPr>
          <w:rFonts w:ascii="Lato" w:hAnsi="Lato"/>
          <w:color w:val="000000" w:themeColor="text1"/>
          <w:sz w:val="24"/>
          <w:szCs w:val="24"/>
        </w:rPr>
        <w:t>’s genetics, discoveries pointing to targets for treatment and prevention are supported through a highly interconnected network of programs that collect, store, disseminate, and an</w:t>
      </w:r>
      <w:r w:rsidRPr="0060384B">
        <w:rPr>
          <w:rFonts w:ascii="Lato" w:hAnsi="Lato"/>
          <w:color w:val="000000" w:themeColor="text1"/>
          <w:sz w:val="24"/>
          <w:szCs w:val="24"/>
        </w:rPr>
        <w:t xml:space="preserve">alyze genetic and related clinical data. These and other findings support emerging evidence that groups of genes associated with specific biological processes, such as cell trafficking, lipid transport, inflammation, and immune response, are </w:t>
      </w:r>
      <w:r w:rsidRPr="0060384B">
        <w:rPr>
          <w:rFonts w:ascii="Lato" w:hAnsi="Lato"/>
          <w:color w:val="000000" w:themeColor="text1"/>
          <w:sz w:val="24"/>
          <w:szCs w:val="24"/>
        </w:rPr>
        <w:t>“genetic hubs</w:t>
      </w:r>
      <w:r w:rsidRPr="0060384B">
        <w:rPr>
          <w:rFonts w:ascii="Lato" w:hAnsi="Lato"/>
          <w:color w:val="000000" w:themeColor="text1"/>
          <w:sz w:val="24"/>
          <w:szCs w:val="24"/>
        </w:rPr>
        <w:t>”</w:t>
      </w:r>
      <w:r w:rsidRPr="0060384B">
        <w:rPr>
          <w:rFonts w:ascii="Lato" w:hAnsi="Lato"/>
          <w:color w:val="000000" w:themeColor="text1"/>
          <w:sz w:val="24"/>
          <w:szCs w:val="24"/>
        </w:rPr>
        <w:t xml:space="preserve"> that may play an important role in the disease process, and that interventions aimed at these processes</w:t>
      </w:r>
      <w:r w:rsidRPr="0060384B">
        <w:rPr>
          <w:rFonts w:ascii="Lato" w:hAnsi="Lato"/>
          <w:color w:val="000000" w:themeColor="text1"/>
          <w:sz w:val="24"/>
          <w:szCs w:val="24"/>
        </w:rPr>
        <w:t>—or multiple processes</w:t>
      </w:r>
      <w:r w:rsidRPr="0060384B">
        <w:rPr>
          <w:rFonts w:ascii="Lato" w:hAnsi="Lato"/>
          <w:color w:val="000000" w:themeColor="text1"/>
          <w:sz w:val="24"/>
          <w:szCs w:val="24"/>
        </w:rPr>
        <w:t>—affected by a gene might help identify highly targeted therapeutic approaches.</w:t>
      </w:r>
    </w:p>
    <w:p w14:paraId="0B6C88BD" w14:textId="77777777" w:rsidR="00000000" w:rsidRPr="0060384B" w:rsidRDefault="00CA5F6F">
      <w:pPr>
        <w:spacing w:line="250" w:lineRule="exact"/>
        <w:rPr>
          <w:rFonts w:ascii="Lato" w:eastAsia="Times New Roman" w:hAnsi="Lato"/>
          <w:color w:val="000000" w:themeColor="text1"/>
          <w:sz w:val="24"/>
          <w:szCs w:val="24"/>
        </w:rPr>
      </w:pPr>
    </w:p>
    <w:p w14:paraId="5DC66E6F" w14:textId="77777777" w:rsidR="00000000" w:rsidRPr="0060384B" w:rsidRDefault="00CA5F6F">
      <w:pPr>
        <w:spacing w:line="243" w:lineRule="auto"/>
        <w:ind w:right="40"/>
        <w:rPr>
          <w:rFonts w:ascii="Lato" w:hAnsi="Lato"/>
          <w:color w:val="000000" w:themeColor="text1"/>
          <w:sz w:val="24"/>
          <w:szCs w:val="24"/>
        </w:rPr>
      </w:pPr>
      <w:r w:rsidRPr="0060384B">
        <w:rPr>
          <w:rFonts w:ascii="Lato" w:hAnsi="Lato"/>
          <w:color w:val="000000" w:themeColor="text1"/>
          <w:sz w:val="24"/>
          <w:szCs w:val="24"/>
        </w:rPr>
        <w:t>To model and predict how large sets of genes inte</w:t>
      </w:r>
      <w:r w:rsidRPr="0060384B">
        <w:rPr>
          <w:rFonts w:ascii="Lato" w:hAnsi="Lato"/>
          <w:color w:val="000000" w:themeColor="text1"/>
          <w:sz w:val="24"/>
          <w:szCs w:val="24"/>
        </w:rPr>
        <w:t xml:space="preserve">ract and lead to clinical and pathologic traits, NIH has employed </w:t>
      </w:r>
      <w:r w:rsidRPr="0060384B">
        <w:rPr>
          <w:rFonts w:ascii="Lato" w:hAnsi="Lato"/>
          <w:color w:val="000000" w:themeColor="text1"/>
          <w:sz w:val="24"/>
          <w:szCs w:val="24"/>
        </w:rPr>
        <w:t>“big data</w:t>
      </w:r>
      <w:r w:rsidRPr="0060384B">
        <w:rPr>
          <w:rFonts w:ascii="Lato" w:hAnsi="Lato"/>
          <w:color w:val="000000" w:themeColor="text1"/>
          <w:sz w:val="24"/>
          <w:szCs w:val="24"/>
        </w:rPr>
        <w:t>” in several innovative ways. In Alzheimer</w:t>
      </w:r>
      <w:r w:rsidRPr="0060384B">
        <w:rPr>
          <w:rFonts w:ascii="Lato" w:hAnsi="Lato"/>
          <w:color w:val="000000" w:themeColor="text1"/>
          <w:sz w:val="24"/>
          <w:szCs w:val="24"/>
        </w:rPr>
        <w:t xml:space="preserve">’s, the flagship NIH drug and biomarker discovery initiative is the </w:t>
      </w:r>
      <w:hyperlink r:id="rId184" w:history="1">
        <w:r w:rsidRPr="0060384B">
          <w:rPr>
            <w:rFonts w:ascii="Lato" w:hAnsi="Lato"/>
            <w:color w:val="000000" w:themeColor="text1"/>
            <w:sz w:val="24"/>
            <w:szCs w:val="24"/>
          </w:rPr>
          <w:t>Accelerating Med</w:t>
        </w:r>
        <w:r w:rsidRPr="0060384B">
          <w:rPr>
            <w:rFonts w:ascii="Lato" w:hAnsi="Lato"/>
            <w:color w:val="000000" w:themeColor="text1"/>
            <w:sz w:val="24"/>
            <w:szCs w:val="24"/>
          </w:rPr>
          <w:t>icines Partnership</w:t>
        </w:r>
        <w:r w:rsidRPr="0060384B">
          <w:rPr>
            <w:rFonts w:ascii="Lato" w:hAnsi="Lato"/>
            <w:color w:val="000000" w:themeColor="text1"/>
            <w:sz w:val="24"/>
            <w:szCs w:val="24"/>
          </w:rPr>
          <w:t>–Alzheimer</w:t>
        </w:r>
        <w:r w:rsidRPr="0060384B">
          <w:rPr>
            <w:rFonts w:ascii="Lato" w:hAnsi="Lato"/>
            <w:color w:val="000000" w:themeColor="text1"/>
            <w:sz w:val="24"/>
            <w:szCs w:val="24"/>
          </w:rPr>
          <w:t>’s</w:t>
        </w:r>
      </w:hyperlink>
      <w:r w:rsidRPr="0060384B">
        <w:rPr>
          <w:rFonts w:ascii="Lato" w:hAnsi="Lato"/>
          <w:color w:val="000000" w:themeColor="text1"/>
          <w:sz w:val="24"/>
          <w:szCs w:val="24"/>
        </w:rPr>
        <w:t xml:space="preserve"> </w:t>
      </w:r>
      <w:hyperlink r:id="rId185" w:history="1">
        <w:r w:rsidRPr="0060384B">
          <w:rPr>
            <w:rFonts w:ascii="Lato" w:hAnsi="Lato"/>
            <w:color w:val="000000" w:themeColor="text1"/>
            <w:sz w:val="24"/>
            <w:szCs w:val="24"/>
          </w:rPr>
          <w:t>Disease</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(AMP</w:t>
      </w:r>
      <w:r w:rsidRPr="0060384B">
        <w:rPr>
          <w:rFonts w:ascii="Lato" w:hAnsi="Lato"/>
          <w:color w:val="000000" w:themeColor="text1"/>
          <w:sz w:val="24"/>
          <w:szCs w:val="24"/>
        </w:rPr>
        <w:t>-AD), a precompetitive public-private collaboration of government, industry, and</w:t>
      </w:r>
      <w:r w:rsidRPr="0060384B">
        <w:rPr>
          <w:rFonts w:ascii="Lato" w:hAnsi="Lato"/>
          <w:color w:val="000000" w:themeColor="text1"/>
          <w:sz w:val="24"/>
          <w:szCs w:val="24"/>
        </w:rPr>
        <w:t xml:space="preserve"> </w:t>
      </w:r>
      <w:r w:rsidRPr="0060384B">
        <w:rPr>
          <w:rFonts w:ascii="Lato" w:hAnsi="Lato"/>
          <w:color w:val="000000" w:themeColor="text1"/>
          <w:sz w:val="24"/>
          <w:szCs w:val="24"/>
        </w:rPr>
        <w:t>nonprofits. AMP-AD</w:t>
      </w:r>
      <w:r w:rsidRPr="0060384B">
        <w:rPr>
          <w:rFonts w:ascii="Lato" w:hAnsi="Lato"/>
          <w:color w:val="000000" w:themeColor="text1"/>
          <w:sz w:val="24"/>
          <w:szCs w:val="24"/>
        </w:rPr>
        <w:t>’s use of powerful molecular profiling and advanced infor</w:t>
      </w:r>
      <w:r w:rsidRPr="0060384B">
        <w:rPr>
          <w:rFonts w:ascii="Lato" w:hAnsi="Lato"/>
          <w:color w:val="000000" w:themeColor="text1"/>
          <w:sz w:val="24"/>
          <w:szCs w:val="24"/>
        </w:rPr>
        <w:t>mation technologies, along with an infrastructure for rapid, broad sharing of datasets and analyses, has transformed the way new therapeutic targets and biomarkers are discovered.</w:t>
      </w:r>
    </w:p>
    <w:p w14:paraId="208785DF" w14:textId="77777777" w:rsidR="00000000" w:rsidRPr="0060384B" w:rsidRDefault="00CA5F6F">
      <w:pPr>
        <w:spacing w:line="254" w:lineRule="exact"/>
        <w:rPr>
          <w:rFonts w:ascii="Lato" w:eastAsia="Times New Roman" w:hAnsi="Lato"/>
          <w:color w:val="000000" w:themeColor="text1"/>
          <w:sz w:val="24"/>
          <w:szCs w:val="24"/>
        </w:rPr>
      </w:pPr>
    </w:p>
    <w:p w14:paraId="0A2784EC" w14:textId="77777777" w:rsidR="00000000" w:rsidRPr="0060384B" w:rsidRDefault="00CA5F6F">
      <w:pPr>
        <w:spacing w:line="242" w:lineRule="auto"/>
        <w:ind w:right="20"/>
        <w:rPr>
          <w:rFonts w:ascii="Lato" w:hAnsi="Lato"/>
          <w:color w:val="000000" w:themeColor="text1"/>
          <w:sz w:val="24"/>
          <w:szCs w:val="24"/>
        </w:rPr>
      </w:pPr>
      <w:r w:rsidRPr="0060384B">
        <w:rPr>
          <w:rFonts w:ascii="Lato" w:hAnsi="Lato"/>
          <w:color w:val="000000" w:themeColor="text1"/>
          <w:sz w:val="24"/>
          <w:szCs w:val="24"/>
        </w:rPr>
        <w:t>The Target Discovery component of AMP-AD is already producing results. Sinc</w:t>
      </w:r>
      <w:r w:rsidRPr="0060384B">
        <w:rPr>
          <w:rFonts w:ascii="Lato" w:hAnsi="Lato"/>
          <w:color w:val="000000" w:themeColor="text1"/>
          <w:sz w:val="24"/>
          <w:szCs w:val="24"/>
        </w:rPr>
        <w:t xml:space="preserve">e its inception in 2014, the AMP-AD Target Discovery research teams have established a centralized data resource/infrastructure, the </w:t>
      </w:r>
      <w:hyperlink r:id="rId186" w:history="1">
        <w:r w:rsidRPr="0060384B">
          <w:rPr>
            <w:rFonts w:ascii="Lato" w:hAnsi="Lato"/>
            <w:color w:val="000000" w:themeColor="text1"/>
            <w:sz w:val="24"/>
            <w:szCs w:val="24"/>
          </w:rPr>
          <w:t>AMP-AD Knowledge Portal</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for rapid, broad data sha</w:t>
      </w:r>
      <w:r w:rsidRPr="0060384B">
        <w:rPr>
          <w:rFonts w:ascii="Lato" w:hAnsi="Lato"/>
          <w:color w:val="000000" w:themeColor="text1"/>
          <w:sz w:val="24"/>
          <w:szCs w:val="24"/>
        </w:rPr>
        <w:t>ring. They have also generated human data from over 2,000 brains and over 1,000 plasma samples (across all stages of Alzheimer</w:t>
      </w:r>
      <w:r w:rsidRPr="0060384B">
        <w:rPr>
          <w:rFonts w:ascii="Lato" w:hAnsi="Lato"/>
          <w:color w:val="000000" w:themeColor="text1"/>
          <w:sz w:val="24"/>
          <w:szCs w:val="24"/>
        </w:rPr>
        <w:t>’s) and made them widely available to researchers; developed network models of disease pathways/targets; and in July 2018 nominate</w:t>
      </w:r>
      <w:r w:rsidRPr="0060384B">
        <w:rPr>
          <w:rFonts w:ascii="Lato" w:hAnsi="Lato"/>
          <w:color w:val="000000" w:themeColor="text1"/>
          <w:sz w:val="24"/>
          <w:szCs w:val="24"/>
        </w:rPr>
        <w:t xml:space="preserve">d over 100 novel candidate targets. The newly nominated targets and associated data and analyses are available through a new </w:t>
      </w:r>
      <w:hyperlink r:id="rId187" w:history="1">
        <w:r w:rsidRPr="0060384B">
          <w:rPr>
            <w:rFonts w:ascii="Lato" w:hAnsi="Lato"/>
            <w:color w:val="000000" w:themeColor="text1"/>
            <w:sz w:val="24"/>
            <w:szCs w:val="24"/>
          </w:rPr>
          <w:t>AGORA</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web-based interactive platform. This groundbreaking program was renewed i</w:t>
      </w:r>
      <w:r w:rsidRPr="0060384B">
        <w:rPr>
          <w:rFonts w:ascii="Lato" w:hAnsi="Lato"/>
          <w:color w:val="000000" w:themeColor="text1"/>
          <w:sz w:val="24"/>
          <w:szCs w:val="24"/>
        </w:rPr>
        <w:t>n 2018.</w:t>
      </w:r>
    </w:p>
    <w:p w14:paraId="2922FB19" w14:textId="77777777" w:rsidR="00000000" w:rsidRPr="0060384B" w:rsidRDefault="00CA5F6F">
      <w:pPr>
        <w:spacing w:line="260" w:lineRule="exact"/>
        <w:rPr>
          <w:rFonts w:ascii="Lato" w:eastAsia="Times New Roman" w:hAnsi="Lato"/>
          <w:color w:val="000000" w:themeColor="text1"/>
          <w:sz w:val="24"/>
          <w:szCs w:val="24"/>
        </w:rPr>
      </w:pPr>
    </w:p>
    <w:p w14:paraId="3E07ABC0" w14:textId="77777777" w:rsidR="00000000" w:rsidRPr="0060384B" w:rsidRDefault="00CA5F6F">
      <w:pPr>
        <w:spacing w:line="243" w:lineRule="auto"/>
        <w:rPr>
          <w:rFonts w:ascii="Lato" w:hAnsi="Lato"/>
          <w:color w:val="000000" w:themeColor="text1"/>
          <w:sz w:val="24"/>
          <w:szCs w:val="24"/>
        </w:rPr>
      </w:pPr>
      <w:r w:rsidRPr="0060384B">
        <w:rPr>
          <w:rFonts w:ascii="Lato" w:hAnsi="Lato"/>
          <w:color w:val="000000" w:themeColor="text1"/>
          <w:sz w:val="24"/>
          <w:szCs w:val="24"/>
        </w:rPr>
        <w:t>To further drive translational studies, in 2019 NIA plans to launch two new Alzheimer</w:t>
      </w:r>
      <w:r w:rsidRPr="0060384B">
        <w:rPr>
          <w:rFonts w:ascii="Lato" w:hAnsi="Lato"/>
          <w:color w:val="000000" w:themeColor="text1"/>
          <w:sz w:val="24"/>
          <w:szCs w:val="24"/>
        </w:rPr>
        <w:t>’s Disease Centers for Discovery of New Medicines. The Centers</w:t>
      </w:r>
      <w:r w:rsidRPr="0060384B">
        <w:rPr>
          <w:rFonts w:ascii="Lato" w:hAnsi="Lato"/>
          <w:color w:val="000000" w:themeColor="text1"/>
          <w:sz w:val="24"/>
          <w:szCs w:val="24"/>
        </w:rPr>
        <w:t xml:space="preserve">’ multidisciplinary translational projects are designed to move findings of targets from AMP-AD and </w:t>
      </w:r>
      <w:r w:rsidRPr="0060384B">
        <w:rPr>
          <w:rFonts w:ascii="Lato" w:hAnsi="Lato"/>
          <w:color w:val="000000" w:themeColor="text1"/>
          <w:sz w:val="24"/>
          <w:szCs w:val="24"/>
        </w:rPr>
        <w:t>other initiatives along the drug discovery pipeline. An important aim is to advance potential therapeutics to a point where pharmaceutical and biotech companies will invest in them, ramping up the delivery of new drugs to patients. The new centers will foc</w:t>
      </w:r>
      <w:r w:rsidRPr="0060384B">
        <w:rPr>
          <w:rFonts w:ascii="Lato" w:hAnsi="Lato"/>
          <w:color w:val="000000" w:themeColor="text1"/>
          <w:sz w:val="24"/>
          <w:szCs w:val="24"/>
        </w:rPr>
        <w:t>us on reducing the high attrition rate of treatments in Alzheimer</w:t>
      </w:r>
      <w:r w:rsidRPr="0060384B">
        <w:rPr>
          <w:rFonts w:ascii="Lato" w:hAnsi="Lato"/>
          <w:color w:val="000000" w:themeColor="text1"/>
          <w:sz w:val="24"/>
          <w:szCs w:val="24"/>
        </w:rPr>
        <w:t>’s Phase II and Phase III clinical trials.</w:t>
      </w:r>
    </w:p>
    <w:p w14:paraId="4754AB08" w14:textId="77777777" w:rsidR="00000000" w:rsidRPr="0060384B" w:rsidRDefault="00CA5F6F">
      <w:pPr>
        <w:spacing w:line="254" w:lineRule="exact"/>
        <w:rPr>
          <w:rFonts w:ascii="Lato" w:eastAsia="Times New Roman" w:hAnsi="Lato"/>
          <w:color w:val="000000" w:themeColor="text1"/>
          <w:sz w:val="24"/>
          <w:szCs w:val="24"/>
        </w:rPr>
      </w:pPr>
    </w:p>
    <w:p w14:paraId="16323A49" w14:textId="77777777" w:rsidR="00000000" w:rsidRPr="0060384B" w:rsidRDefault="00CA5F6F">
      <w:pPr>
        <w:spacing w:line="247" w:lineRule="auto"/>
        <w:rPr>
          <w:rFonts w:ascii="Lato" w:hAnsi="Lato"/>
          <w:color w:val="000000" w:themeColor="text1"/>
          <w:sz w:val="24"/>
          <w:szCs w:val="24"/>
        </w:rPr>
      </w:pPr>
      <w:r w:rsidRPr="0060384B">
        <w:rPr>
          <w:rFonts w:ascii="Lato" w:hAnsi="Lato"/>
          <w:color w:val="000000" w:themeColor="text1"/>
          <w:sz w:val="24"/>
          <w:szCs w:val="24"/>
        </w:rPr>
        <w:t>Accelerated basic discoveries have brought an unprecedented and exciting diversity to NIH</w:t>
      </w:r>
      <w:r w:rsidRPr="0060384B">
        <w:rPr>
          <w:rFonts w:ascii="Lato" w:hAnsi="Lato"/>
          <w:color w:val="000000" w:themeColor="text1"/>
          <w:sz w:val="24"/>
          <w:szCs w:val="24"/>
        </w:rPr>
        <w:t>’s Alzheimer</w:t>
      </w:r>
      <w:r w:rsidRPr="0060384B">
        <w:rPr>
          <w:rFonts w:ascii="Lato" w:hAnsi="Lato"/>
          <w:color w:val="000000" w:themeColor="text1"/>
          <w:sz w:val="24"/>
          <w:szCs w:val="24"/>
        </w:rPr>
        <w:t>’s disease and related dementias translational</w:t>
      </w:r>
      <w:r w:rsidRPr="0060384B">
        <w:rPr>
          <w:rFonts w:ascii="Lato" w:hAnsi="Lato"/>
          <w:color w:val="000000" w:themeColor="text1"/>
          <w:sz w:val="24"/>
          <w:szCs w:val="24"/>
        </w:rPr>
        <w:t xml:space="preserve"> research portfolio. Investments to move these discoveries forward are highlighted here. They describe, at various stages in the translational pipeline, how investigators are pursuing many promising avenues</w:t>
      </w:r>
      <w:r w:rsidRPr="0060384B">
        <w:rPr>
          <w:rFonts w:ascii="Lato" w:hAnsi="Lato"/>
          <w:color w:val="000000" w:themeColor="text1"/>
          <w:sz w:val="24"/>
          <w:szCs w:val="24"/>
        </w:rPr>
        <w:t>—both novel and</w:t>
      </w:r>
    </w:p>
    <w:p w14:paraId="1FF2B6F9" w14:textId="77777777" w:rsidR="00000000" w:rsidRPr="0060384B" w:rsidRDefault="00CA5F6F">
      <w:pPr>
        <w:spacing w:line="247" w:lineRule="auto"/>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3D6227A1" w14:textId="77777777" w:rsidR="00000000" w:rsidRPr="0060384B" w:rsidRDefault="00CA5F6F">
      <w:pPr>
        <w:spacing w:line="200" w:lineRule="exact"/>
        <w:rPr>
          <w:rFonts w:ascii="Lato" w:eastAsia="Times New Roman" w:hAnsi="Lato"/>
          <w:color w:val="000000" w:themeColor="text1"/>
          <w:sz w:val="24"/>
          <w:szCs w:val="24"/>
        </w:rPr>
      </w:pPr>
    </w:p>
    <w:p w14:paraId="799715AA" w14:textId="77777777" w:rsidR="00000000" w:rsidRPr="0060384B" w:rsidRDefault="00CA5F6F">
      <w:pPr>
        <w:spacing w:line="200" w:lineRule="exact"/>
        <w:rPr>
          <w:rFonts w:ascii="Lato" w:eastAsia="Times New Roman" w:hAnsi="Lato"/>
          <w:color w:val="000000" w:themeColor="text1"/>
          <w:sz w:val="24"/>
          <w:szCs w:val="24"/>
        </w:rPr>
      </w:pPr>
    </w:p>
    <w:p w14:paraId="34271438" w14:textId="77777777" w:rsidR="00000000" w:rsidRPr="0060384B" w:rsidRDefault="00CA5F6F">
      <w:pPr>
        <w:spacing w:line="219"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6E352A0B" w14:textId="77777777">
        <w:trPr>
          <w:trHeight w:val="245"/>
        </w:trPr>
        <w:tc>
          <w:tcPr>
            <w:tcW w:w="6540" w:type="dxa"/>
            <w:shd w:val="clear" w:color="auto" w:fill="auto"/>
            <w:vAlign w:val="bottom"/>
          </w:tcPr>
          <w:p w14:paraId="5A3F6CC1"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4E3BFBBC"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53</w:t>
            </w:r>
          </w:p>
        </w:tc>
      </w:tr>
      <w:tr w:rsidR="00000000" w:rsidRPr="0060384B" w14:paraId="167AFF05" w14:textId="77777777">
        <w:trPr>
          <w:trHeight w:val="258"/>
        </w:trPr>
        <w:tc>
          <w:tcPr>
            <w:tcW w:w="6540" w:type="dxa"/>
            <w:shd w:val="clear" w:color="auto" w:fill="auto"/>
            <w:vAlign w:val="bottom"/>
          </w:tcPr>
          <w:p w14:paraId="089AE488"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NIH By</w:t>
            </w:r>
            <w:r w:rsidRPr="0060384B">
              <w:rPr>
                <w:rFonts w:ascii="Lato" w:hAnsi="Lato"/>
                <w:color w:val="000000" w:themeColor="text1"/>
                <w:sz w:val="24"/>
                <w:szCs w:val="24"/>
              </w:rPr>
              <w:t>pass Budget Proposal for Fiscal Year 2021</w:t>
            </w:r>
          </w:p>
        </w:tc>
        <w:tc>
          <w:tcPr>
            <w:tcW w:w="2820" w:type="dxa"/>
            <w:shd w:val="clear" w:color="auto" w:fill="auto"/>
            <w:vAlign w:val="bottom"/>
          </w:tcPr>
          <w:p w14:paraId="393DE4B0" w14:textId="77777777" w:rsidR="00000000" w:rsidRPr="0060384B" w:rsidRDefault="00CA5F6F">
            <w:pPr>
              <w:spacing w:line="0" w:lineRule="atLeast"/>
              <w:rPr>
                <w:rFonts w:ascii="Lato" w:eastAsia="Times New Roman" w:hAnsi="Lato"/>
                <w:color w:val="000000" w:themeColor="text1"/>
                <w:sz w:val="24"/>
                <w:szCs w:val="24"/>
              </w:rPr>
            </w:pPr>
          </w:p>
        </w:tc>
      </w:tr>
    </w:tbl>
    <w:p w14:paraId="07961672"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23E7CCA9" w14:textId="77777777" w:rsidR="00000000" w:rsidRPr="0060384B" w:rsidRDefault="00CA5F6F">
      <w:pPr>
        <w:spacing w:line="262" w:lineRule="auto"/>
        <w:ind w:right="600"/>
        <w:rPr>
          <w:rFonts w:ascii="Lato" w:hAnsi="Lato"/>
          <w:color w:val="000000" w:themeColor="text1"/>
          <w:sz w:val="24"/>
          <w:szCs w:val="24"/>
        </w:rPr>
      </w:pPr>
      <w:bookmarkStart w:id="56" w:name="page57"/>
      <w:bookmarkEnd w:id="56"/>
      <w:r w:rsidRPr="0060384B">
        <w:rPr>
          <w:rFonts w:ascii="Lato" w:hAnsi="Lato"/>
          <w:color w:val="000000" w:themeColor="text1"/>
          <w:sz w:val="24"/>
          <w:szCs w:val="24"/>
        </w:rPr>
        <w:lastRenderedPageBreak/>
        <w:t>existing targets, alone or in combination therapies, with brand new drugs and repurposed medications that have been used for other diseases and conditions.</w:t>
      </w:r>
    </w:p>
    <w:p w14:paraId="0EA3408C" w14:textId="77777777" w:rsidR="00000000" w:rsidRPr="0060384B" w:rsidRDefault="00CA5F6F">
      <w:pPr>
        <w:spacing w:line="220" w:lineRule="exact"/>
        <w:rPr>
          <w:rFonts w:ascii="Lato" w:eastAsia="Times New Roman" w:hAnsi="Lato"/>
          <w:color w:val="000000" w:themeColor="text1"/>
          <w:sz w:val="24"/>
          <w:szCs w:val="24"/>
        </w:rPr>
      </w:pPr>
    </w:p>
    <w:p w14:paraId="27EFE379"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Promising Therapies in Preclinical Drug Development</w:t>
      </w:r>
    </w:p>
    <w:p w14:paraId="38F65DAB" w14:textId="77777777" w:rsidR="00000000" w:rsidRPr="0060384B" w:rsidRDefault="00CA5F6F">
      <w:pPr>
        <w:spacing w:line="287" w:lineRule="exact"/>
        <w:rPr>
          <w:rFonts w:ascii="Lato" w:eastAsia="Times New Roman" w:hAnsi="Lato"/>
          <w:color w:val="000000" w:themeColor="text1"/>
          <w:sz w:val="24"/>
          <w:szCs w:val="24"/>
        </w:rPr>
      </w:pPr>
    </w:p>
    <w:p w14:paraId="5E743240" w14:textId="77777777" w:rsidR="00000000" w:rsidRPr="0060384B" w:rsidRDefault="00CA5F6F">
      <w:pPr>
        <w:spacing w:line="245" w:lineRule="auto"/>
        <w:ind w:right="60"/>
        <w:rPr>
          <w:rFonts w:ascii="Lato" w:hAnsi="Lato"/>
          <w:color w:val="000000" w:themeColor="text1"/>
          <w:sz w:val="24"/>
          <w:szCs w:val="24"/>
        </w:rPr>
      </w:pPr>
      <w:r w:rsidRPr="0060384B">
        <w:rPr>
          <w:rFonts w:ascii="Lato" w:hAnsi="Lato"/>
          <w:color w:val="000000" w:themeColor="text1"/>
          <w:sz w:val="24"/>
          <w:szCs w:val="24"/>
        </w:rPr>
        <w:t>N</w:t>
      </w:r>
      <w:r w:rsidRPr="0060384B">
        <w:rPr>
          <w:rFonts w:ascii="Lato" w:hAnsi="Lato"/>
          <w:color w:val="000000" w:themeColor="text1"/>
          <w:sz w:val="24"/>
          <w:szCs w:val="24"/>
        </w:rPr>
        <w:t xml:space="preserve">IA continues to support its long-standing </w:t>
      </w:r>
      <w:hyperlink r:id="rId188" w:history="1">
        <w:r w:rsidRPr="0060384B">
          <w:rPr>
            <w:rFonts w:ascii="Lato" w:hAnsi="Lato"/>
            <w:color w:val="000000" w:themeColor="text1"/>
            <w:sz w:val="24"/>
            <w:szCs w:val="24"/>
          </w:rPr>
          <w:t>Alzheimer</w:t>
        </w:r>
        <w:r w:rsidRPr="0060384B">
          <w:rPr>
            <w:rFonts w:ascii="Lato" w:hAnsi="Lato"/>
            <w:color w:val="000000" w:themeColor="text1"/>
            <w:sz w:val="24"/>
            <w:szCs w:val="24"/>
          </w:rPr>
          <w:t>’s Drug Development Program</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(ADDP) to foster new therapeutics for symptoms and root causes of disease, at multiple stages. The A</w:t>
      </w:r>
      <w:r w:rsidRPr="0060384B">
        <w:rPr>
          <w:rFonts w:ascii="Lato" w:hAnsi="Lato"/>
          <w:color w:val="000000" w:themeColor="text1"/>
          <w:sz w:val="24"/>
          <w:szCs w:val="24"/>
        </w:rPr>
        <w:t>DDP has funded 14 preclinical drug development projects since 2013, in various stages of testing. Projects in its pipeline now include development of small molecule, immune, regenerative, and gene therapies.</w:t>
      </w:r>
    </w:p>
    <w:p w14:paraId="2AB8A5E1" w14:textId="77777777" w:rsidR="00000000" w:rsidRPr="0060384B" w:rsidRDefault="00CA5F6F">
      <w:pPr>
        <w:spacing w:line="246" w:lineRule="exact"/>
        <w:rPr>
          <w:rFonts w:ascii="Lato" w:eastAsia="Times New Roman" w:hAnsi="Lato"/>
          <w:color w:val="000000" w:themeColor="text1"/>
          <w:sz w:val="24"/>
          <w:szCs w:val="24"/>
        </w:rPr>
      </w:pPr>
    </w:p>
    <w:p w14:paraId="08C08068" w14:textId="77777777" w:rsidR="00000000" w:rsidRPr="0060384B" w:rsidRDefault="00CA5F6F">
      <w:pPr>
        <w:spacing w:line="243" w:lineRule="auto"/>
        <w:ind w:right="80"/>
        <w:rPr>
          <w:rFonts w:ascii="Lato" w:hAnsi="Lato"/>
          <w:color w:val="000000" w:themeColor="text1"/>
          <w:sz w:val="24"/>
          <w:szCs w:val="24"/>
        </w:rPr>
      </w:pPr>
      <w:r w:rsidRPr="0060384B">
        <w:rPr>
          <w:rFonts w:ascii="Lato" w:hAnsi="Lato"/>
          <w:b/>
          <w:color w:val="000000" w:themeColor="text1"/>
          <w:sz w:val="24"/>
          <w:szCs w:val="24"/>
        </w:rPr>
        <w:t>Stem cells to target multiple disease mechanism</w:t>
      </w:r>
      <w:r w:rsidRPr="0060384B">
        <w:rPr>
          <w:rFonts w:ascii="Lato" w:hAnsi="Lato"/>
          <w:b/>
          <w:color w:val="000000" w:themeColor="text1"/>
          <w:sz w:val="24"/>
          <w:szCs w:val="24"/>
        </w:rPr>
        <w:t xml:space="preserve">s. </w:t>
      </w:r>
      <w:r w:rsidRPr="0060384B">
        <w:rPr>
          <w:rFonts w:ascii="Lato" w:hAnsi="Lato"/>
          <w:color w:val="000000" w:themeColor="text1"/>
          <w:sz w:val="24"/>
          <w:szCs w:val="24"/>
        </w:rPr>
        <w:t>Studies have shown the benefit of cell-</w:t>
      </w:r>
      <w:r w:rsidRPr="0060384B">
        <w:rPr>
          <w:rFonts w:ascii="Lato" w:hAnsi="Lato"/>
          <w:color w:val="000000" w:themeColor="text1"/>
          <w:sz w:val="24"/>
          <w:szCs w:val="24"/>
        </w:rPr>
        <w:t>based therapies in Alzheimer</w:t>
      </w:r>
      <w:r w:rsidRPr="0060384B">
        <w:rPr>
          <w:rFonts w:ascii="Lato" w:hAnsi="Lato"/>
          <w:color w:val="000000" w:themeColor="text1"/>
          <w:sz w:val="24"/>
          <w:szCs w:val="24"/>
        </w:rPr>
        <w:t xml:space="preserve">’s models and that their effectiveness can be enhanced when delivered with trophic factors, naturally occurring substances important for regulating a variety of cellular functions. </w:t>
      </w:r>
      <w:hyperlink r:id="rId189" w:history="1">
        <w:r w:rsidRPr="0060384B">
          <w:rPr>
            <w:rFonts w:ascii="Lato" w:hAnsi="Lato"/>
            <w:color w:val="000000" w:themeColor="text1"/>
            <w:sz w:val="24"/>
            <w:szCs w:val="24"/>
          </w:rPr>
          <w:t xml:space="preserve">One group of researchers </w:t>
        </w:r>
      </w:hyperlink>
      <w:r w:rsidRPr="0060384B">
        <w:rPr>
          <w:rFonts w:ascii="Lato" w:hAnsi="Lato"/>
          <w:color w:val="000000" w:themeColor="text1"/>
          <w:sz w:val="24"/>
          <w:szCs w:val="24"/>
        </w:rPr>
        <w:t>is developing a unique line of human cortex-derived neural stem cells as a potential Alzheimer</w:t>
      </w:r>
      <w:r w:rsidRPr="0060384B">
        <w:rPr>
          <w:rFonts w:ascii="Lato" w:hAnsi="Lato"/>
          <w:color w:val="000000" w:themeColor="text1"/>
          <w:sz w:val="24"/>
          <w:szCs w:val="24"/>
        </w:rPr>
        <w:t>’s therapeutic. The efficacy of the ste</w:t>
      </w:r>
      <w:r w:rsidRPr="0060384B">
        <w:rPr>
          <w:rFonts w:ascii="Lato" w:hAnsi="Lato"/>
          <w:color w:val="000000" w:themeColor="text1"/>
          <w:sz w:val="24"/>
          <w:szCs w:val="24"/>
        </w:rPr>
        <w:t>m cells, which produce neuroprotective growth factors, will be tested in two mouse models of disease, followed by studies in nonhuman primates. The project is aimed at delivering a disease-modifying therapy targeting multiple disease mechanisms.</w:t>
      </w:r>
    </w:p>
    <w:p w14:paraId="5C0ADD30" w14:textId="77777777" w:rsidR="00000000" w:rsidRPr="0060384B" w:rsidRDefault="00CA5F6F">
      <w:pPr>
        <w:spacing w:line="250" w:lineRule="exact"/>
        <w:rPr>
          <w:rFonts w:ascii="Lato" w:eastAsia="Times New Roman" w:hAnsi="Lato"/>
          <w:color w:val="000000" w:themeColor="text1"/>
          <w:sz w:val="24"/>
          <w:szCs w:val="24"/>
        </w:rPr>
      </w:pPr>
    </w:p>
    <w:p w14:paraId="27D45840" w14:textId="77777777" w:rsidR="00000000" w:rsidRPr="0060384B" w:rsidRDefault="00CA5F6F">
      <w:pPr>
        <w:spacing w:line="244" w:lineRule="auto"/>
        <w:ind w:right="380"/>
        <w:rPr>
          <w:rFonts w:ascii="Lato" w:hAnsi="Lato"/>
          <w:color w:val="000000" w:themeColor="text1"/>
          <w:sz w:val="24"/>
          <w:szCs w:val="24"/>
        </w:rPr>
      </w:pPr>
      <w:r w:rsidRPr="0060384B">
        <w:rPr>
          <w:rFonts w:ascii="Lato" w:hAnsi="Lato"/>
          <w:b/>
          <w:color w:val="000000" w:themeColor="text1"/>
          <w:sz w:val="24"/>
          <w:szCs w:val="24"/>
        </w:rPr>
        <w:t>A novel a</w:t>
      </w:r>
      <w:r w:rsidRPr="0060384B">
        <w:rPr>
          <w:rFonts w:ascii="Lato" w:hAnsi="Lato"/>
          <w:b/>
          <w:color w:val="000000" w:themeColor="text1"/>
          <w:sz w:val="24"/>
          <w:szCs w:val="24"/>
        </w:rPr>
        <w:t xml:space="preserve">pproach to inflammation. </w:t>
      </w:r>
      <w:r w:rsidRPr="0060384B">
        <w:rPr>
          <w:rFonts w:ascii="Lato" w:hAnsi="Lato"/>
          <w:color w:val="000000" w:themeColor="text1"/>
          <w:sz w:val="24"/>
          <w:szCs w:val="24"/>
        </w:rPr>
        <w:t>There is a growing body of evidence across genetic,</w:t>
      </w:r>
      <w:r w:rsidRPr="0060384B">
        <w:rPr>
          <w:rFonts w:ascii="Lato" w:hAnsi="Lato"/>
          <w:b/>
          <w:color w:val="000000" w:themeColor="text1"/>
          <w:sz w:val="24"/>
          <w:szCs w:val="24"/>
        </w:rPr>
        <w:t xml:space="preserve"> </w:t>
      </w:r>
      <w:r w:rsidRPr="0060384B">
        <w:rPr>
          <w:rFonts w:ascii="Lato" w:hAnsi="Lato"/>
          <w:color w:val="000000" w:themeColor="text1"/>
          <w:sz w:val="24"/>
          <w:szCs w:val="24"/>
        </w:rPr>
        <w:t xml:space="preserve">experimental, and clinical research pointing to a connection between inflammation and neurodegeneration. </w:t>
      </w:r>
      <w:hyperlink r:id="rId190" w:history="1">
        <w:r w:rsidRPr="0060384B">
          <w:rPr>
            <w:rFonts w:ascii="Lato" w:hAnsi="Lato"/>
            <w:color w:val="000000" w:themeColor="text1"/>
            <w:sz w:val="24"/>
            <w:szCs w:val="24"/>
          </w:rPr>
          <w:t xml:space="preserve">One research team </w:t>
        </w:r>
      </w:hyperlink>
      <w:r w:rsidRPr="0060384B">
        <w:rPr>
          <w:rFonts w:ascii="Lato" w:hAnsi="Lato"/>
          <w:color w:val="000000" w:themeColor="text1"/>
          <w:sz w:val="24"/>
          <w:szCs w:val="24"/>
        </w:rPr>
        <w:t>is developing a novel anti-inflammatory therapeutic targeting the prostanoid receptor, EP2. This therapeutic approach, to be tested in a mouse model, was</w:t>
      </w:r>
      <w:r w:rsidRPr="0060384B">
        <w:rPr>
          <w:rFonts w:ascii="Lato" w:hAnsi="Lato"/>
          <w:color w:val="000000" w:themeColor="text1"/>
          <w:sz w:val="24"/>
          <w:szCs w:val="24"/>
        </w:rPr>
        <w:t xml:space="preserve"> designed to alleviate inflammation-driven neurodegeneration while avoiding undesirable side effects typical for many anti-inflammatory drugs.</w:t>
      </w:r>
    </w:p>
    <w:p w14:paraId="184A529D" w14:textId="77777777" w:rsidR="00000000" w:rsidRPr="0060384B" w:rsidRDefault="00CA5F6F">
      <w:pPr>
        <w:spacing w:line="250" w:lineRule="exact"/>
        <w:rPr>
          <w:rFonts w:ascii="Lato" w:eastAsia="Times New Roman" w:hAnsi="Lato"/>
          <w:color w:val="000000" w:themeColor="text1"/>
          <w:sz w:val="24"/>
          <w:szCs w:val="24"/>
        </w:rPr>
      </w:pPr>
    </w:p>
    <w:p w14:paraId="76500FD2" w14:textId="77777777" w:rsidR="00000000" w:rsidRPr="0060384B" w:rsidRDefault="00CA5F6F">
      <w:pPr>
        <w:spacing w:line="245" w:lineRule="auto"/>
        <w:ind w:right="140"/>
        <w:rPr>
          <w:rFonts w:ascii="Lato" w:hAnsi="Lato"/>
          <w:color w:val="000000" w:themeColor="text1"/>
          <w:sz w:val="24"/>
          <w:szCs w:val="24"/>
        </w:rPr>
      </w:pPr>
      <w:r w:rsidRPr="0060384B">
        <w:rPr>
          <w:rFonts w:ascii="Lato" w:hAnsi="Lato"/>
          <w:b/>
          <w:color w:val="000000" w:themeColor="text1"/>
          <w:sz w:val="24"/>
          <w:szCs w:val="24"/>
        </w:rPr>
        <w:t xml:space="preserve">Regulating glutamate for synaptic communications. </w:t>
      </w:r>
      <w:r w:rsidRPr="0060384B">
        <w:rPr>
          <w:rFonts w:ascii="Lato" w:hAnsi="Lato"/>
          <w:color w:val="000000" w:themeColor="text1"/>
          <w:sz w:val="24"/>
          <w:szCs w:val="24"/>
        </w:rPr>
        <w:t>Glutamate, an important</w:t>
      </w:r>
      <w:r w:rsidRPr="0060384B">
        <w:rPr>
          <w:rFonts w:ascii="Lato" w:hAnsi="Lato"/>
          <w:b/>
          <w:color w:val="000000" w:themeColor="text1"/>
          <w:sz w:val="24"/>
          <w:szCs w:val="24"/>
        </w:rPr>
        <w:t xml:space="preserve"> </w:t>
      </w:r>
      <w:r w:rsidRPr="0060384B">
        <w:rPr>
          <w:rFonts w:ascii="Lato" w:hAnsi="Lato"/>
          <w:color w:val="000000" w:themeColor="text1"/>
          <w:sz w:val="24"/>
          <w:szCs w:val="24"/>
        </w:rPr>
        <w:t>neurotransmitter in the brain, plays a</w:t>
      </w:r>
      <w:r w:rsidRPr="0060384B">
        <w:rPr>
          <w:rFonts w:ascii="Lato" w:hAnsi="Lato"/>
          <w:color w:val="000000" w:themeColor="text1"/>
          <w:sz w:val="24"/>
          <w:szCs w:val="24"/>
        </w:rPr>
        <w:t xml:space="preserve"> key role in learning and memory by helping to support synaptic plasticity. It is particularly involved in long-term potentiation, a form of plasticity maintained over time for signaling between neurons. Two newly funded studies will select and test compou</w:t>
      </w:r>
      <w:r w:rsidRPr="0060384B">
        <w:rPr>
          <w:rFonts w:ascii="Lato" w:hAnsi="Lato"/>
          <w:color w:val="000000" w:themeColor="text1"/>
          <w:sz w:val="24"/>
          <w:szCs w:val="24"/>
        </w:rPr>
        <w:t>nds targeting glutamate for effective communication between neurons to help preserve cognition:</w:t>
      </w:r>
    </w:p>
    <w:p w14:paraId="787BF3BB" w14:textId="77777777" w:rsidR="00000000" w:rsidRPr="0060384B" w:rsidRDefault="00CA5F6F">
      <w:pPr>
        <w:spacing w:line="258" w:lineRule="exact"/>
        <w:rPr>
          <w:rFonts w:ascii="Lato" w:eastAsia="Times New Roman" w:hAnsi="Lato"/>
          <w:color w:val="000000" w:themeColor="text1"/>
          <w:sz w:val="24"/>
          <w:szCs w:val="24"/>
        </w:rPr>
      </w:pPr>
    </w:p>
    <w:p w14:paraId="4642444B" w14:textId="77777777" w:rsidR="00000000" w:rsidRPr="0060384B" w:rsidRDefault="00CA5F6F">
      <w:pPr>
        <w:numPr>
          <w:ilvl w:val="0"/>
          <w:numId w:val="16"/>
        </w:numPr>
        <w:tabs>
          <w:tab w:val="left" w:pos="540"/>
        </w:tabs>
        <w:spacing w:line="242" w:lineRule="auto"/>
        <w:ind w:left="540" w:right="20" w:hanging="353"/>
        <w:rPr>
          <w:rFonts w:ascii="Lato" w:hAnsi="Lato"/>
          <w:color w:val="000000" w:themeColor="text1"/>
          <w:sz w:val="24"/>
          <w:szCs w:val="24"/>
        </w:rPr>
      </w:pPr>
      <w:hyperlink r:id="rId191" w:history="1">
        <w:r w:rsidRPr="0060384B">
          <w:rPr>
            <w:rFonts w:ascii="Lato" w:hAnsi="Lato"/>
            <w:color w:val="000000" w:themeColor="text1"/>
            <w:sz w:val="24"/>
            <w:szCs w:val="24"/>
          </w:rPr>
          <w:t>I</w:t>
        </w:r>
        <w:r w:rsidRPr="0060384B">
          <w:rPr>
            <w:rFonts w:ascii="Lato" w:hAnsi="Lato"/>
            <w:color w:val="000000" w:themeColor="text1"/>
            <w:sz w:val="24"/>
            <w:szCs w:val="24"/>
          </w:rPr>
          <w:t>n one study</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xml:space="preserve">scientists </w:t>
      </w:r>
      <w:r w:rsidRPr="0060384B">
        <w:rPr>
          <w:rFonts w:ascii="Lato" w:hAnsi="Lato"/>
          <w:color w:val="000000" w:themeColor="text1"/>
          <w:sz w:val="24"/>
          <w:szCs w:val="24"/>
        </w:rPr>
        <w:t>will select a novel small molecule from among candidate</w:t>
      </w:r>
      <w:r w:rsidRPr="0060384B">
        <w:rPr>
          <w:rFonts w:ascii="Lato" w:hAnsi="Lato"/>
          <w:color w:val="000000" w:themeColor="text1"/>
          <w:sz w:val="24"/>
          <w:szCs w:val="24"/>
        </w:rPr>
        <w:t xml:space="preserve"> </w:t>
      </w:r>
      <w:r w:rsidRPr="0060384B">
        <w:rPr>
          <w:rFonts w:ascii="Lato" w:hAnsi="Lato"/>
          <w:color w:val="000000" w:themeColor="text1"/>
          <w:sz w:val="24"/>
          <w:szCs w:val="24"/>
        </w:rPr>
        <w:t>compounds to increase expression of a glutamate transporter protein called EAAT2. Studies have shown that loss of the EAAT2 protein and function are common in Alzheimer</w:t>
      </w:r>
      <w:r w:rsidRPr="0060384B">
        <w:rPr>
          <w:rFonts w:ascii="Lato" w:hAnsi="Lato"/>
          <w:color w:val="000000" w:themeColor="text1"/>
          <w:sz w:val="24"/>
          <w:szCs w:val="24"/>
        </w:rPr>
        <w:t>’s dise</w:t>
      </w:r>
      <w:r w:rsidRPr="0060384B">
        <w:rPr>
          <w:rFonts w:ascii="Lato" w:hAnsi="Lato"/>
          <w:color w:val="000000" w:themeColor="text1"/>
          <w:sz w:val="24"/>
          <w:szCs w:val="24"/>
        </w:rPr>
        <w:t>ase and that the loss occurs early in the disease process. Previous work by this team in a mouse model was able to restore the function of EAAT2 through a novel small molecule that could penetrate the brain and improve cognitive function and synaptic integ</w:t>
      </w:r>
      <w:r w:rsidRPr="0060384B">
        <w:rPr>
          <w:rFonts w:ascii="Lato" w:hAnsi="Lato"/>
          <w:color w:val="000000" w:themeColor="text1"/>
          <w:sz w:val="24"/>
          <w:szCs w:val="24"/>
        </w:rPr>
        <w:t>rity. The new project will move the research forward to selection of a specific drug candidate, through various phases of preclinical testing for safety and efficacy.</w:t>
      </w:r>
    </w:p>
    <w:p w14:paraId="7742D8B8" w14:textId="77777777" w:rsidR="00000000" w:rsidRPr="0060384B" w:rsidRDefault="00CA5F6F">
      <w:pPr>
        <w:spacing w:line="230" w:lineRule="exact"/>
        <w:rPr>
          <w:rFonts w:ascii="Lato" w:hAnsi="Lato"/>
          <w:color w:val="000000" w:themeColor="text1"/>
          <w:sz w:val="24"/>
          <w:szCs w:val="24"/>
        </w:rPr>
      </w:pPr>
    </w:p>
    <w:p w14:paraId="5A810520" w14:textId="77777777" w:rsidR="00000000" w:rsidRPr="0060384B" w:rsidRDefault="00CA5F6F">
      <w:pPr>
        <w:numPr>
          <w:ilvl w:val="0"/>
          <w:numId w:val="16"/>
        </w:numPr>
        <w:tabs>
          <w:tab w:val="left" w:pos="540"/>
        </w:tabs>
        <w:spacing w:line="264" w:lineRule="auto"/>
        <w:ind w:left="540" w:right="300" w:hanging="360"/>
        <w:rPr>
          <w:rFonts w:ascii="Lato" w:hAnsi="Lato"/>
          <w:color w:val="000000" w:themeColor="text1"/>
          <w:sz w:val="24"/>
          <w:szCs w:val="24"/>
        </w:rPr>
      </w:pPr>
      <w:hyperlink r:id="rId192" w:history="1">
        <w:r w:rsidRPr="0060384B">
          <w:rPr>
            <w:rFonts w:ascii="Lato" w:hAnsi="Lato"/>
            <w:color w:val="000000" w:themeColor="text1"/>
            <w:sz w:val="24"/>
            <w:szCs w:val="24"/>
          </w:rPr>
          <w:t>Another research group</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will</w:t>
      </w:r>
      <w:r w:rsidRPr="0060384B">
        <w:rPr>
          <w:rFonts w:ascii="Lato" w:hAnsi="Lato"/>
          <w:color w:val="000000" w:themeColor="text1"/>
          <w:sz w:val="24"/>
          <w:szCs w:val="24"/>
        </w:rPr>
        <w:t xml:space="preserve"> </w:t>
      </w:r>
      <w:r w:rsidRPr="0060384B">
        <w:rPr>
          <w:rFonts w:ascii="Lato" w:hAnsi="Lato"/>
          <w:color w:val="000000" w:themeColor="text1"/>
          <w:sz w:val="24"/>
          <w:szCs w:val="24"/>
        </w:rPr>
        <w:t>try to halt disease development by inhibiting the activity of</w:t>
      </w:r>
      <w:r w:rsidRPr="0060384B">
        <w:rPr>
          <w:rFonts w:ascii="Lato" w:hAnsi="Lato"/>
          <w:color w:val="000000" w:themeColor="text1"/>
          <w:sz w:val="24"/>
          <w:szCs w:val="24"/>
        </w:rPr>
        <w:t xml:space="preserve"> </w:t>
      </w:r>
      <w:r w:rsidRPr="0060384B">
        <w:rPr>
          <w:rFonts w:ascii="Lato" w:hAnsi="Lato"/>
          <w:color w:val="000000" w:themeColor="text1"/>
          <w:sz w:val="24"/>
          <w:szCs w:val="24"/>
        </w:rPr>
        <w:t>the mGluR5 glutamate receptor. With access to an exclusive chemical collection of</w:t>
      </w:r>
    </w:p>
    <w:p w14:paraId="22AE8740" w14:textId="77777777" w:rsidR="00000000" w:rsidRPr="0060384B" w:rsidRDefault="00CA5F6F">
      <w:pPr>
        <w:tabs>
          <w:tab w:val="left" w:pos="540"/>
        </w:tabs>
        <w:spacing w:line="264" w:lineRule="auto"/>
        <w:ind w:left="540" w:right="300" w:hanging="36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1C8767F0" w14:textId="77777777" w:rsidR="00000000" w:rsidRPr="0060384B" w:rsidRDefault="00CA5F6F">
      <w:pPr>
        <w:spacing w:line="295" w:lineRule="exact"/>
        <w:rPr>
          <w:rFonts w:ascii="Lato" w:eastAsia="Arial"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21895982" w14:textId="77777777">
        <w:trPr>
          <w:trHeight w:val="245"/>
        </w:trPr>
        <w:tc>
          <w:tcPr>
            <w:tcW w:w="6540" w:type="dxa"/>
            <w:shd w:val="clear" w:color="auto" w:fill="auto"/>
            <w:vAlign w:val="bottom"/>
          </w:tcPr>
          <w:p w14:paraId="11AB12D2"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TOGETHER WE</w:t>
            </w:r>
            <w:r w:rsidRPr="0060384B">
              <w:rPr>
                <w:rFonts w:ascii="Lato" w:hAnsi="Lato"/>
                <w:color w:val="000000" w:themeColor="text1"/>
                <w:sz w:val="24"/>
                <w:szCs w:val="24"/>
              </w:rPr>
              <w:t xml:space="preserve"> SUCCEED</w:t>
            </w:r>
          </w:p>
        </w:tc>
        <w:tc>
          <w:tcPr>
            <w:tcW w:w="2820" w:type="dxa"/>
            <w:shd w:val="clear" w:color="auto" w:fill="auto"/>
            <w:vAlign w:val="bottom"/>
          </w:tcPr>
          <w:p w14:paraId="6AFDB157"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54</w:t>
            </w:r>
          </w:p>
        </w:tc>
      </w:tr>
      <w:tr w:rsidR="00000000" w:rsidRPr="0060384B" w14:paraId="6F4C56D5" w14:textId="77777777">
        <w:trPr>
          <w:trHeight w:val="258"/>
        </w:trPr>
        <w:tc>
          <w:tcPr>
            <w:tcW w:w="6540" w:type="dxa"/>
            <w:shd w:val="clear" w:color="auto" w:fill="auto"/>
            <w:vAlign w:val="bottom"/>
          </w:tcPr>
          <w:p w14:paraId="2D3B904B"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611B4C56" w14:textId="77777777" w:rsidR="00000000" w:rsidRPr="0060384B" w:rsidRDefault="00CA5F6F">
            <w:pPr>
              <w:spacing w:line="0" w:lineRule="atLeast"/>
              <w:rPr>
                <w:rFonts w:ascii="Lato" w:eastAsia="Times New Roman" w:hAnsi="Lato"/>
                <w:color w:val="000000" w:themeColor="text1"/>
                <w:sz w:val="24"/>
                <w:szCs w:val="24"/>
              </w:rPr>
            </w:pPr>
          </w:p>
        </w:tc>
      </w:tr>
    </w:tbl>
    <w:p w14:paraId="5EAC102E"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09F596A5" w14:textId="77777777" w:rsidR="00000000" w:rsidRPr="0060384B" w:rsidRDefault="00CA5F6F">
      <w:pPr>
        <w:spacing w:line="245" w:lineRule="auto"/>
        <w:ind w:left="540" w:right="120"/>
        <w:rPr>
          <w:rFonts w:ascii="Lato" w:hAnsi="Lato"/>
          <w:color w:val="000000" w:themeColor="text1"/>
          <w:sz w:val="24"/>
          <w:szCs w:val="24"/>
        </w:rPr>
      </w:pPr>
      <w:bookmarkStart w:id="57" w:name="page58"/>
      <w:bookmarkEnd w:id="57"/>
      <w:r w:rsidRPr="0060384B">
        <w:rPr>
          <w:rFonts w:ascii="Lato" w:hAnsi="Lato"/>
          <w:color w:val="000000" w:themeColor="text1"/>
          <w:sz w:val="24"/>
          <w:szCs w:val="24"/>
        </w:rPr>
        <w:lastRenderedPageBreak/>
        <w:t>mGluR5-directed compounds licensed from pharmaceutical companies, the scientists have identified a drug candidate which, in preliminary studies in Alzheimer</w:t>
      </w:r>
      <w:r w:rsidRPr="0060384B">
        <w:rPr>
          <w:rFonts w:ascii="Lato" w:hAnsi="Lato"/>
          <w:color w:val="000000" w:themeColor="text1"/>
          <w:sz w:val="24"/>
          <w:szCs w:val="24"/>
        </w:rPr>
        <w:t>’s model mice, helped recover synaps</w:t>
      </w:r>
      <w:r w:rsidRPr="0060384B">
        <w:rPr>
          <w:rFonts w:ascii="Lato" w:hAnsi="Lato"/>
          <w:color w:val="000000" w:themeColor="text1"/>
          <w:sz w:val="24"/>
          <w:szCs w:val="24"/>
        </w:rPr>
        <w:t>e density, restore long-term potentiation, and return memory performance. As a next step, the team will identify a lead compound it will further develop for human trials.</w:t>
      </w:r>
    </w:p>
    <w:p w14:paraId="2DA0FAEE" w14:textId="77777777" w:rsidR="00000000" w:rsidRPr="0060384B" w:rsidRDefault="00CA5F6F">
      <w:pPr>
        <w:spacing w:line="242" w:lineRule="exact"/>
        <w:rPr>
          <w:rFonts w:ascii="Lato" w:eastAsia="Times New Roman" w:hAnsi="Lato"/>
          <w:color w:val="000000" w:themeColor="text1"/>
          <w:sz w:val="24"/>
          <w:szCs w:val="24"/>
        </w:rPr>
      </w:pPr>
    </w:p>
    <w:p w14:paraId="13C73EC7" w14:textId="77777777" w:rsidR="00000000" w:rsidRPr="0060384B" w:rsidRDefault="00CA5F6F">
      <w:pPr>
        <w:spacing w:line="271" w:lineRule="auto"/>
        <w:ind w:right="340"/>
        <w:rPr>
          <w:rFonts w:ascii="Lato" w:hAnsi="Lato"/>
          <w:b/>
          <w:color w:val="000000" w:themeColor="text1"/>
          <w:sz w:val="24"/>
          <w:szCs w:val="24"/>
        </w:rPr>
      </w:pPr>
      <w:r w:rsidRPr="0060384B">
        <w:rPr>
          <w:rFonts w:ascii="Lato" w:hAnsi="Lato"/>
          <w:b/>
          <w:color w:val="000000" w:themeColor="text1"/>
          <w:sz w:val="24"/>
          <w:szCs w:val="24"/>
        </w:rPr>
        <w:t>From Mice to Men and Women: Advancing Promising Therapeutic Candidates into Human Tr</w:t>
      </w:r>
      <w:r w:rsidRPr="0060384B">
        <w:rPr>
          <w:rFonts w:ascii="Lato" w:hAnsi="Lato"/>
          <w:b/>
          <w:color w:val="000000" w:themeColor="text1"/>
          <w:sz w:val="24"/>
          <w:szCs w:val="24"/>
        </w:rPr>
        <w:t>ials</w:t>
      </w:r>
    </w:p>
    <w:p w14:paraId="5DC00240" w14:textId="77777777" w:rsidR="00000000" w:rsidRPr="0060384B" w:rsidRDefault="00CA5F6F">
      <w:pPr>
        <w:spacing w:line="200" w:lineRule="exact"/>
        <w:rPr>
          <w:rFonts w:ascii="Lato" w:eastAsia="Times New Roman" w:hAnsi="Lato"/>
          <w:color w:val="000000" w:themeColor="text1"/>
          <w:sz w:val="24"/>
          <w:szCs w:val="24"/>
        </w:rPr>
      </w:pPr>
    </w:p>
    <w:p w14:paraId="2A2346AA" w14:textId="77777777" w:rsidR="00000000" w:rsidRPr="0060384B" w:rsidRDefault="00CA5F6F">
      <w:pPr>
        <w:spacing w:line="243" w:lineRule="auto"/>
        <w:rPr>
          <w:rFonts w:ascii="Lato" w:hAnsi="Lato"/>
          <w:color w:val="000000" w:themeColor="text1"/>
          <w:sz w:val="24"/>
          <w:szCs w:val="24"/>
        </w:rPr>
      </w:pPr>
      <w:r w:rsidRPr="0060384B">
        <w:rPr>
          <w:rFonts w:ascii="Lato" w:hAnsi="Lato"/>
          <w:color w:val="000000" w:themeColor="text1"/>
          <w:sz w:val="24"/>
          <w:szCs w:val="24"/>
        </w:rPr>
        <w:t>New challenges arise when a compound is ready to move from animal into human testing. Basic researchers may lack the resources or know- how to move promising compounds or other types of interventions into clinical trials. For drugs, biotechnology and</w:t>
      </w:r>
      <w:r w:rsidRPr="0060384B">
        <w:rPr>
          <w:rFonts w:ascii="Lato" w:hAnsi="Lato"/>
          <w:color w:val="000000" w:themeColor="text1"/>
          <w:sz w:val="24"/>
          <w:szCs w:val="24"/>
        </w:rPr>
        <w:t xml:space="preserve"> pharmaceutical companies may be reluctant to invest in development because there are few clinically validated targets or strategies, there is a long track record of failure, and many nervous system disorders affect relatively small populations. NIH progra</w:t>
      </w:r>
      <w:r w:rsidRPr="0060384B">
        <w:rPr>
          <w:rFonts w:ascii="Lato" w:hAnsi="Lato"/>
          <w:color w:val="000000" w:themeColor="text1"/>
          <w:sz w:val="24"/>
          <w:szCs w:val="24"/>
        </w:rPr>
        <w:t>ms for supporting pilot and early-stage clinical trials, with drug discovery and development, seek to break those barriers. Among the innovative projects are:</w:t>
      </w:r>
    </w:p>
    <w:p w14:paraId="265AB370" w14:textId="77777777" w:rsidR="00000000" w:rsidRPr="0060384B" w:rsidRDefault="00CA5F6F">
      <w:pPr>
        <w:spacing w:line="247" w:lineRule="exact"/>
        <w:rPr>
          <w:rFonts w:ascii="Lato" w:eastAsia="Times New Roman" w:hAnsi="Lato"/>
          <w:color w:val="000000" w:themeColor="text1"/>
          <w:sz w:val="24"/>
          <w:szCs w:val="24"/>
        </w:rPr>
      </w:pPr>
    </w:p>
    <w:p w14:paraId="00A294B3" w14:textId="77777777" w:rsidR="00000000" w:rsidRPr="0060384B" w:rsidRDefault="00CA5F6F">
      <w:pPr>
        <w:spacing w:line="242" w:lineRule="auto"/>
        <w:rPr>
          <w:rFonts w:ascii="Lato" w:hAnsi="Lato"/>
          <w:color w:val="000000" w:themeColor="text1"/>
          <w:sz w:val="24"/>
          <w:szCs w:val="24"/>
        </w:rPr>
      </w:pPr>
      <w:r w:rsidRPr="0060384B">
        <w:rPr>
          <w:rFonts w:ascii="Lato" w:hAnsi="Lato"/>
          <w:b/>
          <w:color w:val="000000" w:themeColor="text1"/>
          <w:sz w:val="24"/>
          <w:szCs w:val="24"/>
        </w:rPr>
        <w:t xml:space="preserve">Novel anti-inflammatory Phase I trials. </w:t>
      </w:r>
      <w:r w:rsidRPr="0060384B">
        <w:rPr>
          <w:rFonts w:ascii="Lato" w:hAnsi="Lato"/>
          <w:color w:val="000000" w:themeColor="text1"/>
          <w:sz w:val="24"/>
          <w:szCs w:val="24"/>
        </w:rPr>
        <w:t>NIH</w:t>
      </w:r>
      <w:r w:rsidRPr="0060384B">
        <w:rPr>
          <w:rFonts w:ascii="Lato" w:hAnsi="Lato"/>
          <w:color w:val="000000" w:themeColor="text1"/>
          <w:sz w:val="24"/>
          <w:szCs w:val="24"/>
        </w:rPr>
        <w:t>’s translational research portfolio for Alzheimer</w:t>
      </w:r>
      <w:r w:rsidRPr="0060384B">
        <w:rPr>
          <w:rFonts w:ascii="Lato" w:hAnsi="Lato"/>
          <w:color w:val="000000" w:themeColor="text1"/>
          <w:sz w:val="24"/>
          <w:szCs w:val="24"/>
        </w:rPr>
        <w:t>’s</w:t>
      </w:r>
      <w:r w:rsidRPr="0060384B">
        <w:rPr>
          <w:rFonts w:ascii="Lato" w:hAnsi="Lato"/>
          <w:b/>
          <w:color w:val="000000" w:themeColor="text1"/>
          <w:sz w:val="24"/>
          <w:szCs w:val="24"/>
        </w:rPr>
        <w:t xml:space="preserve"> </w:t>
      </w:r>
      <w:r w:rsidRPr="0060384B">
        <w:rPr>
          <w:rFonts w:ascii="Lato" w:hAnsi="Lato"/>
          <w:color w:val="000000" w:themeColor="text1"/>
          <w:sz w:val="24"/>
          <w:szCs w:val="24"/>
        </w:rPr>
        <w:t>d</w:t>
      </w:r>
      <w:r w:rsidRPr="0060384B">
        <w:rPr>
          <w:rFonts w:ascii="Lato" w:hAnsi="Lato"/>
          <w:color w:val="000000" w:themeColor="text1"/>
          <w:sz w:val="24"/>
          <w:szCs w:val="24"/>
        </w:rPr>
        <w:t>isease has several promising anti-inflammatory therapeutics. Two research teams</w:t>
      </w:r>
      <w:r w:rsidRPr="0060384B">
        <w:rPr>
          <w:rFonts w:ascii="Lato" w:hAnsi="Lato"/>
          <w:color w:val="000000" w:themeColor="text1"/>
          <w:sz w:val="24"/>
          <w:szCs w:val="24"/>
        </w:rPr>
        <w:t xml:space="preserve">—based at the </w:t>
      </w:r>
      <w:hyperlink r:id="rId193" w:history="1">
        <w:r w:rsidRPr="0060384B">
          <w:rPr>
            <w:rFonts w:ascii="Lato" w:hAnsi="Lato"/>
            <w:color w:val="000000" w:themeColor="text1"/>
            <w:sz w:val="24"/>
            <w:szCs w:val="24"/>
          </w:rPr>
          <w:t>University of Kentucky</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xml:space="preserve">and </w:t>
      </w:r>
      <w:hyperlink r:id="rId194" w:history="1">
        <w:r w:rsidRPr="0060384B">
          <w:rPr>
            <w:rFonts w:ascii="Lato" w:hAnsi="Lato"/>
            <w:color w:val="000000" w:themeColor="text1"/>
            <w:sz w:val="24"/>
            <w:szCs w:val="24"/>
          </w:rPr>
          <w:t>Immunochem Therapeutics</w:t>
        </w:r>
      </w:hyperlink>
      <w:r w:rsidRPr="0060384B">
        <w:rPr>
          <w:rFonts w:ascii="Lato" w:hAnsi="Lato"/>
          <w:color w:val="000000" w:themeColor="text1"/>
          <w:sz w:val="24"/>
          <w:szCs w:val="24"/>
        </w:rPr>
        <w:t xml:space="preserve">—are conducting first -in-human Phase I clinical trials to test the safety and establish optimal dosing of MW151, a novel small molecule that targets dysregulated </w:t>
      </w:r>
      <w:r w:rsidRPr="0060384B">
        <w:rPr>
          <w:rFonts w:ascii="Lato" w:hAnsi="Lato"/>
          <w:color w:val="000000" w:themeColor="text1"/>
          <w:sz w:val="24"/>
          <w:szCs w:val="24"/>
        </w:rPr>
        <w:t>inflammation in the brain. This brain penetrant compound is aimed at suppressing proinflammatory cytokine overproduction, known to be a key contributor to synaptic dysfunction, neurodegeneration, and cognitive decline in Alzheimer</w:t>
      </w:r>
      <w:r w:rsidRPr="0060384B">
        <w:rPr>
          <w:rFonts w:ascii="Lato" w:hAnsi="Lato"/>
          <w:color w:val="000000" w:themeColor="text1"/>
          <w:sz w:val="24"/>
          <w:szCs w:val="24"/>
        </w:rPr>
        <w:t>’s and other neurodegenera</w:t>
      </w:r>
      <w:r w:rsidRPr="0060384B">
        <w:rPr>
          <w:rFonts w:ascii="Lato" w:hAnsi="Lato"/>
          <w:color w:val="000000" w:themeColor="text1"/>
          <w:sz w:val="24"/>
          <w:szCs w:val="24"/>
        </w:rPr>
        <w:t>tive diseases. These studies follow on successful animal model research supported through NIA</w:t>
      </w:r>
      <w:r w:rsidRPr="0060384B">
        <w:rPr>
          <w:rFonts w:ascii="Lato" w:hAnsi="Lato"/>
          <w:color w:val="000000" w:themeColor="text1"/>
          <w:sz w:val="24"/>
          <w:szCs w:val="24"/>
        </w:rPr>
        <w:t xml:space="preserve">’s ADDP. The human trials are supported by the </w:t>
      </w:r>
      <w:hyperlink r:id="rId195" w:history="1">
        <w:r w:rsidRPr="0060384B">
          <w:rPr>
            <w:rFonts w:ascii="Lato" w:hAnsi="Lato"/>
            <w:color w:val="000000" w:themeColor="text1"/>
            <w:sz w:val="24"/>
            <w:szCs w:val="24"/>
          </w:rPr>
          <w:t>NIH Small Business</w:t>
        </w:r>
      </w:hyperlink>
      <w:r w:rsidRPr="0060384B">
        <w:rPr>
          <w:rFonts w:ascii="Lato" w:hAnsi="Lato"/>
          <w:color w:val="000000" w:themeColor="text1"/>
          <w:sz w:val="24"/>
          <w:szCs w:val="24"/>
        </w:rPr>
        <w:t xml:space="preserve"> </w:t>
      </w:r>
      <w:hyperlink r:id="rId196" w:history="1">
        <w:r w:rsidRPr="0060384B">
          <w:rPr>
            <w:rFonts w:ascii="Lato" w:hAnsi="Lato"/>
            <w:color w:val="000000" w:themeColor="text1"/>
            <w:sz w:val="24"/>
            <w:szCs w:val="24"/>
          </w:rPr>
          <w:t>funding initiative</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an</w:t>
      </w:r>
      <w:r w:rsidRPr="0060384B">
        <w:rPr>
          <w:rFonts w:ascii="Lato" w:hAnsi="Lato"/>
          <w:color w:val="000000" w:themeColor="text1"/>
          <w:sz w:val="24"/>
          <w:szCs w:val="24"/>
        </w:rPr>
        <w:t>d</w:t>
      </w:r>
      <w:r w:rsidRPr="0060384B">
        <w:rPr>
          <w:rFonts w:ascii="Lato" w:hAnsi="Lato"/>
          <w:color w:val="000000" w:themeColor="text1"/>
          <w:sz w:val="24"/>
          <w:szCs w:val="24"/>
        </w:rPr>
        <w:t xml:space="preserve"> </w:t>
      </w:r>
      <w:hyperlink r:id="rId197" w:history="1">
        <w:r w:rsidRPr="0060384B">
          <w:rPr>
            <w:rFonts w:ascii="Lato" w:hAnsi="Lato"/>
            <w:color w:val="000000" w:themeColor="text1"/>
            <w:sz w:val="24"/>
            <w:szCs w:val="24"/>
          </w:rPr>
          <w:t>NIH</w:t>
        </w:r>
        <w:r w:rsidRPr="0060384B">
          <w:rPr>
            <w:rFonts w:ascii="Lato" w:hAnsi="Lato"/>
            <w:color w:val="000000" w:themeColor="text1"/>
            <w:sz w:val="24"/>
            <w:szCs w:val="24"/>
          </w:rPr>
          <w:t>’s early-stage clinical trials program for Alzheimer</w:t>
        </w:r>
        <w:r w:rsidRPr="0060384B">
          <w:rPr>
            <w:rFonts w:ascii="Lato" w:hAnsi="Lato"/>
            <w:color w:val="000000" w:themeColor="text1"/>
            <w:sz w:val="24"/>
            <w:szCs w:val="24"/>
          </w:rPr>
          <w:t>’s disease and</w:t>
        </w:r>
      </w:hyperlink>
      <w:r w:rsidRPr="0060384B">
        <w:rPr>
          <w:rFonts w:ascii="Lato" w:hAnsi="Lato"/>
          <w:color w:val="000000" w:themeColor="text1"/>
          <w:sz w:val="24"/>
          <w:szCs w:val="24"/>
        </w:rPr>
        <w:t xml:space="preserve"> </w:t>
      </w:r>
      <w:hyperlink r:id="rId198" w:history="1">
        <w:r w:rsidRPr="0060384B">
          <w:rPr>
            <w:rFonts w:ascii="Lato" w:hAnsi="Lato"/>
            <w:color w:val="000000" w:themeColor="text1"/>
            <w:sz w:val="24"/>
            <w:szCs w:val="24"/>
          </w:rPr>
          <w:t>related dementias</w:t>
        </w:r>
        <w:r w:rsidRPr="0060384B">
          <w:rPr>
            <w:rFonts w:ascii="Lato" w:hAnsi="Lato"/>
            <w:color w:val="000000" w:themeColor="text1"/>
            <w:sz w:val="24"/>
            <w:szCs w:val="24"/>
          </w:rPr>
          <w:t>.</w:t>
        </w:r>
      </w:hyperlink>
    </w:p>
    <w:p w14:paraId="782F55AA" w14:textId="77777777" w:rsidR="00000000" w:rsidRPr="0060384B" w:rsidRDefault="00CA5F6F">
      <w:pPr>
        <w:spacing w:line="252" w:lineRule="exact"/>
        <w:rPr>
          <w:rFonts w:ascii="Lato" w:hAnsi="Lato"/>
          <w:color w:val="000000" w:themeColor="text1"/>
          <w:sz w:val="24"/>
          <w:szCs w:val="24"/>
        </w:rPr>
      </w:pPr>
    </w:p>
    <w:p w14:paraId="4AF65544" w14:textId="77777777" w:rsidR="00000000" w:rsidRPr="0060384B" w:rsidRDefault="00CA5F6F">
      <w:pPr>
        <w:spacing w:line="243" w:lineRule="auto"/>
        <w:ind w:right="20"/>
        <w:rPr>
          <w:rFonts w:ascii="Lato" w:hAnsi="Lato"/>
          <w:color w:val="000000" w:themeColor="text1"/>
          <w:sz w:val="24"/>
          <w:szCs w:val="24"/>
        </w:rPr>
      </w:pPr>
      <w:r w:rsidRPr="0060384B">
        <w:rPr>
          <w:rFonts w:ascii="Lato" w:hAnsi="Lato"/>
          <w:b/>
          <w:color w:val="000000" w:themeColor="text1"/>
          <w:sz w:val="24"/>
          <w:szCs w:val="24"/>
        </w:rPr>
        <w:t>Generating</w:t>
      </w:r>
      <w:r w:rsidRPr="0060384B">
        <w:rPr>
          <w:rFonts w:ascii="Lato" w:hAnsi="Lato"/>
          <w:b/>
          <w:color w:val="000000" w:themeColor="text1"/>
          <w:sz w:val="24"/>
          <w:szCs w:val="24"/>
        </w:rPr>
        <w:t xml:space="preserve"> new neurons to stave off cognitive impairment. </w:t>
      </w:r>
      <w:r w:rsidRPr="0060384B">
        <w:rPr>
          <w:rFonts w:ascii="Lato" w:hAnsi="Lato"/>
          <w:color w:val="000000" w:themeColor="text1"/>
          <w:sz w:val="24"/>
          <w:szCs w:val="24"/>
        </w:rPr>
        <w:t>Neurogenesis is at the heart of the</w:t>
      </w:r>
      <w:r w:rsidRPr="0060384B">
        <w:rPr>
          <w:rFonts w:ascii="Lato" w:hAnsi="Lato"/>
          <w:b/>
          <w:color w:val="000000" w:themeColor="text1"/>
          <w:sz w:val="24"/>
          <w:szCs w:val="24"/>
        </w:rPr>
        <w:t xml:space="preserve"> </w:t>
      </w:r>
      <w:r w:rsidRPr="0060384B">
        <w:rPr>
          <w:rFonts w:ascii="Lato" w:hAnsi="Lato"/>
          <w:color w:val="000000" w:themeColor="text1"/>
          <w:sz w:val="24"/>
          <w:szCs w:val="24"/>
        </w:rPr>
        <w:t>brain</w:t>
      </w:r>
      <w:r w:rsidRPr="0060384B">
        <w:rPr>
          <w:rFonts w:ascii="Lato" w:hAnsi="Lato"/>
          <w:color w:val="000000" w:themeColor="text1"/>
          <w:sz w:val="24"/>
          <w:szCs w:val="24"/>
        </w:rPr>
        <w:t>’s ability to recover from various types of injuries, a natural restorative capacity that is diminished in aging and in Alzheimer</w:t>
      </w:r>
      <w:r w:rsidRPr="0060384B">
        <w:rPr>
          <w:rFonts w:ascii="Lato" w:hAnsi="Lato"/>
          <w:color w:val="000000" w:themeColor="text1"/>
          <w:sz w:val="24"/>
          <w:szCs w:val="24"/>
        </w:rPr>
        <w:t>’s disease. In a small business effort</w:t>
      </w:r>
      <w:r w:rsidRPr="0060384B">
        <w:rPr>
          <w:rFonts w:ascii="Lato" w:hAnsi="Lato"/>
          <w:color w:val="000000" w:themeColor="text1"/>
          <w:sz w:val="24"/>
          <w:szCs w:val="24"/>
        </w:rPr>
        <w:t xml:space="preserve">, </w:t>
      </w:r>
      <w:hyperlink r:id="rId199" w:history="1">
        <w:r w:rsidRPr="0060384B">
          <w:rPr>
            <w:rFonts w:ascii="Lato" w:hAnsi="Lato"/>
            <w:color w:val="000000" w:themeColor="text1"/>
            <w:sz w:val="24"/>
            <w:szCs w:val="24"/>
          </w:rPr>
          <w:t>researchers</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have developed a neurogenic compound, NNI-362, as a small molecule therapeutic cand</w:t>
      </w:r>
      <w:r w:rsidRPr="0060384B">
        <w:rPr>
          <w:rFonts w:ascii="Lato" w:hAnsi="Lato"/>
          <w:color w:val="000000" w:themeColor="text1"/>
          <w:sz w:val="24"/>
          <w:szCs w:val="24"/>
        </w:rPr>
        <w:t>idate. The compound has been shown to stimulate neurogenesis in animal models and recently received a green light from the U.S. Food and Drug Administration to enter human trials. With continued support from NIA, the compound will be tested in healthy olde</w:t>
      </w:r>
      <w:r w:rsidRPr="0060384B">
        <w:rPr>
          <w:rFonts w:ascii="Lato" w:hAnsi="Lato"/>
          <w:color w:val="000000" w:themeColor="text1"/>
          <w:sz w:val="24"/>
          <w:szCs w:val="24"/>
        </w:rPr>
        <w:t xml:space="preserve">r volunteers for safety and to determine the optimal dose. This research is funded under a </w:t>
      </w:r>
      <w:hyperlink r:id="rId200" w:history="1">
        <w:r w:rsidRPr="0060384B">
          <w:rPr>
            <w:rFonts w:ascii="Lato" w:hAnsi="Lato"/>
            <w:color w:val="000000" w:themeColor="text1"/>
            <w:sz w:val="24"/>
            <w:szCs w:val="24"/>
          </w:rPr>
          <w:t>program to support pilot clinical</w:t>
        </w:r>
      </w:hyperlink>
      <w:r w:rsidRPr="0060384B">
        <w:rPr>
          <w:rFonts w:ascii="Lato" w:hAnsi="Lato"/>
          <w:color w:val="000000" w:themeColor="text1"/>
          <w:sz w:val="24"/>
          <w:szCs w:val="24"/>
        </w:rPr>
        <w:t xml:space="preserve"> </w:t>
      </w:r>
      <w:hyperlink r:id="rId201" w:history="1">
        <w:r w:rsidRPr="0060384B">
          <w:rPr>
            <w:rFonts w:ascii="Lato" w:hAnsi="Lato"/>
            <w:color w:val="000000" w:themeColor="text1"/>
            <w:sz w:val="24"/>
            <w:szCs w:val="24"/>
          </w:rPr>
          <w:t>trials for age-related cognitive decline and across the Alzheimer</w:t>
        </w:r>
        <w:r w:rsidRPr="0060384B">
          <w:rPr>
            <w:rFonts w:ascii="Lato" w:hAnsi="Lato"/>
            <w:color w:val="000000" w:themeColor="text1"/>
            <w:sz w:val="24"/>
            <w:szCs w:val="24"/>
          </w:rPr>
          <w:t>’s disease spectrum</w:t>
        </w:r>
        <w:r w:rsidRPr="0060384B">
          <w:rPr>
            <w:rFonts w:ascii="Lato" w:hAnsi="Lato"/>
            <w:color w:val="000000" w:themeColor="text1"/>
            <w:sz w:val="24"/>
            <w:szCs w:val="24"/>
          </w:rPr>
          <w:t>.</w:t>
        </w:r>
      </w:hyperlink>
    </w:p>
    <w:p w14:paraId="6731F67B" w14:textId="77777777" w:rsidR="00000000" w:rsidRPr="0060384B" w:rsidRDefault="00CA5F6F">
      <w:pPr>
        <w:spacing w:line="246" w:lineRule="exact"/>
        <w:rPr>
          <w:rFonts w:ascii="Lato" w:hAnsi="Lato"/>
          <w:color w:val="000000" w:themeColor="text1"/>
          <w:sz w:val="24"/>
          <w:szCs w:val="24"/>
        </w:rPr>
      </w:pPr>
    </w:p>
    <w:p w14:paraId="02C9B24A"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Repurposing Medications Used to Treat Other Diseases for Dementia</w:t>
      </w:r>
    </w:p>
    <w:p w14:paraId="0EC9800D" w14:textId="77777777" w:rsidR="00000000" w:rsidRPr="0060384B" w:rsidRDefault="00CA5F6F">
      <w:pPr>
        <w:spacing w:line="284" w:lineRule="exact"/>
        <w:rPr>
          <w:rFonts w:ascii="Lato" w:hAnsi="Lato"/>
          <w:color w:val="000000" w:themeColor="text1"/>
          <w:sz w:val="24"/>
          <w:szCs w:val="24"/>
        </w:rPr>
      </w:pPr>
    </w:p>
    <w:p w14:paraId="63422AEB" w14:textId="77777777" w:rsidR="00000000" w:rsidRPr="0060384B" w:rsidRDefault="00CA5F6F">
      <w:pPr>
        <w:spacing w:line="251" w:lineRule="auto"/>
        <w:ind w:right="80"/>
        <w:rPr>
          <w:rFonts w:ascii="Lato" w:hAnsi="Lato"/>
          <w:color w:val="000000" w:themeColor="text1"/>
          <w:sz w:val="24"/>
          <w:szCs w:val="24"/>
        </w:rPr>
      </w:pPr>
      <w:r w:rsidRPr="0060384B">
        <w:rPr>
          <w:rFonts w:ascii="Lato" w:hAnsi="Lato"/>
          <w:color w:val="000000" w:themeColor="text1"/>
          <w:sz w:val="24"/>
          <w:szCs w:val="24"/>
        </w:rPr>
        <w:t xml:space="preserve">What we learn about disease mechanisms is not only relevant to the development </w:t>
      </w:r>
      <w:r w:rsidRPr="0060384B">
        <w:rPr>
          <w:rFonts w:ascii="Lato" w:hAnsi="Lato"/>
          <w:color w:val="000000" w:themeColor="text1"/>
          <w:sz w:val="24"/>
          <w:szCs w:val="24"/>
        </w:rPr>
        <w:t>of novel therapies, but also to discovering whether drugs that are on the market to treat other conditions can be used to treat Alzheimer</w:t>
      </w:r>
      <w:r w:rsidRPr="0060384B">
        <w:rPr>
          <w:rFonts w:ascii="Lato" w:hAnsi="Lato"/>
          <w:color w:val="000000" w:themeColor="text1"/>
          <w:sz w:val="24"/>
          <w:szCs w:val="24"/>
        </w:rPr>
        <w:t>’s disease and related dementias. Repurposing a drug</w:t>
      </w:r>
    </w:p>
    <w:p w14:paraId="7C75730D" w14:textId="77777777" w:rsidR="00000000" w:rsidRPr="0060384B" w:rsidRDefault="00CA5F6F">
      <w:pPr>
        <w:spacing w:line="251" w:lineRule="auto"/>
        <w:ind w:right="8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40CBB953" w14:textId="77777777" w:rsidR="00000000" w:rsidRPr="0060384B" w:rsidRDefault="00CA5F6F">
      <w:pPr>
        <w:spacing w:line="200" w:lineRule="exact"/>
        <w:rPr>
          <w:rFonts w:ascii="Lato" w:hAnsi="Lato"/>
          <w:color w:val="000000" w:themeColor="text1"/>
          <w:sz w:val="24"/>
          <w:szCs w:val="24"/>
        </w:rPr>
      </w:pPr>
    </w:p>
    <w:p w14:paraId="62918BE1" w14:textId="77777777" w:rsidR="00000000" w:rsidRPr="0060384B" w:rsidRDefault="00CA5F6F">
      <w:pPr>
        <w:spacing w:line="329" w:lineRule="exact"/>
        <w:rPr>
          <w:rFonts w:ascii="Lato"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38DB0970" w14:textId="77777777">
        <w:trPr>
          <w:trHeight w:val="245"/>
        </w:trPr>
        <w:tc>
          <w:tcPr>
            <w:tcW w:w="6540" w:type="dxa"/>
            <w:shd w:val="clear" w:color="auto" w:fill="auto"/>
            <w:vAlign w:val="bottom"/>
          </w:tcPr>
          <w:p w14:paraId="04B011B5"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71A3ED7F"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55</w:t>
            </w:r>
          </w:p>
        </w:tc>
      </w:tr>
      <w:tr w:rsidR="00000000" w:rsidRPr="0060384B" w14:paraId="171DE99F" w14:textId="77777777">
        <w:trPr>
          <w:trHeight w:val="258"/>
        </w:trPr>
        <w:tc>
          <w:tcPr>
            <w:tcW w:w="6540" w:type="dxa"/>
            <w:shd w:val="clear" w:color="auto" w:fill="auto"/>
            <w:vAlign w:val="bottom"/>
          </w:tcPr>
          <w:p w14:paraId="4605E188"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NIH Bypass Budget Proposal for Fiscal Y</w:t>
            </w:r>
            <w:r w:rsidRPr="0060384B">
              <w:rPr>
                <w:rFonts w:ascii="Lato" w:hAnsi="Lato"/>
                <w:color w:val="000000" w:themeColor="text1"/>
                <w:sz w:val="24"/>
                <w:szCs w:val="24"/>
              </w:rPr>
              <w:t>ear 2021</w:t>
            </w:r>
          </w:p>
        </w:tc>
        <w:tc>
          <w:tcPr>
            <w:tcW w:w="2820" w:type="dxa"/>
            <w:shd w:val="clear" w:color="auto" w:fill="auto"/>
            <w:vAlign w:val="bottom"/>
          </w:tcPr>
          <w:p w14:paraId="6AAA020F" w14:textId="77777777" w:rsidR="00000000" w:rsidRPr="0060384B" w:rsidRDefault="00CA5F6F">
            <w:pPr>
              <w:spacing w:line="0" w:lineRule="atLeast"/>
              <w:rPr>
                <w:rFonts w:ascii="Lato" w:eastAsia="Times New Roman" w:hAnsi="Lato"/>
                <w:color w:val="000000" w:themeColor="text1"/>
                <w:sz w:val="24"/>
                <w:szCs w:val="24"/>
              </w:rPr>
            </w:pPr>
          </w:p>
        </w:tc>
      </w:tr>
    </w:tbl>
    <w:p w14:paraId="71982903"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756A5764" w14:textId="77777777" w:rsidR="00000000" w:rsidRPr="0060384B" w:rsidRDefault="00CA5F6F">
      <w:pPr>
        <w:spacing w:line="262" w:lineRule="auto"/>
        <w:ind w:right="80"/>
        <w:rPr>
          <w:rFonts w:ascii="Lato" w:hAnsi="Lato"/>
          <w:color w:val="000000" w:themeColor="text1"/>
          <w:sz w:val="24"/>
          <w:szCs w:val="24"/>
        </w:rPr>
      </w:pPr>
      <w:bookmarkStart w:id="58" w:name="page59"/>
      <w:bookmarkEnd w:id="58"/>
      <w:r w:rsidRPr="0060384B">
        <w:rPr>
          <w:rFonts w:ascii="Lato" w:hAnsi="Lato"/>
          <w:color w:val="000000" w:themeColor="text1"/>
          <w:sz w:val="24"/>
          <w:szCs w:val="24"/>
        </w:rPr>
        <w:lastRenderedPageBreak/>
        <w:t>has advantages over the development of new compounds and has been done successfully for a number of diseases and conditions.</w:t>
      </w:r>
    </w:p>
    <w:p w14:paraId="0BA7888C" w14:textId="77777777" w:rsidR="00000000" w:rsidRPr="0060384B" w:rsidRDefault="00CA5F6F">
      <w:pPr>
        <w:spacing w:line="224" w:lineRule="exact"/>
        <w:rPr>
          <w:rFonts w:ascii="Lato" w:eastAsia="Times New Roman" w:hAnsi="Lato"/>
          <w:color w:val="000000" w:themeColor="text1"/>
          <w:sz w:val="24"/>
          <w:szCs w:val="24"/>
        </w:rPr>
      </w:pPr>
    </w:p>
    <w:p w14:paraId="352E2805" w14:textId="77777777" w:rsidR="00000000" w:rsidRPr="0060384B" w:rsidRDefault="00CA5F6F">
      <w:pPr>
        <w:spacing w:line="244" w:lineRule="auto"/>
        <w:ind w:right="20"/>
        <w:rPr>
          <w:rFonts w:ascii="Lato" w:hAnsi="Lato"/>
          <w:color w:val="000000" w:themeColor="text1"/>
          <w:sz w:val="24"/>
          <w:szCs w:val="24"/>
        </w:rPr>
      </w:pPr>
      <w:r w:rsidRPr="0060384B">
        <w:rPr>
          <w:rFonts w:ascii="Lato" w:hAnsi="Lato"/>
          <w:b/>
          <w:color w:val="000000" w:themeColor="text1"/>
          <w:sz w:val="24"/>
          <w:szCs w:val="24"/>
        </w:rPr>
        <w:t xml:space="preserve">Investigating antiviral therapies. </w:t>
      </w:r>
      <w:r w:rsidRPr="0060384B">
        <w:rPr>
          <w:rFonts w:ascii="Lato" w:hAnsi="Lato"/>
          <w:color w:val="000000" w:themeColor="text1"/>
          <w:sz w:val="24"/>
          <w:szCs w:val="24"/>
        </w:rPr>
        <w:t>Multiple lines of evidence have suggested a connection</w:t>
      </w:r>
      <w:r w:rsidRPr="0060384B">
        <w:rPr>
          <w:rFonts w:ascii="Lato" w:hAnsi="Lato"/>
          <w:b/>
          <w:color w:val="000000" w:themeColor="text1"/>
          <w:sz w:val="24"/>
          <w:szCs w:val="24"/>
        </w:rPr>
        <w:t xml:space="preserve"> </w:t>
      </w:r>
      <w:r w:rsidRPr="0060384B">
        <w:rPr>
          <w:rFonts w:ascii="Lato" w:hAnsi="Lato"/>
          <w:color w:val="000000" w:themeColor="text1"/>
          <w:sz w:val="24"/>
          <w:szCs w:val="24"/>
        </w:rPr>
        <w:t>between herpes virus and Alz</w:t>
      </w:r>
      <w:r w:rsidRPr="0060384B">
        <w:rPr>
          <w:rFonts w:ascii="Lato" w:hAnsi="Lato"/>
          <w:color w:val="000000" w:themeColor="text1"/>
          <w:sz w:val="24"/>
          <w:szCs w:val="24"/>
        </w:rPr>
        <w:t>heimer</w:t>
      </w:r>
      <w:r w:rsidRPr="0060384B">
        <w:rPr>
          <w:rFonts w:ascii="Lato" w:hAnsi="Lato"/>
          <w:color w:val="000000" w:themeColor="text1"/>
          <w:sz w:val="24"/>
          <w:szCs w:val="24"/>
        </w:rPr>
        <w:t>’s disease. In the first-ever trial to directly test whether an antiviral drug may be an effective treatment for Alzheimer</w:t>
      </w:r>
      <w:r w:rsidRPr="0060384B">
        <w:rPr>
          <w:rFonts w:ascii="Lato" w:hAnsi="Lato"/>
          <w:color w:val="000000" w:themeColor="text1"/>
          <w:sz w:val="24"/>
          <w:szCs w:val="24"/>
        </w:rPr>
        <w:t>’s disease, researchers supported by NIA</w:t>
      </w:r>
      <w:r w:rsidRPr="0060384B">
        <w:rPr>
          <w:rFonts w:ascii="Lato" w:hAnsi="Lato"/>
          <w:color w:val="000000" w:themeColor="text1"/>
          <w:sz w:val="24"/>
          <w:szCs w:val="24"/>
        </w:rPr>
        <w:t>’s early-stage clinical trial program will evaluate valacylovir, used for treating herpe</w:t>
      </w:r>
      <w:r w:rsidRPr="0060384B">
        <w:rPr>
          <w:rFonts w:ascii="Lato" w:hAnsi="Lato"/>
          <w:color w:val="000000" w:themeColor="text1"/>
          <w:sz w:val="24"/>
          <w:szCs w:val="24"/>
        </w:rPr>
        <w:t xml:space="preserve">s virus infections, for its ability to slow cognitive decline and reduce amyloid accumulation in the brain. </w:t>
      </w:r>
      <w:hyperlink r:id="rId202" w:history="1">
        <w:r w:rsidRPr="0060384B">
          <w:rPr>
            <w:rFonts w:ascii="Lato" w:hAnsi="Lato"/>
            <w:color w:val="000000" w:themeColor="text1"/>
            <w:sz w:val="24"/>
            <w:szCs w:val="24"/>
          </w:rPr>
          <w:t>This Phase II trial</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will</w:t>
      </w:r>
      <w:r w:rsidRPr="0060384B">
        <w:rPr>
          <w:rFonts w:ascii="Lato" w:hAnsi="Lato"/>
          <w:color w:val="000000" w:themeColor="text1"/>
          <w:sz w:val="24"/>
          <w:szCs w:val="24"/>
        </w:rPr>
        <w:t xml:space="preserve"> </w:t>
      </w:r>
      <w:r w:rsidRPr="0060384B">
        <w:rPr>
          <w:rFonts w:ascii="Lato" w:hAnsi="Lato"/>
          <w:color w:val="000000" w:themeColor="text1"/>
          <w:sz w:val="24"/>
          <w:szCs w:val="24"/>
        </w:rPr>
        <w:t>be conducted in peop</w:t>
      </w:r>
      <w:r w:rsidRPr="0060384B">
        <w:rPr>
          <w:rFonts w:ascii="Lato" w:hAnsi="Lato"/>
          <w:color w:val="000000" w:themeColor="text1"/>
          <w:sz w:val="24"/>
          <w:szCs w:val="24"/>
        </w:rPr>
        <w:t>le with mild Alzheimer</w:t>
      </w:r>
      <w:r w:rsidRPr="0060384B">
        <w:rPr>
          <w:rFonts w:ascii="Lato" w:hAnsi="Lato"/>
          <w:color w:val="000000" w:themeColor="text1"/>
          <w:sz w:val="24"/>
          <w:szCs w:val="24"/>
        </w:rPr>
        <w:t>’s disease who test positive</w:t>
      </w:r>
      <w:r w:rsidRPr="0060384B">
        <w:rPr>
          <w:rFonts w:ascii="Lato" w:hAnsi="Lato"/>
          <w:color w:val="000000" w:themeColor="text1"/>
          <w:sz w:val="24"/>
          <w:szCs w:val="24"/>
        </w:rPr>
        <w:t xml:space="preserve"> </w:t>
      </w:r>
      <w:r w:rsidRPr="0060384B">
        <w:rPr>
          <w:rFonts w:ascii="Lato" w:hAnsi="Lato"/>
          <w:color w:val="000000" w:themeColor="text1"/>
          <w:sz w:val="24"/>
          <w:szCs w:val="24"/>
        </w:rPr>
        <w:t>for herpes simplex virus 1 or 2.</w:t>
      </w:r>
    </w:p>
    <w:p w14:paraId="46C21465" w14:textId="77777777" w:rsidR="00000000" w:rsidRPr="0060384B" w:rsidRDefault="00CA5F6F">
      <w:pPr>
        <w:spacing w:line="245" w:lineRule="exact"/>
        <w:rPr>
          <w:rFonts w:ascii="Lato" w:eastAsia="Times New Roman" w:hAnsi="Lato"/>
          <w:color w:val="000000" w:themeColor="text1"/>
          <w:sz w:val="24"/>
          <w:szCs w:val="24"/>
        </w:rPr>
      </w:pPr>
    </w:p>
    <w:p w14:paraId="1E953299" w14:textId="77777777" w:rsidR="00000000" w:rsidRPr="0060384B" w:rsidRDefault="00CA5F6F">
      <w:pPr>
        <w:spacing w:line="242" w:lineRule="auto"/>
        <w:ind w:right="100"/>
        <w:rPr>
          <w:rFonts w:ascii="Lato" w:hAnsi="Lato"/>
          <w:color w:val="000000" w:themeColor="text1"/>
          <w:sz w:val="24"/>
          <w:szCs w:val="24"/>
        </w:rPr>
      </w:pPr>
      <w:r w:rsidRPr="0060384B">
        <w:rPr>
          <w:rFonts w:ascii="Lato" w:hAnsi="Lato"/>
          <w:b/>
          <w:color w:val="000000" w:themeColor="text1"/>
          <w:sz w:val="24"/>
          <w:szCs w:val="24"/>
        </w:rPr>
        <w:t xml:space="preserve">Anti-seizure drug moves into Phase III testing. </w:t>
      </w:r>
      <w:r w:rsidRPr="0060384B">
        <w:rPr>
          <w:rFonts w:ascii="Lato" w:hAnsi="Lato"/>
          <w:color w:val="000000" w:themeColor="text1"/>
          <w:sz w:val="24"/>
          <w:szCs w:val="24"/>
        </w:rPr>
        <w:t>Several studies have established a link between</w:t>
      </w:r>
      <w:r w:rsidRPr="0060384B">
        <w:rPr>
          <w:rFonts w:ascii="Lato" w:hAnsi="Lato"/>
          <w:b/>
          <w:color w:val="000000" w:themeColor="text1"/>
          <w:sz w:val="24"/>
          <w:szCs w:val="24"/>
        </w:rPr>
        <w:t xml:space="preserve"> </w:t>
      </w:r>
      <w:r w:rsidRPr="0060384B">
        <w:rPr>
          <w:rFonts w:ascii="Lato" w:hAnsi="Lato"/>
          <w:color w:val="000000" w:themeColor="text1"/>
          <w:sz w:val="24"/>
          <w:szCs w:val="24"/>
        </w:rPr>
        <w:t xml:space="preserve">neural overactivity in the hippocampus and development of tau pathology in </w:t>
      </w:r>
      <w:r w:rsidRPr="0060384B">
        <w:rPr>
          <w:rFonts w:ascii="Lato" w:hAnsi="Lato"/>
          <w:color w:val="000000" w:themeColor="text1"/>
          <w:sz w:val="24"/>
          <w:szCs w:val="24"/>
        </w:rPr>
        <w:t>Alzheimer</w:t>
      </w:r>
      <w:r w:rsidRPr="0060384B">
        <w:rPr>
          <w:rFonts w:ascii="Lato" w:hAnsi="Lato"/>
          <w:color w:val="000000" w:themeColor="text1"/>
          <w:sz w:val="24"/>
          <w:szCs w:val="24"/>
        </w:rPr>
        <w:t>’s disease. In 2018, NIA</w:t>
      </w:r>
      <w:r w:rsidRPr="0060384B">
        <w:rPr>
          <w:rFonts w:ascii="Lato" w:hAnsi="Lato"/>
          <w:color w:val="000000" w:themeColor="text1"/>
          <w:sz w:val="24"/>
          <w:szCs w:val="24"/>
        </w:rPr>
        <w:t>’s late-stage clinical trials program supported launch of a pivotal Phase III trial to test the effectiveness of AGB101, a low-dose, once-a-day form of the generic drug levetiracetam to halt the progression of mild cognitiv</w:t>
      </w:r>
      <w:r w:rsidRPr="0060384B">
        <w:rPr>
          <w:rFonts w:ascii="Lato" w:hAnsi="Lato"/>
          <w:color w:val="000000" w:themeColor="text1"/>
          <w:sz w:val="24"/>
          <w:szCs w:val="24"/>
        </w:rPr>
        <w:t>e impairment due to Alzheimer</w:t>
      </w:r>
      <w:r w:rsidRPr="0060384B">
        <w:rPr>
          <w:rFonts w:ascii="Lato" w:hAnsi="Lato"/>
          <w:color w:val="000000" w:themeColor="text1"/>
          <w:sz w:val="24"/>
          <w:szCs w:val="24"/>
        </w:rPr>
        <w:t>’s disease. Higher doses of levetiracetam are being used to treat epilepsy</w:t>
      </w:r>
      <w:r w:rsidRPr="0060384B">
        <w:rPr>
          <w:rFonts w:ascii="Lato" w:hAnsi="Lato"/>
          <w:color w:val="000000" w:themeColor="text1"/>
          <w:sz w:val="24"/>
          <w:szCs w:val="24"/>
        </w:rPr>
        <w:t>.</w:t>
      </w:r>
      <w:r w:rsidRPr="0060384B">
        <w:rPr>
          <w:rFonts w:ascii="Lato" w:hAnsi="Lato"/>
          <w:color w:val="000000" w:themeColor="text1"/>
          <w:sz w:val="24"/>
          <w:szCs w:val="24"/>
        </w:rPr>
        <w:t xml:space="preserve"> </w:t>
      </w:r>
      <w:hyperlink r:id="rId203" w:history="1">
        <w:r w:rsidRPr="0060384B">
          <w:rPr>
            <w:rFonts w:ascii="Lato" w:hAnsi="Lato"/>
            <w:color w:val="000000" w:themeColor="text1"/>
            <w:sz w:val="24"/>
            <w:szCs w:val="24"/>
          </w:rPr>
          <w:t>The Phase III trial</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xml:space="preserve">will include 830 participants randomly assigned to the therapy or a placebo for 78 weeks. During the trial and at its conclusion, their dementia status will be assessed. Through a public-private partnership, NIA is supporting a </w:t>
      </w:r>
      <w:r w:rsidRPr="0060384B">
        <w:rPr>
          <w:rFonts w:ascii="Lato" w:hAnsi="Lato"/>
          <w:color w:val="000000" w:themeColor="text1"/>
          <w:sz w:val="24"/>
          <w:szCs w:val="24"/>
        </w:rPr>
        <w:t>substudy of 160 participants, who will undergo tau positron emission tomography imaging to assess the effect of AGB101 on the spread of tau pathology.</w:t>
      </w:r>
    </w:p>
    <w:p w14:paraId="5CC2CB22" w14:textId="77777777" w:rsidR="00000000" w:rsidRPr="0060384B" w:rsidRDefault="00CA5F6F">
      <w:pPr>
        <w:spacing w:line="255" w:lineRule="exact"/>
        <w:rPr>
          <w:rFonts w:ascii="Lato" w:eastAsia="Times New Roman" w:hAnsi="Lato"/>
          <w:color w:val="000000" w:themeColor="text1"/>
          <w:sz w:val="24"/>
          <w:szCs w:val="24"/>
        </w:rPr>
      </w:pPr>
    </w:p>
    <w:p w14:paraId="37F7AFFE" w14:textId="77777777" w:rsidR="00000000" w:rsidRPr="0060384B" w:rsidRDefault="00CA5F6F">
      <w:pPr>
        <w:spacing w:line="243" w:lineRule="auto"/>
        <w:ind w:right="20"/>
        <w:rPr>
          <w:rFonts w:ascii="Lato" w:hAnsi="Lato"/>
          <w:color w:val="000000" w:themeColor="text1"/>
          <w:sz w:val="24"/>
          <w:szCs w:val="24"/>
        </w:rPr>
      </w:pPr>
      <w:r w:rsidRPr="0060384B">
        <w:rPr>
          <w:rFonts w:ascii="Lato" w:hAnsi="Lato"/>
          <w:b/>
          <w:color w:val="000000" w:themeColor="text1"/>
          <w:sz w:val="24"/>
          <w:szCs w:val="24"/>
        </w:rPr>
        <w:t xml:space="preserve">Making better bets for drug repurposing. </w:t>
      </w:r>
      <w:r w:rsidRPr="0060384B">
        <w:rPr>
          <w:rFonts w:ascii="Lato" w:hAnsi="Lato"/>
          <w:color w:val="000000" w:themeColor="text1"/>
          <w:sz w:val="24"/>
          <w:szCs w:val="24"/>
        </w:rPr>
        <w:t>Drug repurposing for Alzheimer</w:t>
      </w:r>
      <w:r w:rsidRPr="0060384B">
        <w:rPr>
          <w:rFonts w:ascii="Lato" w:hAnsi="Lato"/>
          <w:color w:val="000000" w:themeColor="text1"/>
          <w:sz w:val="24"/>
          <w:szCs w:val="24"/>
        </w:rPr>
        <w:t>’s and related</w:t>
      </w:r>
      <w:r w:rsidRPr="0060384B">
        <w:rPr>
          <w:rFonts w:ascii="Lato" w:hAnsi="Lato"/>
          <w:b/>
          <w:color w:val="000000" w:themeColor="text1"/>
          <w:sz w:val="24"/>
          <w:szCs w:val="24"/>
        </w:rPr>
        <w:t xml:space="preserve"> </w:t>
      </w:r>
      <w:r w:rsidRPr="0060384B">
        <w:rPr>
          <w:rFonts w:ascii="Lato" w:hAnsi="Lato"/>
          <w:color w:val="000000" w:themeColor="text1"/>
          <w:sz w:val="24"/>
          <w:szCs w:val="24"/>
        </w:rPr>
        <w:t>dementias has prov</w:t>
      </w:r>
      <w:r w:rsidRPr="0060384B">
        <w:rPr>
          <w:rFonts w:ascii="Lato" w:hAnsi="Lato"/>
          <w:color w:val="000000" w:themeColor="text1"/>
          <w:sz w:val="24"/>
          <w:szCs w:val="24"/>
        </w:rPr>
        <w:t>ed to be quite challenging. To accelerate identification of drugs that can be repurposed for the treatment and prevention of Alzheimer</w:t>
      </w:r>
      <w:r w:rsidRPr="0060384B">
        <w:rPr>
          <w:rFonts w:ascii="Lato" w:hAnsi="Lato"/>
          <w:color w:val="000000" w:themeColor="text1"/>
          <w:sz w:val="24"/>
          <w:szCs w:val="24"/>
        </w:rPr>
        <w:t>’s disease and related dementias and to increase the odds of their success, NIH is trying a new approach. As we learn abou</w:t>
      </w:r>
      <w:r w:rsidRPr="0060384B">
        <w:rPr>
          <w:rFonts w:ascii="Lato" w:hAnsi="Lato"/>
          <w:color w:val="000000" w:themeColor="text1"/>
          <w:sz w:val="24"/>
          <w:szCs w:val="24"/>
        </w:rPr>
        <w:t>t the enormous complexity of pathology and comorbid conditions associated with these dementias, drug repurposing and the development of combination therapies must be preceded by data-driven, systems-based approaches to align possible disease mechanisms wit</w:t>
      </w:r>
      <w:r w:rsidRPr="0060384B">
        <w:rPr>
          <w:rFonts w:ascii="Lato" w:hAnsi="Lato"/>
          <w:color w:val="000000" w:themeColor="text1"/>
          <w:sz w:val="24"/>
          <w:szCs w:val="24"/>
        </w:rPr>
        <w:t>h potential drugs targeting those mechanisms.</w:t>
      </w:r>
    </w:p>
    <w:p w14:paraId="3427788B" w14:textId="77777777" w:rsidR="00000000" w:rsidRPr="0060384B" w:rsidRDefault="00CA5F6F">
      <w:pPr>
        <w:spacing w:line="256" w:lineRule="exact"/>
        <w:rPr>
          <w:rFonts w:ascii="Lato" w:eastAsia="Times New Roman" w:hAnsi="Lato"/>
          <w:color w:val="000000" w:themeColor="text1"/>
          <w:sz w:val="24"/>
          <w:szCs w:val="24"/>
        </w:rPr>
      </w:pPr>
    </w:p>
    <w:p w14:paraId="69483B18" w14:textId="77777777" w:rsidR="00000000" w:rsidRPr="0060384B" w:rsidRDefault="00CA5F6F">
      <w:pPr>
        <w:spacing w:line="241" w:lineRule="auto"/>
        <w:ind w:right="80"/>
        <w:rPr>
          <w:rFonts w:ascii="Lato" w:hAnsi="Lato"/>
          <w:color w:val="000000" w:themeColor="text1"/>
          <w:sz w:val="24"/>
          <w:szCs w:val="24"/>
        </w:rPr>
      </w:pPr>
      <w:r w:rsidRPr="0060384B">
        <w:rPr>
          <w:rFonts w:ascii="Lato" w:hAnsi="Lato"/>
          <w:color w:val="000000" w:themeColor="text1"/>
          <w:sz w:val="24"/>
          <w:szCs w:val="24"/>
        </w:rPr>
        <w:t xml:space="preserve">In 2017, NIA launched </w:t>
      </w:r>
      <w:hyperlink r:id="rId204" w:history="1">
        <w:r w:rsidRPr="0060384B">
          <w:rPr>
            <w:rFonts w:ascii="Lato" w:hAnsi="Lato"/>
            <w:color w:val="000000" w:themeColor="text1"/>
            <w:sz w:val="24"/>
            <w:szCs w:val="24"/>
          </w:rPr>
          <w:t>a new funding initiative</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that invited applications from the scientific community to use such translational bio</w:t>
      </w:r>
      <w:r w:rsidRPr="0060384B">
        <w:rPr>
          <w:rFonts w:ascii="Lato" w:hAnsi="Lato"/>
          <w:color w:val="000000" w:themeColor="text1"/>
          <w:sz w:val="24"/>
          <w:szCs w:val="24"/>
        </w:rPr>
        <w:t>informatics approaches to advance drug repurposing and combination therapy development for Alzheimer</w:t>
      </w:r>
      <w:r w:rsidRPr="0060384B">
        <w:rPr>
          <w:rFonts w:ascii="Lato" w:hAnsi="Lato"/>
          <w:color w:val="000000" w:themeColor="text1"/>
          <w:sz w:val="24"/>
          <w:szCs w:val="24"/>
        </w:rPr>
        <w:t>’s disease</w:t>
      </w:r>
      <w:r w:rsidRPr="0060384B">
        <w:rPr>
          <w:rFonts w:ascii="Lato" w:hAnsi="Lato"/>
          <w:color w:val="000000" w:themeColor="text1"/>
          <w:sz w:val="24"/>
          <w:szCs w:val="24"/>
        </w:rPr>
        <w:t>.</w:t>
      </w:r>
      <w:r w:rsidRPr="0060384B">
        <w:rPr>
          <w:rFonts w:ascii="Lato" w:hAnsi="Lato"/>
          <w:color w:val="000000" w:themeColor="text1"/>
          <w:sz w:val="24"/>
          <w:szCs w:val="24"/>
        </w:rPr>
        <w:t xml:space="preserve"> Since then, NIA has supported 13 projects that bring together data scientists working in the fields of cancer, diabetes, and other complex disea</w:t>
      </w:r>
      <w:r w:rsidRPr="0060384B">
        <w:rPr>
          <w:rFonts w:ascii="Lato" w:hAnsi="Lato"/>
          <w:color w:val="000000" w:themeColor="text1"/>
          <w:sz w:val="24"/>
          <w:szCs w:val="24"/>
        </w:rPr>
        <w:t>ses and Alzheimer</w:t>
      </w:r>
      <w:r w:rsidRPr="0060384B">
        <w:rPr>
          <w:rFonts w:ascii="Lato" w:hAnsi="Lato"/>
          <w:color w:val="000000" w:themeColor="text1"/>
          <w:sz w:val="24"/>
          <w:szCs w:val="24"/>
        </w:rPr>
        <w:t>’s disease researchers with expertise in biology, translational, and clinical research. These cross-disciplinary teams are using myriad computational approaches to mine and analyze publicly available data, from electronic medical health re</w:t>
      </w:r>
      <w:r w:rsidRPr="0060384B">
        <w:rPr>
          <w:rFonts w:ascii="Lato" w:hAnsi="Lato"/>
          <w:color w:val="000000" w:themeColor="text1"/>
          <w:sz w:val="24"/>
          <w:szCs w:val="24"/>
        </w:rPr>
        <w:t>cords to genomic data and data on all approved drugs. Based on this analytical dragnet, they are developing predictions about which existing drugs (for diabetes, cancer, irritable bowel syndrome, etc.) may be effective in slowing the progression of Alzheim</w:t>
      </w:r>
      <w:r w:rsidRPr="0060384B">
        <w:rPr>
          <w:rFonts w:ascii="Lato" w:hAnsi="Lato"/>
          <w:color w:val="000000" w:themeColor="text1"/>
          <w:sz w:val="24"/>
          <w:szCs w:val="24"/>
        </w:rPr>
        <w:t>er</w:t>
      </w:r>
      <w:r w:rsidRPr="0060384B">
        <w:rPr>
          <w:rFonts w:ascii="Lato" w:hAnsi="Lato"/>
          <w:color w:val="000000" w:themeColor="text1"/>
          <w:sz w:val="24"/>
          <w:szCs w:val="24"/>
        </w:rPr>
        <w:t>’s or addressing cognitive and behavioral symptoms. The research teams funded through this program also seek to identify combinations of approved drugs that can be used to treat Alzheimer</w:t>
      </w:r>
      <w:r w:rsidRPr="0060384B">
        <w:rPr>
          <w:rFonts w:ascii="Lato" w:hAnsi="Lato"/>
          <w:color w:val="000000" w:themeColor="text1"/>
          <w:sz w:val="24"/>
          <w:szCs w:val="24"/>
        </w:rPr>
        <w:t>’s more effectively and with less toxicity.</w:t>
      </w:r>
    </w:p>
    <w:p w14:paraId="130FF651" w14:textId="77777777" w:rsidR="00000000" w:rsidRPr="0060384B" w:rsidRDefault="00CA5F6F">
      <w:pPr>
        <w:spacing w:line="241" w:lineRule="auto"/>
        <w:ind w:right="8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666938CC" w14:textId="77777777" w:rsidR="00000000" w:rsidRPr="0060384B" w:rsidRDefault="00CA5F6F">
      <w:pPr>
        <w:spacing w:line="200" w:lineRule="exact"/>
        <w:rPr>
          <w:rFonts w:ascii="Lato" w:eastAsia="Times New Roman" w:hAnsi="Lato"/>
          <w:color w:val="000000" w:themeColor="text1"/>
          <w:sz w:val="24"/>
          <w:szCs w:val="24"/>
        </w:rPr>
      </w:pPr>
    </w:p>
    <w:p w14:paraId="6DB4CCDD" w14:textId="77777777" w:rsidR="00000000" w:rsidRPr="0060384B" w:rsidRDefault="00CA5F6F">
      <w:pPr>
        <w:spacing w:line="200" w:lineRule="exact"/>
        <w:rPr>
          <w:rFonts w:ascii="Lato" w:eastAsia="Times New Roman" w:hAnsi="Lato"/>
          <w:color w:val="000000" w:themeColor="text1"/>
          <w:sz w:val="24"/>
          <w:szCs w:val="24"/>
        </w:rPr>
      </w:pPr>
    </w:p>
    <w:p w14:paraId="4C24238F" w14:textId="77777777" w:rsidR="00000000" w:rsidRPr="0060384B" w:rsidRDefault="00CA5F6F">
      <w:pPr>
        <w:spacing w:line="200" w:lineRule="exact"/>
        <w:rPr>
          <w:rFonts w:ascii="Lato" w:eastAsia="Times New Roman" w:hAnsi="Lato"/>
          <w:color w:val="000000" w:themeColor="text1"/>
          <w:sz w:val="24"/>
          <w:szCs w:val="24"/>
        </w:rPr>
      </w:pPr>
    </w:p>
    <w:p w14:paraId="217506BC" w14:textId="77777777" w:rsidR="00000000" w:rsidRPr="0060384B" w:rsidRDefault="00CA5F6F">
      <w:pPr>
        <w:spacing w:line="317"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3A9B3B0A" w14:textId="77777777">
        <w:trPr>
          <w:trHeight w:val="245"/>
        </w:trPr>
        <w:tc>
          <w:tcPr>
            <w:tcW w:w="6540" w:type="dxa"/>
            <w:shd w:val="clear" w:color="auto" w:fill="auto"/>
            <w:vAlign w:val="bottom"/>
          </w:tcPr>
          <w:p w14:paraId="21900F59"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w:t>
            </w:r>
            <w:r w:rsidRPr="0060384B">
              <w:rPr>
                <w:rFonts w:ascii="Lato" w:hAnsi="Lato"/>
                <w:color w:val="000000" w:themeColor="text1"/>
                <w:sz w:val="24"/>
                <w:szCs w:val="24"/>
              </w:rPr>
              <w:t>D</w:t>
            </w:r>
          </w:p>
        </w:tc>
        <w:tc>
          <w:tcPr>
            <w:tcW w:w="2820" w:type="dxa"/>
            <w:shd w:val="clear" w:color="auto" w:fill="auto"/>
            <w:vAlign w:val="bottom"/>
          </w:tcPr>
          <w:p w14:paraId="2EA993E3"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56</w:t>
            </w:r>
          </w:p>
        </w:tc>
      </w:tr>
      <w:tr w:rsidR="00000000" w:rsidRPr="0060384B" w14:paraId="4CCD9A58" w14:textId="77777777">
        <w:trPr>
          <w:trHeight w:val="258"/>
        </w:trPr>
        <w:tc>
          <w:tcPr>
            <w:tcW w:w="6540" w:type="dxa"/>
            <w:shd w:val="clear" w:color="auto" w:fill="auto"/>
            <w:vAlign w:val="bottom"/>
          </w:tcPr>
          <w:p w14:paraId="7034C4B9"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NIH Bypass Budget Proposal for Fiscal Year 2021</w:t>
            </w:r>
          </w:p>
        </w:tc>
        <w:tc>
          <w:tcPr>
            <w:tcW w:w="2820" w:type="dxa"/>
            <w:shd w:val="clear" w:color="auto" w:fill="auto"/>
            <w:vAlign w:val="bottom"/>
          </w:tcPr>
          <w:p w14:paraId="336BE219" w14:textId="77777777" w:rsidR="00000000" w:rsidRPr="0060384B" w:rsidRDefault="00CA5F6F">
            <w:pPr>
              <w:spacing w:line="0" w:lineRule="atLeast"/>
              <w:rPr>
                <w:rFonts w:ascii="Lato" w:eastAsia="Times New Roman" w:hAnsi="Lato"/>
                <w:color w:val="000000" w:themeColor="text1"/>
                <w:sz w:val="24"/>
                <w:szCs w:val="24"/>
              </w:rPr>
            </w:pPr>
          </w:p>
        </w:tc>
      </w:tr>
    </w:tbl>
    <w:p w14:paraId="06A703D4"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504A9808" w14:textId="77777777" w:rsidR="00000000" w:rsidRPr="0060384B" w:rsidRDefault="00CA5F6F">
      <w:pPr>
        <w:spacing w:line="241" w:lineRule="auto"/>
        <w:ind w:right="20"/>
        <w:rPr>
          <w:rFonts w:ascii="Lato" w:hAnsi="Lato"/>
          <w:color w:val="000000" w:themeColor="text1"/>
          <w:sz w:val="24"/>
          <w:szCs w:val="24"/>
        </w:rPr>
      </w:pPr>
      <w:bookmarkStart w:id="59" w:name="page60"/>
      <w:bookmarkEnd w:id="59"/>
      <w:r w:rsidRPr="0060384B">
        <w:rPr>
          <w:rFonts w:ascii="Lato" w:hAnsi="Lato"/>
          <w:color w:val="000000" w:themeColor="text1"/>
          <w:sz w:val="24"/>
          <w:szCs w:val="24"/>
        </w:rPr>
        <w:lastRenderedPageBreak/>
        <w:t>In a separate translational bioinformatics project, a team from NIA</w:t>
      </w:r>
      <w:r w:rsidRPr="0060384B">
        <w:rPr>
          <w:rFonts w:ascii="Lato" w:hAnsi="Lato"/>
          <w:color w:val="000000" w:themeColor="text1"/>
          <w:sz w:val="24"/>
          <w:szCs w:val="24"/>
        </w:rPr>
        <w:t>’s Intramural Research Program is investigating whether several U.S. Food and Drug Administration-approved drugs prescribed for non-</w:t>
      </w:r>
      <w:r w:rsidRPr="0060384B">
        <w:rPr>
          <w:rFonts w:ascii="Lato" w:hAnsi="Lato"/>
          <w:color w:val="000000" w:themeColor="text1"/>
          <w:sz w:val="24"/>
          <w:szCs w:val="24"/>
        </w:rPr>
        <w:t>Alzheimer</w:t>
      </w:r>
      <w:r w:rsidRPr="0060384B">
        <w:rPr>
          <w:rFonts w:ascii="Lato" w:hAnsi="Lato"/>
          <w:color w:val="000000" w:themeColor="text1"/>
          <w:sz w:val="24"/>
          <w:szCs w:val="24"/>
        </w:rPr>
        <w:t>’s indications may also target the abnormal pathways involved in dementia and offer protection. They have started the DREAM</w:t>
      </w:r>
      <w:r w:rsidRPr="0060384B">
        <w:rPr>
          <w:rFonts w:ascii="Lato" w:hAnsi="Lato"/>
          <w:color w:val="000000" w:themeColor="text1"/>
          <w:sz w:val="24"/>
          <w:szCs w:val="24"/>
        </w:rPr>
        <w:t>—Drug Repurposing for Effective Alzheimer</w:t>
      </w:r>
      <w:r w:rsidRPr="0060384B">
        <w:rPr>
          <w:rFonts w:ascii="Lato" w:hAnsi="Lato"/>
          <w:color w:val="000000" w:themeColor="text1"/>
          <w:sz w:val="24"/>
          <w:szCs w:val="24"/>
        </w:rPr>
        <w:t>’s Medicines</w:t>
      </w:r>
      <w:r w:rsidRPr="0060384B">
        <w:rPr>
          <w:rFonts w:ascii="Lato" w:hAnsi="Lato"/>
          <w:color w:val="000000" w:themeColor="text1"/>
          <w:sz w:val="24"/>
          <w:szCs w:val="24"/>
        </w:rPr>
        <w:t xml:space="preserve">—Study and have nominated about 20 drugs as candidates. Next, the team </w:t>
      </w:r>
      <w:r w:rsidRPr="0060384B">
        <w:rPr>
          <w:rFonts w:ascii="Lato" w:hAnsi="Lato"/>
          <w:color w:val="000000" w:themeColor="text1"/>
          <w:sz w:val="24"/>
          <w:szCs w:val="24"/>
        </w:rPr>
        <w:t xml:space="preserve">will analyze </w:t>
      </w:r>
      <w:r w:rsidRPr="0060384B">
        <w:rPr>
          <w:rFonts w:ascii="Lato" w:hAnsi="Lato"/>
          <w:color w:val="000000" w:themeColor="text1"/>
          <w:sz w:val="24"/>
          <w:szCs w:val="24"/>
        </w:rPr>
        <w:t>“chemi-informatics</w:t>
      </w:r>
      <w:r w:rsidRPr="0060384B">
        <w:rPr>
          <w:rFonts w:ascii="Lato" w:hAnsi="Lato"/>
          <w:color w:val="000000" w:themeColor="text1"/>
          <w:sz w:val="24"/>
          <w:szCs w:val="24"/>
        </w:rPr>
        <w:t>” databases of known drugs and their targets to hone in on compounds aimed at abnormal metabolic pathways the team has identified. From these databases, the researchers can scan compounds in common use for non-Alzheimer</w:t>
      </w:r>
      <w:r w:rsidRPr="0060384B">
        <w:rPr>
          <w:rFonts w:ascii="Lato" w:hAnsi="Lato"/>
          <w:color w:val="000000" w:themeColor="text1"/>
          <w:sz w:val="24"/>
          <w:szCs w:val="24"/>
        </w:rPr>
        <w:t>’s con</w:t>
      </w:r>
      <w:r w:rsidRPr="0060384B">
        <w:rPr>
          <w:rFonts w:ascii="Lato" w:hAnsi="Lato"/>
          <w:color w:val="000000" w:themeColor="text1"/>
          <w:sz w:val="24"/>
          <w:szCs w:val="24"/>
        </w:rPr>
        <w:t>ditions and test whether prior exposure to these drugs in older people protected against dementia. The researchers also have access to large prescription datasets representing more than 30 million individuals internationally, which provide information on b</w:t>
      </w:r>
      <w:r w:rsidRPr="0060384B">
        <w:rPr>
          <w:rFonts w:ascii="Lato" w:hAnsi="Lato"/>
          <w:color w:val="000000" w:themeColor="text1"/>
          <w:sz w:val="24"/>
          <w:szCs w:val="24"/>
        </w:rPr>
        <w:t>oth exposure to these drugs and subsequent diagnoses of Alzheimer</w:t>
      </w:r>
      <w:r w:rsidRPr="0060384B">
        <w:rPr>
          <w:rFonts w:ascii="Lato" w:hAnsi="Lato"/>
          <w:color w:val="000000" w:themeColor="text1"/>
          <w:sz w:val="24"/>
          <w:szCs w:val="24"/>
        </w:rPr>
        <w:t>’s. Their analyses should reveal drugs of promise, providing a strong rationale for targeted study in randomized clinical trials.</w:t>
      </w:r>
    </w:p>
    <w:p w14:paraId="58B757B3" w14:textId="77777777" w:rsidR="00000000" w:rsidRPr="0060384B" w:rsidRDefault="00CA5F6F">
      <w:pPr>
        <w:spacing w:line="262" w:lineRule="exact"/>
        <w:rPr>
          <w:rFonts w:ascii="Lato" w:eastAsia="Times New Roman" w:hAnsi="Lato"/>
          <w:color w:val="000000" w:themeColor="text1"/>
          <w:sz w:val="24"/>
          <w:szCs w:val="24"/>
        </w:rPr>
      </w:pPr>
    </w:p>
    <w:p w14:paraId="0CAC6458" w14:textId="77777777" w:rsidR="00000000" w:rsidRPr="0060384B" w:rsidRDefault="00CA5F6F">
      <w:pPr>
        <w:spacing w:line="244" w:lineRule="auto"/>
        <w:ind w:right="40"/>
        <w:rPr>
          <w:rFonts w:ascii="Lato" w:hAnsi="Lato"/>
          <w:color w:val="000000" w:themeColor="text1"/>
          <w:sz w:val="24"/>
          <w:szCs w:val="24"/>
        </w:rPr>
      </w:pPr>
      <w:r w:rsidRPr="0060384B">
        <w:rPr>
          <w:rFonts w:ascii="Lato" w:hAnsi="Lato"/>
          <w:b/>
          <w:color w:val="000000" w:themeColor="text1"/>
          <w:sz w:val="24"/>
          <w:szCs w:val="24"/>
        </w:rPr>
        <w:t xml:space="preserve">Learning from failure. </w:t>
      </w:r>
      <w:r w:rsidRPr="0060384B">
        <w:rPr>
          <w:rFonts w:ascii="Lato" w:hAnsi="Lato"/>
          <w:color w:val="000000" w:themeColor="text1"/>
          <w:sz w:val="24"/>
          <w:szCs w:val="24"/>
        </w:rPr>
        <w:t>Computational analyses of the data fr</w:t>
      </w:r>
      <w:r w:rsidRPr="0060384B">
        <w:rPr>
          <w:rFonts w:ascii="Lato" w:hAnsi="Lato"/>
          <w:color w:val="000000" w:themeColor="text1"/>
          <w:sz w:val="24"/>
          <w:szCs w:val="24"/>
        </w:rPr>
        <w:t>om failed clinical trials in</w:t>
      </w:r>
      <w:r w:rsidRPr="0060384B">
        <w:rPr>
          <w:rFonts w:ascii="Lato" w:hAnsi="Lato"/>
          <w:b/>
          <w:color w:val="000000" w:themeColor="text1"/>
          <w:sz w:val="24"/>
          <w:szCs w:val="24"/>
        </w:rPr>
        <w:t xml:space="preserve"> </w:t>
      </w:r>
      <w:r w:rsidRPr="0060384B">
        <w:rPr>
          <w:rFonts w:ascii="Lato" w:hAnsi="Lato"/>
          <w:color w:val="000000" w:themeColor="text1"/>
          <w:sz w:val="24"/>
          <w:szCs w:val="24"/>
        </w:rPr>
        <w:t>Alzheimer</w:t>
      </w:r>
      <w:r w:rsidRPr="0060384B">
        <w:rPr>
          <w:rFonts w:ascii="Lato" w:hAnsi="Lato"/>
          <w:color w:val="000000" w:themeColor="text1"/>
          <w:sz w:val="24"/>
          <w:szCs w:val="24"/>
        </w:rPr>
        <w:t>’s can identify whether a drug that failed to show a positive effect for trial participants as a whole may have been effective for individual trial participants with certain genetic or biomarker characteristics. For ex</w:t>
      </w:r>
      <w:r w:rsidRPr="0060384B">
        <w:rPr>
          <w:rFonts w:ascii="Lato" w:hAnsi="Lato"/>
          <w:color w:val="000000" w:themeColor="text1"/>
          <w:sz w:val="24"/>
          <w:szCs w:val="24"/>
        </w:rPr>
        <w:t>ample, one study looking at data from a previous, negative trial of a statin drug for its effect on Alzheimer</w:t>
      </w:r>
      <w:r w:rsidRPr="0060384B">
        <w:rPr>
          <w:rFonts w:ascii="Lato" w:hAnsi="Lato"/>
          <w:color w:val="000000" w:themeColor="text1"/>
          <w:sz w:val="24"/>
          <w:szCs w:val="24"/>
        </w:rPr>
        <w:t>’s found in an analysis of subgroups that the use of statins still may warrant further study, particularly for long-term statin users and people wi</w:t>
      </w:r>
      <w:r w:rsidRPr="0060384B">
        <w:rPr>
          <w:rFonts w:ascii="Lato" w:hAnsi="Lato"/>
          <w:color w:val="000000" w:themeColor="text1"/>
          <w:sz w:val="24"/>
          <w:szCs w:val="24"/>
        </w:rPr>
        <w:t xml:space="preserve">th the ApoE4 risk allele </w:t>
      </w:r>
      <w:hyperlink r:id="rId205" w:history="1">
        <w:r w:rsidRPr="0060384B">
          <w:rPr>
            <w:rFonts w:ascii="Lato" w:hAnsi="Lato"/>
            <w:color w:val="000000" w:themeColor="text1"/>
            <w:sz w:val="24"/>
            <w:szCs w:val="24"/>
          </w:rPr>
          <w:t>(</w:t>
        </w:r>
        <w:r w:rsidRPr="0060384B">
          <w:rPr>
            <w:rFonts w:ascii="Lato" w:hAnsi="Lato"/>
            <w:color w:val="000000" w:themeColor="text1"/>
            <w:sz w:val="24"/>
            <w:szCs w:val="24"/>
          </w:rPr>
          <w:t>Geifman et al., 2017</w:t>
        </w:r>
      </w:hyperlink>
      <w:r w:rsidRPr="0060384B">
        <w:rPr>
          <w:rFonts w:ascii="Lato" w:hAnsi="Lato"/>
          <w:color w:val="000000" w:themeColor="text1"/>
          <w:sz w:val="24"/>
          <w:szCs w:val="24"/>
        </w:rPr>
        <w:t>).</w:t>
      </w:r>
    </w:p>
    <w:p w14:paraId="4C92302D" w14:textId="77777777" w:rsidR="00000000" w:rsidRPr="0060384B" w:rsidRDefault="00CA5F6F">
      <w:pPr>
        <w:spacing w:line="241" w:lineRule="exact"/>
        <w:rPr>
          <w:rFonts w:ascii="Lato" w:eastAsia="Times New Roman" w:hAnsi="Lato"/>
          <w:color w:val="000000" w:themeColor="text1"/>
          <w:sz w:val="24"/>
          <w:szCs w:val="24"/>
        </w:rPr>
      </w:pPr>
    </w:p>
    <w:p w14:paraId="1F4F0EA2"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Joining Forces in the Fight Against Dementia</w:t>
      </w:r>
    </w:p>
    <w:p w14:paraId="36F11FFD" w14:textId="77777777" w:rsidR="00000000" w:rsidRPr="0060384B" w:rsidRDefault="00CA5F6F">
      <w:pPr>
        <w:spacing w:line="287" w:lineRule="exact"/>
        <w:rPr>
          <w:rFonts w:ascii="Lato" w:eastAsia="Times New Roman" w:hAnsi="Lato"/>
          <w:color w:val="000000" w:themeColor="text1"/>
          <w:sz w:val="24"/>
          <w:szCs w:val="24"/>
        </w:rPr>
      </w:pPr>
    </w:p>
    <w:p w14:paraId="5B64FD28" w14:textId="77777777" w:rsidR="00000000" w:rsidRPr="0060384B" w:rsidRDefault="00CA5F6F">
      <w:pPr>
        <w:spacing w:line="242" w:lineRule="auto"/>
        <w:ind w:right="120"/>
        <w:rPr>
          <w:rFonts w:ascii="Lato" w:hAnsi="Lato"/>
          <w:color w:val="000000" w:themeColor="text1"/>
          <w:sz w:val="24"/>
          <w:szCs w:val="24"/>
        </w:rPr>
      </w:pPr>
      <w:r w:rsidRPr="0060384B">
        <w:rPr>
          <w:rFonts w:ascii="Lato" w:hAnsi="Lato"/>
          <w:color w:val="000000" w:themeColor="text1"/>
          <w:sz w:val="24"/>
          <w:szCs w:val="24"/>
        </w:rPr>
        <w:t>The studies highlighted above illustrate NIH</w:t>
      </w:r>
      <w:r w:rsidRPr="0060384B">
        <w:rPr>
          <w:rFonts w:ascii="Lato" w:hAnsi="Lato"/>
          <w:color w:val="000000" w:themeColor="text1"/>
          <w:sz w:val="24"/>
          <w:szCs w:val="24"/>
        </w:rPr>
        <w:t>’s key role in translating basic research discoveries t</w:t>
      </w:r>
      <w:r w:rsidRPr="0060384B">
        <w:rPr>
          <w:rFonts w:ascii="Lato" w:hAnsi="Lato"/>
          <w:color w:val="000000" w:themeColor="text1"/>
          <w:sz w:val="24"/>
          <w:szCs w:val="24"/>
        </w:rPr>
        <w:t>o the clinic. The output of these translational programs is the basis for follow-on, private-sector investment. For example, BPN14770, a novel inhibitor of the Phosphodiesterase 4D enzyme involved in learning and memory, is being developed as a treatment f</w:t>
      </w:r>
      <w:r w:rsidRPr="0060384B">
        <w:rPr>
          <w:rFonts w:ascii="Lato" w:hAnsi="Lato"/>
          <w:color w:val="000000" w:themeColor="text1"/>
          <w:sz w:val="24"/>
          <w:szCs w:val="24"/>
        </w:rPr>
        <w:t>or cognitive deficits in early-stage Alzheimer</w:t>
      </w:r>
      <w:r w:rsidRPr="0060384B">
        <w:rPr>
          <w:rFonts w:ascii="Lato" w:hAnsi="Lato"/>
          <w:color w:val="000000" w:themeColor="text1"/>
          <w:sz w:val="24"/>
          <w:szCs w:val="24"/>
        </w:rPr>
        <w:t xml:space="preserve">’s disease. This therapeutic program was initiated by a biotech team at Tetra Discovery Partners, which developed the compound through the NIH </w:t>
      </w:r>
      <w:hyperlink r:id="rId206" w:history="1">
        <w:r w:rsidRPr="0060384B">
          <w:rPr>
            <w:rFonts w:ascii="Lato" w:hAnsi="Lato"/>
            <w:color w:val="000000" w:themeColor="text1"/>
            <w:sz w:val="24"/>
            <w:szCs w:val="24"/>
          </w:rPr>
          <w:t>Blueprint</w:t>
        </w:r>
      </w:hyperlink>
      <w:r w:rsidRPr="0060384B">
        <w:rPr>
          <w:rFonts w:ascii="Lato" w:hAnsi="Lato"/>
          <w:color w:val="000000" w:themeColor="text1"/>
          <w:sz w:val="24"/>
          <w:szCs w:val="24"/>
        </w:rPr>
        <w:t xml:space="preserve"> </w:t>
      </w:r>
      <w:hyperlink r:id="rId207" w:history="1">
        <w:r w:rsidRPr="0060384B">
          <w:rPr>
            <w:rFonts w:ascii="Lato" w:hAnsi="Lato"/>
            <w:color w:val="000000" w:themeColor="text1"/>
            <w:sz w:val="24"/>
            <w:szCs w:val="24"/>
          </w:rPr>
          <w:t>Neurotherapeutics Network</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and</w:t>
      </w:r>
      <w:r w:rsidRPr="0060384B">
        <w:rPr>
          <w:rFonts w:ascii="Lato" w:hAnsi="Lato"/>
          <w:color w:val="000000" w:themeColor="text1"/>
          <w:sz w:val="24"/>
          <w:szCs w:val="24"/>
        </w:rPr>
        <w:t xml:space="preserve"> </w:t>
      </w:r>
      <w:r w:rsidRPr="0060384B">
        <w:rPr>
          <w:rFonts w:ascii="Lato" w:hAnsi="Lato"/>
          <w:color w:val="000000" w:themeColor="text1"/>
          <w:sz w:val="24"/>
          <w:szCs w:val="24"/>
        </w:rPr>
        <w:t>the NIA Small Business program through Phase I human</w:t>
      </w:r>
      <w:r w:rsidRPr="0060384B">
        <w:rPr>
          <w:rFonts w:ascii="Lato" w:hAnsi="Lato"/>
          <w:color w:val="000000" w:themeColor="text1"/>
          <w:sz w:val="24"/>
          <w:szCs w:val="24"/>
        </w:rPr>
        <w:t xml:space="preserve"> </w:t>
      </w:r>
      <w:r w:rsidRPr="0060384B">
        <w:rPr>
          <w:rFonts w:ascii="Lato" w:hAnsi="Lato"/>
          <w:color w:val="000000" w:themeColor="text1"/>
          <w:sz w:val="24"/>
          <w:szCs w:val="24"/>
        </w:rPr>
        <w:t>testin</w:t>
      </w:r>
      <w:r w:rsidRPr="0060384B">
        <w:rPr>
          <w:rFonts w:ascii="Lato" w:hAnsi="Lato"/>
          <w:color w:val="000000" w:themeColor="text1"/>
          <w:sz w:val="24"/>
          <w:szCs w:val="24"/>
        </w:rPr>
        <w:t xml:space="preserve">g. The </w:t>
      </w:r>
      <w:hyperlink r:id="rId208" w:history="1">
        <w:r w:rsidRPr="0060384B">
          <w:rPr>
            <w:rFonts w:ascii="Lato" w:hAnsi="Lato"/>
            <w:color w:val="000000" w:themeColor="text1"/>
            <w:sz w:val="24"/>
            <w:szCs w:val="24"/>
          </w:rPr>
          <w:t>Phase I research</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suggested a cognitive benefit in working memory in healthy older volunteers.</w:t>
      </w:r>
    </w:p>
    <w:p w14:paraId="4C50D5FA" w14:textId="77777777" w:rsidR="00000000" w:rsidRPr="0060384B" w:rsidRDefault="00CA5F6F">
      <w:pPr>
        <w:spacing w:line="257" w:lineRule="exact"/>
        <w:rPr>
          <w:rFonts w:ascii="Lato" w:hAnsi="Lato"/>
          <w:color w:val="000000" w:themeColor="text1"/>
          <w:sz w:val="24"/>
          <w:szCs w:val="24"/>
        </w:rPr>
      </w:pPr>
    </w:p>
    <w:p w14:paraId="542DA79E" w14:textId="77777777" w:rsidR="00000000" w:rsidRPr="0060384B" w:rsidRDefault="00CA5F6F">
      <w:pPr>
        <w:spacing w:line="250" w:lineRule="auto"/>
        <w:ind w:right="100"/>
        <w:rPr>
          <w:rFonts w:ascii="Lato" w:hAnsi="Lato"/>
          <w:color w:val="000000" w:themeColor="text1"/>
          <w:sz w:val="24"/>
          <w:szCs w:val="24"/>
        </w:rPr>
      </w:pPr>
      <w:r w:rsidRPr="0060384B">
        <w:rPr>
          <w:rFonts w:ascii="Lato" w:hAnsi="Lato"/>
          <w:color w:val="000000" w:themeColor="text1"/>
          <w:sz w:val="24"/>
          <w:szCs w:val="24"/>
        </w:rPr>
        <w:t>In December 2018, Tetra entered into a collaboration with Shio</w:t>
      </w:r>
      <w:r w:rsidRPr="0060384B">
        <w:rPr>
          <w:rFonts w:ascii="Lato" w:hAnsi="Lato"/>
          <w:color w:val="000000" w:themeColor="text1"/>
          <w:sz w:val="24"/>
          <w:szCs w:val="24"/>
        </w:rPr>
        <w:t>nogi &amp; Co., Ltd. for further clinical development and commercialization. The company in May 2019 announced the start of</w:t>
      </w:r>
    </w:p>
    <w:p w14:paraId="76844365" w14:textId="77777777" w:rsidR="00000000" w:rsidRPr="0060384B" w:rsidRDefault="00CA5F6F">
      <w:pPr>
        <w:spacing w:line="1" w:lineRule="exact"/>
        <w:rPr>
          <w:rFonts w:ascii="Lato" w:hAnsi="Lato"/>
          <w:color w:val="000000" w:themeColor="text1"/>
          <w:sz w:val="24"/>
          <w:szCs w:val="24"/>
        </w:rPr>
      </w:pPr>
    </w:p>
    <w:p w14:paraId="4B1A6237" w14:textId="77777777" w:rsidR="00000000" w:rsidRPr="0060384B" w:rsidRDefault="00CA5F6F">
      <w:pPr>
        <w:numPr>
          <w:ilvl w:val="0"/>
          <w:numId w:val="17"/>
        </w:numPr>
        <w:tabs>
          <w:tab w:val="left" w:pos="170"/>
        </w:tabs>
        <w:spacing w:line="251" w:lineRule="auto"/>
        <w:ind w:right="140"/>
        <w:rPr>
          <w:rFonts w:ascii="Lato" w:hAnsi="Lato"/>
          <w:color w:val="000000" w:themeColor="text1"/>
          <w:sz w:val="24"/>
          <w:szCs w:val="24"/>
        </w:rPr>
      </w:pPr>
      <w:r w:rsidRPr="0060384B">
        <w:rPr>
          <w:rFonts w:ascii="Lato" w:hAnsi="Lato"/>
          <w:color w:val="000000" w:themeColor="text1"/>
          <w:sz w:val="24"/>
          <w:szCs w:val="24"/>
        </w:rPr>
        <w:t xml:space="preserve">Phase II trial, </w:t>
      </w:r>
      <w:hyperlink r:id="rId209" w:history="1">
        <w:r w:rsidRPr="0060384B">
          <w:rPr>
            <w:rFonts w:ascii="Lato" w:hAnsi="Lato"/>
            <w:color w:val="000000" w:themeColor="text1"/>
            <w:sz w:val="24"/>
            <w:szCs w:val="24"/>
          </w:rPr>
          <w:t>PICASSO AD</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a 3-month randomized, double-blind, placebo</w:t>
      </w:r>
      <w:r w:rsidRPr="0060384B">
        <w:rPr>
          <w:rFonts w:ascii="Lato" w:hAnsi="Lato"/>
          <w:color w:val="000000" w:themeColor="text1"/>
          <w:sz w:val="24"/>
          <w:szCs w:val="24"/>
        </w:rPr>
        <w:t>-controlled trial that will be conducted at up to 60 sites in the United States, testing varying doses of the drug against placebo in people with a clinical diagnosis of early Alzheimer</w:t>
      </w:r>
      <w:r w:rsidRPr="0060384B">
        <w:rPr>
          <w:rFonts w:ascii="Lato" w:hAnsi="Lato"/>
          <w:color w:val="000000" w:themeColor="text1"/>
          <w:sz w:val="24"/>
          <w:szCs w:val="24"/>
        </w:rPr>
        <w:t>’s disease.</w:t>
      </w:r>
    </w:p>
    <w:p w14:paraId="4E36C0CE" w14:textId="77777777" w:rsidR="00000000" w:rsidRPr="0060384B" w:rsidRDefault="00CA5F6F">
      <w:pPr>
        <w:spacing w:line="240" w:lineRule="exact"/>
        <w:rPr>
          <w:rFonts w:ascii="Lato" w:hAnsi="Lato"/>
          <w:color w:val="000000" w:themeColor="text1"/>
          <w:sz w:val="24"/>
          <w:szCs w:val="24"/>
        </w:rPr>
      </w:pPr>
    </w:p>
    <w:p w14:paraId="258F7D19" w14:textId="77777777" w:rsidR="00000000" w:rsidRPr="0060384B" w:rsidRDefault="00CA5F6F">
      <w:pPr>
        <w:spacing w:line="251" w:lineRule="auto"/>
        <w:ind w:right="1280"/>
        <w:rPr>
          <w:rFonts w:ascii="Lato" w:hAnsi="Lato"/>
          <w:color w:val="000000" w:themeColor="text1"/>
          <w:sz w:val="24"/>
          <w:szCs w:val="24"/>
        </w:rPr>
      </w:pPr>
      <w:r w:rsidRPr="0060384B">
        <w:rPr>
          <w:rFonts w:ascii="Lato" w:hAnsi="Lato"/>
          <w:color w:val="000000" w:themeColor="text1"/>
          <w:sz w:val="24"/>
          <w:szCs w:val="24"/>
        </w:rPr>
        <w:t>Learn more about research implementation milestones and pr</w:t>
      </w:r>
      <w:r w:rsidRPr="0060384B">
        <w:rPr>
          <w:rFonts w:ascii="Lato" w:hAnsi="Lato"/>
          <w:color w:val="000000" w:themeColor="text1"/>
          <w:sz w:val="24"/>
          <w:szCs w:val="24"/>
        </w:rPr>
        <w:t xml:space="preserve">ogress in this area at </w:t>
      </w:r>
      <w:hyperlink r:id="rId210" w:history="1">
        <w:r w:rsidRPr="0060384B">
          <w:rPr>
            <w:rFonts w:ascii="Lato" w:hAnsi="Lato"/>
            <w:color w:val="000000" w:themeColor="text1"/>
            <w:sz w:val="24"/>
            <w:szCs w:val="24"/>
          </w:rPr>
          <w:t>www.nia.nih.gov/research/milestones/focus-area/translational-clinical-research-</w:t>
        </w:r>
      </w:hyperlink>
      <w:hyperlink r:id="rId211" w:history="1">
        <w:r w:rsidRPr="0060384B">
          <w:rPr>
            <w:rFonts w:ascii="Lato" w:hAnsi="Lato"/>
            <w:color w:val="000000" w:themeColor="text1"/>
            <w:sz w:val="24"/>
            <w:szCs w:val="24"/>
          </w:rPr>
          <w:t>pharmacological</w:t>
        </w:r>
        <w:r w:rsidRPr="0060384B">
          <w:rPr>
            <w:rFonts w:ascii="Lato" w:hAnsi="Lato"/>
            <w:color w:val="000000" w:themeColor="text1"/>
            <w:sz w:val="24"/>
            <w:szCs w:val="24"/>
          </w:rPr>
          <w:t>.</w:t>
        </w:r>
      </w:hyperlink>
    </w:p>
    <w:p w14:paraId="0CBEEEE5" w14:textId="77777777" w:rsidR="00000000" w:rsidRPr="0060384B" w:rsidRDefault="00CA5F6F">
      <w:pPr>
        <w:spacing w:line="251" w:lineRule="auto"/>
        <w:ind w:right="128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13DF6D42" w14:textId="77777777" w:rsidR="00000000" w:rsidRPr="0060384B" w:rsidRDefault="00CA5F6F">
      <w:pPr>
        <w:spacing w:line="200" w:lineRule="exact"/>
        <w:rPr>
          <w:rFonts w:ascii="Lato" w:eastAsia="Times New Roman" w:hAnsi="Lato"/>
          <w:color w:val="000000" w:themeColor="text1"/>
          <w:sz w:val="24"/>
          <w:szCs w:val="24"/>
        </w:rPr>
      </w:pPr>
    </w:p>
    <w:p w14:paraId="7D6F3AF0" w14:textId="77777777" w:rsidR="00000000" w:rsidRPr="0060384B" w:rsidRDefault="00CA5F6F">
      <w:pPr>
        <w:spacing w:line="200" w:lineRule="exact"/>
        <w:rPr>
          <w:rFonts w:ascii="Lato" w:eastAsia="Times New Roman" w:hAnsi="Lato"/>
          <w:color w:val="000000" w:themeColor="text1"/>
          <w:sz w:val="24"/>
          <w:szCs w:val="24"/>
        </w:rPr>
      </w:pPr>
    </w:p>
    <w:p w14:paraId="2F3511B5" w14:textId="77777777" w:rsidR="00000000" w:rsidRPr="0060384B" w:rsidRDefault="00CA5F6F">
      <w:pPr>
        <w:spacing w:line="200" w:lineRule="exact"/>
        <w:rPr>
          <w:rFonts w:ascii="Lato" w:eastAsia="Times New Roman" w:hAnsi="Lato"/>
          <w:color w:val="000000" w:themeColor="text1"/>
          <w:sz w:val="24"/>
          <w:szCs w:val="24"/>
        </w:rPr>
      </w:pPr>
    </w:p>
    <w:p w14:paraId="21F524CC" w14:textId="77777777" w:rsidR="00000000" w:rsidRPr="0060384B" w:rsidRDefault="00CA5F6F">
      <w:pPr>
        <w:spacing w:line="200" w:lineRule="exact"/>
        <w:rPr>
          <w:rFonts w:ascii="Lato" w:eastAsia="Times New Roman" w:hAnsi="Lato"/>
          <w:color w:val="000000" w:themeColor="text1"/>
          <w:sz w:val="24"/>
          <w:szCs w:val="24"/>
        </w:rPr>
      </w:pPr>
    </w:p>
    <w:p w14:paraId="549169FE" w14:textId="77777777" w:rsidR="00000000" w:rsidRPr="0060384B" w:rsidRDefault="00CA5F6F">
      <w:pPr>
        <w:spacing w:line="351"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3BEBC7F0" w14:textId="77777777">
        <w:trPr>
          <w:trHeight w:val="245"/>
        </w:trPr>
        <w:tc>
          <w:tcPr>
            <w:tcW w:w="6540" w:type="dxa"/>
            <w:shd w:val="clear" w:color="auto" w:fill="auto"/>
            <w:vAlign w:val="bottom"/>
          </w:tcPr>
          <w:p w14:paraId="699C24D7"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263E37B4"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57</w:t>
            </w:r>
          </w:p>
        </w:tc>
      </w:tr>
      <w:tr w:rsidR="00000000" w:rsidRPr="0060384B" w14:paraId="647D09B8" w14:textId="77777777">
        <w:trPr>
          <w:trHeight w:val="258"/>
        </w:trPr>
        <w:tc>
          <w:tcPr>
            <w:tcW w:w="6540" w:type="dxa"/>
            <w:shd w:val="clear" w:color="auto" w:fill="auto"/>
            <w:vAlign w:val="bottom"/>
          </w:tcPr>
          <w:p w14:paraId="5F6209F8"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NIH Bypass Budget Proposal for Fiscal Year 2021</w:t>
            </w:r>
          </w:p>
        </w:tc>
        <w:tc>
          <w:tcPr>
            <w:tcW w:w="2820" w:type="dxa"/>
            <w:shd w:val="clear" w:color="auto" w:fill="auto"/>
            <w:vAlign w:val="bottom"/>
          </w:tcPr>
          <w:p w14:paraId="4F254962" w14:textId="77777777" w:rsidR="00000000" w:rsidRPr="0060384B" w:rsidRDefault="00CA5F6F">
            <w:pPr>
              <w:spacing w:line="0" w:lineRule="atLeast"/>
              <w:rPr>
                <w:rFonts w:ascii="Lato" w:eastAsia="Times New Roman" w:hAnsi="Lato"/>
                <w:color w:val="000000" w:themeColor="text1"/>
                <w:sz w:val="24"/>
                <w:szCs w:val="24"/>
              </w:rPr>
            </w:pPr>
          </w:p>
        </w:tc>
      </w:tr>
    </w:tbl>
    <w:p w14:paraId="2BEABEDF"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67A9417C" w14:textId="77777777" w:rsidR="00000000" w:rsidRPr="0060384B" w:rsidRDefault="00CA5F6F">
      <w:pPr>
        <w:spacing w:line="0" w:lineRule="atLeast"/>
        <w:rPr>
          <w:rFonts w:ascii="Lato" w:hAnsi="Lato"/>
          <w:b/>
          <w:color w:val="000000" w:themeColor="text1"/>
          <w:sz w:val="24"/>
          <w:szCs w:val="24"/>
        </w:rPr>
      </w:pPr>
      <w:bookmarkStart w:id="60" w:name="page61"/>
      <w:bookmarkEnd w:id="60"/>
      <w:r w:rsidRPr="0060384B">
        <w:rPr>
          <w:rFonts w:ascii="Lato" w:hAnsi="Lato"/>
          <w:b/>
          <w:color w:val="000000" w:themeColor="text1"/>
          <w:sz w:val="24"/>
          <w:szCs w:val="24"/>
        </w:rPr>
        <w:lastRenderedPageBreak/>
        <w:t>MANAGING HEALTH TO PREVENT AND TREAT DEMENTIA</w:t>
      </w:r>
    </w:p>
    <w:p w14:paraId="63420F08" w14:textId="77777777" w:rsidR="00000000" w:rsidRPr="0060384B" w:rsidRDefault="00CA5F6F">
      <w:pPr>
        <w:spacing w:line="288" w:lineRule="exact"/>
        <w:rPr>
          <w:rFonts w:ascii="Lato" w:eastAsia="Times New Roman" w:hAnsi="Lato"/>
          <w:color w:val="000000" w:themeColor="text1"/>
          <w:sz w:val="24"/>
          <w:szCs w:val="24"/>
        </w:rPr>
      </w:pPr>
    </w:p>
    <w:p w14:paraId="78478FB4" w14:textId="77777777" w:rsidR="00000000" w:rsidRPr="0060384B" w:rsidRDefault="00CA5F6F">
      <w:pPr>
        <w:spacing w:line="0" w:lineRule="atLeast"/>
        <w:ind w:right="5440"/>
        <w:rPr>
          <w:rFonts w:ascii="Lato" w:hAnsi="Lato"/>
          <w:color w:val="000000" w:themeColor="text1"/>
          <w:sz w:val="24"/>
          <w:szCs w:val="24"/>
        </w:rPr>
      </w:pPr>
      <w:r w:rsidRPr="0060384B">
        <w:rPr>
          <w:rFonts w:ascii="Lato" w:hAnsi="Lato"/>
          <w:color w:val="000000" w:themeColor="text1"/>
          <w:sz w:val="24"/>
          <w:szCs w:val="24"/>
        </w:rPr>
        <w:t>Beyond drugs designed to atta</w:t>
      </w:r>
      <w:r w:rsidRPr="0060384B">
        <w:rPr>
          <w:rFonts w:ascii="Lato" w:hAnsi="Lato"/>
          <w:color w:val="000000" w:themeColor="text1"/>
          <w:sz w:val="24"/>
          <w:szCs w:val="24"/>
        </w:rPr>
        <w:t>ck the mechanisms of Alzheimer</w:t>
      </w:r>
      <w:r w:rsidRPr="0060384B">
        <w:rPr>
          <w:rFonts w:ascii="Lato" w:hAnsi="Lato"/>
          <w:color w:val="000000" w:themeColor="text1"/>
          <w:sz w:val="24"/>
          <w:szCs w:val="24"/>
        </w:rPr>
        <w:t>’s and related dementias, managing overall health and well-being in a variety of ways may make a difference as well. Population and observational studies point to chronic conditions and to lifestyle, social, or behavioral fact</w:t>
      </w:r>
      <w:r w:rsidRPr="0060384B">
        <w:rPr>
          <w:rFonts w:ascii="Lato" w:hAnsi="Lato"/>
          <w:color w:val="000000" w:themeColor="text1"/>
          <w:sz w:val="24"/>
          <w:szCs w:val="24"/>
        </w:rPr>
        <w:t>ors that can harm or protect us when it comes to dementia. Among these factors are high blood pressure, heart disease, diabetes, and depression, as well as exercise (or</w:t>
      </w:r>
    </w:p>
    <w:p w14:paraId="6C60D883" w14:textId="33F426F4" w:rsidR="00000000" w:rsidRPr="0060384B" w:rsidRDefault="00FB45BD">
      <w:pPr>
        <w:spacing w:line="20" w:lineRule="exact"/>
        <w:rPr>
          <w:rFonts w:ascii="Lato" w:eastAsia="Times New Roman" w:hAnsi="Lato"/>
          <w:color w:val="000000" w:themeColor="text1"/>
          <w:sz w:val="24"/>
          <w:szCs w:val="24"/>
        </w:rPr>
      </w:pPr>
      <w:r w:rsidRPr="0060384B">
        <w:rPr>
          <w:rFonts w:ascii="Lato" w:hAnsi="Lato"/>
          <w:noProof/>
          <w:color w:val="000000" w:themeColor="text1"/>
          <w:sz w:val="24"/>
          <w:szCs w:val="24"/>
        </w:rPr>
        <w:drawing>
          <wp:anchor distT="0" distB="0" distL="114300" distR="114300" simplePos="0" relativeHeight="251660800" behindDoc="1" locked="0" layoutInCell="1" allowOverlap="1" wp14:anchorId="00CA60F7" wp14:editId="020C7BC0">
            <wp:simplePos x="0" y="0"/>
            <wp:positionH relativeFrom="column">
              <wp:posOffset>2624455</wp:posOffset>
            </wp:positionH>
            <wp:positionV relativeFrom="paragraph">
              <wp:posOffset>-2207260</wp:posOffset>
            </wp:positionV>
            <wp:extent cx="3319145" cy="2209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319145" cy="2209800"/>
                    </a:xfrm>
                    <a:prstGeom prst="rect">
                      <a:avLst/>
                    </a:prstGeom>
                    <a:noFill/>
                  </pic:spPr>
                </pic:pic>
              </a:graphicData>
            </a:graphic>
            <wp14:sizeRelH relativeFrom="page">
              <wp14:pctWidth>0</wp14:pctWidth>
            </wp14:sizeRelH>
            <wp14:sizeRelV relativeFrom="page">
              <wp14:pctHeight>0</wp14:pctHeight>
            </wp14:sizeRelV>
          </wp:anchor>
        </w:drawing>
      </w:r>
    </w:p>
    <w:p w14:paraId="5A5EF7A0" w14:textId="77777777" w:rsidR="00000000" w:rsidRPr="0060384B" w:rsidRDefault="00CA5F6F">
      <w:pPr>
        <w:spacing w:line="251" w:lineRule="auto"/>
        <w:ind w:right="200"/>
        <w:rPr>
          <w:rFonts w:ascii="Lato" w:hAnsi="Lato"/>
          <w:color w:val="000000" w:themeColor="text1"/>
          <w:sz w:val="24"/>
          <w:szCs w:val="24"/>
        </w:rPr>
      </w:pPr>
      <w:r w:rsidRPr="0060384B">
        <w:rPr>
          <w:rFonts w:ascii="Lato" w:hAnsi="Lato"/>
          <w:color w:val="000000" w:themeColor="text1"/>
          <w:sz w:val="24"/>
          <w:szCs w:val="24"/>
        </w:rPr>
        <w:t>lack thereof), diet, and cognitive training. Of course, paying attention to some of t</w:t>
      </w:r>
      <w:r w:rsidRPr="0060384B">
        <w:rPr>
          <w:rFonts w:ascii="Lato" w:hAnsi="Lato"/>
          <w:color w:val="000000" w:themeColor="text1"/>
          <w:sz w:val="24"/>
          <w:szCs w:val="24"/>
        </w:rPr>
        <w:t>hese factors has proven to improve health with age in many ways. But can it also contribute directly to preventing or slowing down neurodegeneration?</w:t>
      </w:r>
    </w:p>
    <w:p w14:paraId="084E8D78" w14:textId="77777777" w:rsidR="00000000" w:rsidRPr="0060384B" w:rsidRDefault="00CA5F6F">
      <w:pPr>
        <w:spacing w:line="240" w:lineRule="exact"/>
        <w:rPr>
          <w:rFonts w:ascii="Lato" w:eastAsia="Times New Roman" w:hAnsi="Lato"/>
          <w:color w:val="000000" w:themeColor="text1"/>
          <w:sz w:val="24"/>
          <w:szCs w:val="24"/>
        </w:rPr>
      </w:pPr>
    </w:p>
    <w:p w14:paraId="4895EDFD" w14:textId="77777777" w:rsidR="00000000" w:rsidRPr="0060384B" w:rsidRDefault="00CA5F6F">
      <w:pPr>
        <w:spacing w:line="245" w:lineRule="auto"/>
        <w:ind w:right="140"/>
        <w:rPr>
          <w:rFonts w:ascii="Lato" w:hAnsi="Lato"/>
          <w:color w:val="000000" w:themeColor="text1"/>
          <w:sz w:val="24"/>
          <w:szCs w:val="24"/>
        </w:rPr>
      </w:pPr>
      <w:r w:rsidRPr="0060384B">
        <w:rPr>
          <w:rFonts w:ascii="Lato" w:hAnsi="Lato"/>
          <w:color w:val="000000" w:themeColor="text1"/>
          <w:sz w:val="24"/>
          <w:szCs w:val="24"/>
        </w:rPr>
        <w:t>With the infusion of additional funds in the past 5 years, the National Institutes of Health (NIH) is now</w:t>
      </w:r>
      <w:r w:rsidRPr="0060384B">
        <w:rPr>
          <w:rFonts w:ascii="Lato" w:hAnsi="Lato"/>
          <w:color w:val="000000" w:themeColor="text1"/>
          <w:sz w:val="24"/>
          <w:szCs w:val="24"/>
        </w:rPr>
        <w:t xml:space="preserve"> able to more vigorously pursue a strong translational research agenda to develop and test both pharmaceutical and nondrug interventions. Today, approximately 200 trials are underway. More than 80 of them are nonpharmacological investigations, while anothe</w:t>
      </w:r>
      <w:r w:rsidRPr="0060384B">
        <w:rPr>
          <w:rFonts w:ascii="Lato" w:hAnsi="Lato"/>
          <w:color w:val="000000" w:themeColor="text1"/>
          <w:sz w:val="24"/>
          <w:szCs w:val="24"/>
        </w:rPr>
        <w:t>r 60 are aimed at care and caregiving for people with dementia.</w:t>
      </w:r>
    </w:p>
    <w:p w14:paraId="3AD7E1FF" w14:textId="77777777" w:rsidR="00000000" w:rsidRPr="0060384B" w:rsidRDefault="00CA5F6F">
      <w:pPr>
        <w:spacing w:line="242" w:lineRule="exact"/>
        <w:rPr>
          <w:rFonts w:ascii="Lato" w:eastAsia="Times New Roman" w:hAnsi="Lato"/>
          <w:color w:val="000000" w:themeColor="text1"/>
          <w:sz w:val="24"/>
          <w:szCs w:val="24"/>
        </w:rPr>
      </w:pPr>
    </w:p>
    <w:p w14:paraId="0705BA5F"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Managing High Blood Pressure, Diabetes</w:t>
      </w:r>
    </w:p>
    <w:p w14:paraId="01CB93F9" w14:textId="77777777" w:rsidR="00000000" w:rsidRPr="0060384B" w:rsidRDefault="00CA5F6F">
      <w:pPr>
        <w:spacing w:line="287" w:lineRule="exact"/>
        <w:rPr>
          <w:rFonts w:ascii="Lato" w:eastAsia="Times New Roman" w:hAnsi="Lato"/>
          <w:color w:val="000000" w:themeColor="text1"/>
          <w:sz w:val="24"/>
          <w:szCs w:val="24"/>
        </w:rPr>
      </w:pPr>
    </w:p>
    <w:p w14:paraId="79F8798A" w14:textId="77777777" w:rsidR="00000000" w:rsidRPr="0060384B" w:rsidRDefault="00CA5F6F">
      <w:pPr>
        <w:spacing w:line="244" w:lineRule="auto"/>
        <w:ind w:right="140"/>
        <w:rPr>
          <w:rFonts w:ascii="Lato" w:hAnsi="Lato"/>
          <w:color w:val="000000" w:themeColor="text1"/>
          <w:sz w:val="24"/>
          <w:szCs w:val="24"/>
        </w:rPr>
      </w:pPr>
      <w:r w:rsidRPr="0060384B">
        <w:rPr>
          <w:rFonts w:ascii="Lato" w:hAnsi="Lato"/>
          <w:color w:val="000000" w:themeColor="text1"/>
          <w:sz w:val="24"/>
          <w:szCs w:val="24"/>
        </w:rPr>
        <w:t>Across NIH, institutes and centers with missions to prevent and cure different diseases and conditions often join forces to pursue important scientific</w:t>
      </w:r>
      <w:r w:rsidRPr="0060384B">
        <w:rPr>
          <w:rFonts w:ascii="Lato" w:hAnsi="Lato"/>
          <w:color w:val="000000" w:themeColor="text1"/>
          <w:sz w:val="24"/>
          <w:szCs w:val="24"/>
        </w:rPr>
        <w:t xml:space="preserve"> opportunities. Alzheimer</w:t>
      </w:r>
      <w:r w:rsidRPr="0060384B">
        <w:rPr>
          <w:rFonts w:ascii="Lato" w:hAnsi="Lato"/>
          <w:color w:val="000000" w:themeColor="text1"/>
          <w:sz w:val="24"/>
          <w:szCs w:val="24"/>
        </w:rPr>
        <w:t>’s disease and related dementias have long been a focus of collaboration among neuroscience institutes. In recent years, as interest has increased in the potential connection between, for example, heart disease and diabetes with de</w:t>
      </w:r>
      <w:r w:rsidRPr="0060384B">
        <w:rPr>
          <w:rFonts w:ascii="Lato" w:hAnsi="Lato"/>
          <w:color w:val="000000" w:themeColor="text1"/>
          <w:sz w:val="24"/>
          <w:szCs w:val="24"/>
        </w:rPr>
        <w:t>mentia, there is a broader effort to learn more and build on each other</w:t>
      </w:r>
      <w:r w:rsidRPr="0060384B">
        <w:rPr>
          <w:rFonts w:ascii="Lato" w:hAnsi="Lato"/>
          <w:color w:val="000000" w:themeColor="text1"/>
          <w:sz w:val="24"/>
          <w:szCs w:val="24"/>
        </w:rPr>
        <w:t>’s research, with major trials being leveraged:</w:t>
      </w:r>
    </w:p>
    <w:p w14:paraId="4C5BAB48" w14:textId="77777777" w:rsidR="00000000" w:rsidRPr="0060384B" w:rsidRDefault="00CA5F6F">
      <w:pPr>
        <w:spacing w:line="247" w:lineRule="exact"/>
        <w:rPr>
          <w:rFonts w:ascii="Lato" w:eastAsia="Times New Roman" w:hAnsi="Lato"/>
          <w:color w:val="000000" w:themeColor="text1"/>
          <w:sz w:val="24"/>
          <w:szCs w:val="24"/>
        </w:rPr>
      </w:pPr>
    </w:p>
    <w:p w14:paraId="73C6B535"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A Benefit from Lowering Blood Pressure</w:t>
      </w:r>
    </w:p>
    <w:p w14:paraId="29229A1B" w14:textId="77777777" w:rsidR="00000000" w:rsidRPr="0060384B" w:rsidRDefault="00CA5F6F">
      <w:pPr>
        <w:spacing w:line="284" w:lineRule="exact"/>
        <w:rPr>
          <w:rFonts w:ascii="Lato" w:eastAsia="Times New Roman" w:hAnsi="Lato"/>
          <w:color w:val="000000" w:themeColor="text1"/>
          <w:sz w:val="24"/>
          <w:szCs w:val="24"/>
        </w:rPr>
      </w:pPr>
    </w:p>
    <w:p w14:paraId="2F7ECE5C" w14:textId="77777777" w:rsidR="00000000" w:rsidRPr="0060384B" w:rsidRDefault="00CA5F6F">
      <w:pPr>
        <w:spacing w:line="243" w:lineRule="auto"/>
        <w:ind w:right="120"/>
        <w:rPr>
          <w:rFonts w:ascii="Lato" w:hAnsi="Lato"/>
          <w:color w:val="000000" w:themeColor="text1"/>
          <w:sz w:val="24"/>
          <w:szCs w:val="24"/>
        </w:rPr>
      </w:pPr>
      <w:r w:rsidRPr="0060384B">
        <w:rPr>
          <w:rFonts w:ascii="Lato" w:hAnsi="Lato"/>
          <w:color w:val="000000" w:themeColor="text1"/>
          <w:sz w:val="24"/>
          <w:szCs w:val="24"/>
        </w:rPr>
        <w:t>High blood pressure, or hypertension, is very common in people over age 50. It is a leading risk</w:t>
      </w:r>
      <w:r w:rsidRPr="0060384B">
        <w:rPr>
          <w:rFonts w:ascii="Lato" w:hAnsi="Lato"/>
          <w:color w:val="000000" w:themeColor="text1"/>
          <w:sz w:val="24"/>
          <w:szCs w:val="24"/>
        </w:rPr>
        <w:t xml:space="preserve"> factor for heart disease, stroke, and kidney failure, and a growing body of research suggests that it may increase risk for dementia later in life. In 2019, secondary results from the Systolic Blood Pressure Intervention Trial</w:t>
      </w:r>
      <w:r w:rsidRPr="0060384B">
        <w:rPr>
          <w:rFonts w:ascii="Lato" w:hAnsi="Lato"/>
          <w:color w:val="000000" w:themeColor="text1"/>
          <w:sz w:val="24"/>
          <w:szCs w:val="24"/>
        </w:rPr>
        <w:t>–Memory and Cognition in Decr</w:t>
      </w:r>
      <w:r w:rsidRPr="0060384B">
        <w:rPr>
          <w:rFonts w:ascii="Lato" w:hAnsi="Lato"/>
          <w:color w:val="000000" w:themeColor="text1"/>
          <w:sz w:val="24"/>
          <w:szCs w:val="24"/>
        </w:rPr>
        <w:t>eased Hypertension (SPRINT-MIND) were the first to show beneficial effects of intensive lowering of high blood pressure for reducing risk of mild cognitive impairment (MCI), a known precursor for dementia (</w:t>
      </w:r>
      <w:hyperlink r:id="rId213" w:history="1">
        <w:r w:rsidRPr="0060384B">
          <w:rPr>
            <w:rFonts w:ascii="Lato" w:hAnsi="Lato"/>
            <w:color w:val="000000" w:themeColor="text1"/>
            <w:sz w:val="24"/>
            <w:szCs w:val="24"/>
          </w:rPr>
          <w:t>SPRINT-</w:t>
        </w:r>
      </w:hyperlink>
      <w:hyperlink r:id="rId214" w:history="1">
        <w:r w:rsidRPr="0060384B">
          <w:rPr>
            <w:rFonts w:ascii="Lato" w:hAnsi="Lato"/>
            <w:color w:val="000000" w:themeColor="text1"/>
            <w:sz w:val="24"/>
            <w:szCs w:val="24"/>
          </w:rPr>
          <w:t>MIND Investigators et al., 2019</w:t>
        </w:r>
      </w:hyperlink>
      <w:r w:rsidRPr="0060384B">
        <w:rPr>
          <w:rFonts w:ascii="Lato" w:hAnsi="Lato"/>
          <w:color w:val="000000" w:themeColor="text1"/>
          <w:sz w:val="24"/>
          <w:szCs w:val="24"/>
        </w:rPr>
        <w:t>)</w:t>
      </w:r>
      <w:r w:rsidRPr="0060384B">
        <w:rPr>
          <w:rFonts w:ascii="Lato" w:hAnsi="Lato"/>
          <w:color w:val="000000" w:themeColor="text1"/>
          <w:sz w:val="24"/>
          <w:szCs w:val="24"/>
        </w:rPr>
        <w:t>. The findings, however, did not show significantly reduced</w:t>
      </w:r>
      <w:r w:rsidRPr="0060384B">
        <w:rPr>
          <w:rFonts w:ascii="Lato" w:hAnsi="Lato"/>
          <w:color w:val="000000" w:themeColor="text1"/>
          <w:sz w:val="24"/>
          <w:szCs w:val="24"/>
        </w:rPr>
        <w:t xml:space="preserve"> </w:t>
      </w:r>
      <w:r w:rsidRPr="0060384B">
        <w:rPr>
          <w:rFonts w:ascii="Lato" w:hAnsi="Lato"/>
          <w:color w:val="000000" w:themeColor="text1"/>
          <w:sz w:val="24"/>
          <w:szCs w:val="24"/>
        </w:rPr>
        <w:t>dementia, its primary outcome measure.</w:t>
      </w:r>
    </w:p>
    <w:p w14:paraId="2EBF5D04" w14:textId="77777777" w:rsidR="00000000" w:rsidRPr="0060384B" w:rsidRDefault="00CA5F6F">
      <w:pPr>
        <w:spacing w:line="250" w:lineRule="exact"/>
        <w:rPr>
          <w:rFonts w:ascii="Lato" w:eastAsia="Times New Roman" w:hAnsi="Lato"/>
          <w:color w:val="000000" w:themeColor="text1"/>
          <w:sz w:val="24"/>
          <w:szCs w:val="24"/>
        </w:rPr>
      </w:pPr>
    </w:p>
    <w:p w14:paraId="7E6021C4" w14:textId="77777777" w:rsidR="00000000" w:rsidRPr="0060384B" w:rsidRDefault="00CA5F6F">
      <w:pPr>
        <w:spacing w:line="284" w:lineRule="auto"/>
        <w:ind w:right="60"/>
        <w:rPr>
          <w:rFonts w:ascii="Lato" w:hAnsi="Lato"/>
          <w:color w:val="000000" w:themeColor="text1"/>
          <w:sz w:val="24"/>
          <w:szCs w:val="24"/>
        </w:rPr>
      </w:pPr>
      <w:r w:rsidRPr="0060384B">
        <w:rPr>
          <w:rFonts w:ascii="Lato" w:hAnsi="Lato"/>
          <w:color w:val="000000" w:themeColor="text1"/>
          <w:sz w:val="24"/>
          <w:szCs w:val="24"/>
        </w:rPr>
        <w:t>SPRINT-MIND was an integral aspect of the ini</w:t>
      </w:r>
      <w:r w:rsidRPr="0060384B">
        <w:rPr>
          <w:rFonts w:ascii="Lato" w:hAnsi="Lato"/>
          <w:color w:val="000000" w:themeColor="text1"/>
          <w:sz w:val="24"/>
          <w:szCs w:val="24"/>
        </w:rPr>
        <w:t xml:space="preserve">tial design for </w:t>
      </w:r>
      <w:hyperlink r:id="rId215" w:history="1">
        <w:r w:rsidRPr="0060384B">
          <w:rPr>
            <w:rFonts w:ascii="Lato" w:hAnsi="Lato"/>
            <w:color w:val="000000" w:themeColor="text1"/>
            <w:sz w:val="24"/>
            <w:szCs w:val="24"/>
          </w:rPr>
          <w:t>SPRINT</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a randomized clinical trial that tested the effects of intensive blood pressure lowering on cardiovascular and renal disease</w:t>
      </w:r>
    </w:p>
    <w:p w14:paraId="48FC48B3" w14:textId="77777777" w:rsidR="00000000" w:rsidRPr="0060384B" w:rsidRDefault="00CA5F6F">
      <w:pPr>
        <w:spacing w:line="284" w:lineRule="auto"/>
        <w:ind w:right="60"/>
        <w:rPr>
          <w:rFonts w:ascii="Lato" w:hAnsi="Lato"/>
          <w:color w:val="000000" w:themeColor="text1"/>
          <w:sz w:val="24"/>
          <w:szCs w:val="24"/>
        </w:rPr>
        <w:sectPr w:rsidR="00000000" w:rsidRPr="0060384B">
          <w:pgSz w:w="12240" w:h="15840"/>
          <w:pgMar w:top="1125" w:right="1440" w:bottom="0" w:left="1440" w:header="0" w:footer="0" w:gutter="0"/>
          <w:cols w:space="0" w:equalWidth="0">
            <w:col w:w="9360"/>
          </w:cols>
          <w:docGrid w:linePitch="360"/>
        </w:sectPr>
      </w:pPr>
    </w:p>
    <w:p w14:paraId="117DD578" w14:textId="77777777" w:rsidR="00000000" w:rsidRPr="0060384B" w:rsidRDefault="00CA5F6F">
      <w:pPr>
        <w:spacing w:line="162"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714C558E" w14:textId="77777777">
        <w:trPr>
          <w:trHeight w:val="245"/>
        </w:trPr>
        <w:tc>
          <w:tcPr>
            <w:tcW w:w="6540" w:type="dxa"/>
            <w:shd w:val="clear" w:color="auto" w:fill="auto"/>
            <w:vAlign w:val="bottom"/>
          </w:tcPr>
          <w:p w14:paraId="2373194A"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TOGETHER WE SUCCEED</w:t>
            </w:r>
          </w:p>
        </w:tc>
        <w:tc>
          <w:tcPr>
            <w:tcW w:w="2820" w:type="dxa"/>
            <w:shd w:val="clear" w:color="auto" w:fill="auto"/>
            <w:vAlign w:val="bottom"/>
          </w:tcPr>
          <w:p w14:paraId="119DE44F"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58</w:t>
            </w:r>
          </w:p>
        </w:tc>
      </w:tr>
      <w:tr w:rsidR="00000000" w:rsidRPr="0060384B" w14:paraId="76101307" w14:textId="77777777">
        <w:trPr>
          <w:trHeight w:val="258"/>
        </w:trPr>
        <w:tc>
          <w:tcPr>
            <w:tcW w:w="6540" w:type="dxa"/>
            <w:shd w:val="clear" w:color="auto" w:fill="auto"/>
            <w:vAlign w:val="bottom"/>
          </w:tcPr>
          <w:p w14:paraId="187B24E5"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474325DB" w14:textId="77777777" w:rsidR="00000000" w:rsidRPr="0060384B" w:rsidRDefault="00CA5F6F">
            <w:pPr>
              <w:spacing w:line="0" w:lineRule="atLeast"/>
              <w:rPr>
                <w:rFonts w:ascii="Lato" w:eastAsia="Times New Roman" w:hAnsi="Lato"/>
                <w:color w:val="000000" w:themeColor="text1"/>
                <w:sz w:val="24"/>
                <w:szCs w:val="24"/>
              </w:rPr>
            </w:pPr>
          </w:p>
        </w:tc>
      </w:tr>
    </w:tbl>
    <w:p w14:paraId="61B6F6E4"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25" w:right="1440" w:bottom="0" w:left="1440" w:header="0" w:footer="0" w:gutter="0"/>
          <w:cols w:space="0" w:equalWidth="0">
            <w:col w:w="9360"/>
          </w:cols>
          <w:docGrid w:linePitch="360"/>
        </w:sectPr>
      </w:pPr>
    </w:p>
    <w:p w14:paraId="432A72B4" w14:textId="77777777" w:rsidR="00000000" w:rsidRPr="0060384B" w:rsidRDefault="00CA5F6F">
      <w:pPr>
        <w:spacing w:line="243" w:lineRule="auto"/>
        <w:ind w:right="60"/>
        <w:rPr>
          <w:rFonts w:ascii="Lato" w:hAnsi="Lato"/>
          <w:color w:val="000000" w:themeColor="text1"/>
          <w:sz w:val="24"/>
          <w:szCs w:val="24"/>
        </w:rPr>
      </w:pPr>
      <w:bookmarkStart w:id="61" w:name="page62"/>
      <w:bookmarkEnd w:id="61"/>
      <w:r w:rsidRPr="0060384B">
        <w:rPr>
          <w:rFonts w:ascii="Lato" w:hAnsi="Lato"/>
          <w:color w:val="000000" w:themeColor="text1"/>
          <w:sz w:val="24"/>
          <w:szCs w:val="24"/>
        </w:rPr>
        <w:lastRenderedPageBreak/>
        <w:t>in 9,300 participants who were 50 years and older and at high risk for cardiovascular disease. The trial showed that intensive blood pressure control (systolic blood pressure of le</w:t>
      </w:r>
      <w:r w:rsidRPr="0060384B">
        <w:rPr>
          <w:rFonts w:ascii="Lato" w:hAnsi="Lato"/>
          <w:color w:val="000000" w:themeColor="text1"/>
          <w:sz w:val="24"/>
          <w:szCs w:val="24"/>
        </w:rPr>
        <w:t>ss than 120 mmHg), compared to a standard target of less than 140 mmHg, reduced cardiovascular events and overall mortality. In August 2015, the SPRINT trial was stopped after 3.3 years of treatment when the major beneficial effects of intensive blood pres</w:t>
      </w:r>
      <w:r w:rsidRPr="0060384B">
        <w:rPr>
          <w:rFonts w:ascii="Lato" w:hAnsi="Lato"/>
          <w:color w:val="000000" w:themeColor="text1"/>
          <w:sz w:val="24"/>
          <w:szCs w:val="24"/>
        </w:rPr>
        <w:t>sure management on mortality and cardiovascular disease became evident and warranted early publication of the results. Assessment for development of dementia and MCI continued for the full 5 years.</w:t>
      </w:r>
    </w:p>
    <w:p w14:paraId="4E7F301E" w14:textId="77777777" w:rsidR="00000000" w:rsidRPr="0060384B" w:rsidRDefault="00CA5F6F">
      <w:pPr>
        <w:spacing w:line="254" w:lineRule="exact"/>
        <w:rPr>
          <w:rFonts w:ascii="Lato" w:eastAsia="Times New Roman" w:hAnsi="Lato"/>
          <w:color w:val="000000" w:themeColor="text1"/>
          <w:sz w:val="24"/>
          <w:szCs w:val="24"/>
        </w:rPr>
      </w:pPr>
    </w:p>
    <w:p w14:paraId="0065C8BE" w14:textId="77777777" w:rsidR="00000000" w:rsidRPr="0060384B" w:rsidRDefault="00CA5F6F">
      <w:pPr>
        <w:spacing w:line="254" w:lineRule="auto"/>
        <w:ind w:right="100"/>
        <w:rPr>
          <w:rFonts w:ascii="Lato" w:hAnsi="Lato"/>
          <w:color w:val="000000" w:themeColor="text1"/>
          <w:sz w:val="24"/>
          <w:szCs w:val="24"/>
        </w:rPr>
      </w:pPr>
      <w:r w:rsidRPr="0060384B">
        <w:rPr>
          <w:rFonts w:ascii="Lato" w:hAnsi="Lato"/>
          <w:color w:val="000000" w:themeColor="text1"/>
          <w:sz w:val="24"/>
          <w:szCs w:val="24"/>
        </w:rPr>
        <w:t xml:space="preserve">The NIH-supported </w:t>
      </w:r>
      <w:hyperlink r:id="rId216" w:history="1">
        <w:r w:rsidRPr="0060384B">
          <w:rPr>
            <w:rFonts w:ascii="Lato" w:hAnsi="Lato"/>
            <w:color w:val="000000" w:themeColor="text1"/>
            <w:sz w:val="24"/>
            <w:szCs w:val="24"/>
          </w:rPr>
          <w:t>SPRINT Alzheimer</w:t>
        </w:r>
        <w:r w:rsidRPr="0060384B">
          <w:rPr>
            <w:rFonts w:ascii="Lato" w:hAnsi="Lato"/>
            <w:color w:val="000000" w:themeColor="text1"/>
            <w:sz w:val="24"/>
            <w:szCs w:val="24"/>
          </w:rPr>
          <w:t>’s, Seniors, and Kidney (SPRINT-ASK) Study</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which tracked SPRINT -MIND participants 1 year later for effects on cognitiv</w:t>
      </w:r>
      <w:r w:rsidRPr="0060384B">
        <w:rPr>
          <w:rFonts w:ascii="Lato" w:hAnsi="Lato"/>
          <w:color w:val="000000" w:themeColor="text1"/>
          <w:sz w:val="24"/>
          <w:szCs w:val="24"/>
        </w:rPr>
        <w:t>e outcomes and measures of kidney safety, will obtain longer-term data. Through SPRINT-ASK, the participants were assessed for the full 5 years for development of dementia and MCI. While the primary results for SPRINT -MIND found no statistically significa</w:t>
      </w:r>
      <w:r w:rsidRPr="0060384B">
        <w:rPr>
          <w:rFonts w:ascii="Lato" w:hAnsi="Lato"/>
          <w:color w:val="000000" w:themeColor="text1"/>
          <w:sz w:val="24"/>
          <w:szCs w:val="24"/>
        </w:rPr>
        <w:t xml:space="preserve">nt difference between standard and intensive treatment in the proportion of participants who were diagnosed with dementia, they did show fewer cases of dementia than expected. The researchers pointed out that because the study intervention was stopped and </w:t>
      </w:r>
      <w:r w:rsidRPr="0060384B">
        <w:rPr>
          <w:rFonts w:ascii="Lato" w:hAnsi="Lato"/>
          <w:color w:val="000000" w:themeColor="text1"/>
          <w:sz w:val="24"/>
          <w:szCs w:val="24"/>
        </w:rPr>
        <w:t>participants were treated for a shorter time than originally planned, it was difficult to determine the role of intensive blood pressure control on dementia.</w:t>
      </w:r>
    </w:p>
    <w:p w14:paraId="5BD2CC55" w14:textId="77777777" w:rsidR="00000000" w:rsidRPr="0060384B" w:rsidRDefault="00CA5F6F">
      <w:pPr>
        <w:spacing w:line="239" w:lineRule="exact"/>
        <w:rPr>
          <w:rFonts w:ascii="Lato" w:eastAsia="Times New Roman" w:hAnsi="Lato"/>
          <w:color w:val="000000" w:themeColor="text1"/>
          <w:sz w:val="24"/>
          <w:szCs w:val="24"/>
        </w:rPr>
      </w:pPr>
    </w:p>
    <w:p w14:paraId="40F5B245"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Weight Loss for Diabetes in Reducing Risk of Alzheimer</w:t>
      </w:r>
      <w:r w:rsidRPr="0060384B">
        <w:rPr>
          <w:rFonts w:ascii="Lato" w:hAnsi="Lato"/>
          <w:b/>
          <w:color w:val="000000" w:themeColor="text1"/>
          <w:sz w:val="24"/>
          <w:szCs w:val="24"/>
        </w:rPr>
        <w:t>’s</w:t>
      </w:r>
    </w:p>
    <w:p w14:paraId="2CC4DDAE" w14:textId="77777777" w:rsidR="00000000" w:rsidRPr="0060384B" w:rsidRDefault="00CA5F6F">
      <w:pPr>
        <w:spacing w:line="284" w:lineRule="exact"/>
        <w:rPr>
          <w:rFonts w:ascii="Lato" w:eastAsia="Times New Roman" w:hAnsi="Lato"/>
          <w:color w:val="000000" w:themeColor="text1"/>
          <w:sz w:val="24"/>
          <w:szCs w:val="24"/>
        </w:rPr>
      </w:pPr>
    </w:p>
    <w:p w14:paraId="1779232C" w14:textId="77777777" w:rsidR="00000000" w:rsidRPr="0060384B" w:rsidRDefault="00CA5F6F">
      <w:pPr>
        <w:spacing w:line="242" w:lineRule="auto"/>
        <w:ind w:right="40"/>
        <w:rPr>
          <w:rFonts w:ascii="Lato" w:hAnsi="Lato"/>
          <w:color w:val="000000" w:themeColor="text1"/>
          <w:sz w:val="24"/>
          <w:szCs w:val="24"/>
        </w:rPr>
      </w:pPr>
      <w:r w:rsidRPr="0060384B">
        <w:rPr>
          <w:rFonts w:ascii="Lato" w:hAnsi="Lato"/>
          <w:color w:val="000000" w:themeColor="text1"/>
          <w:sz w:val="24"/>
          <w:szCs w:val="24"/>
        </w:rPr>
        <w:t>The Action for Health in Diabetes (Look</w:t>
      </w:r>
      <w:r w:rsidRPr="0060384B">
        <w:rPr>
          <w:rFonts w:ascii="Lato" w:hAnsi="Lato"/>
          <w:color w:val="000000" w:themeColor="text1"/>
          <w:sz w:val="24"/>
          <w:szCs w:val="24"/>
        </w:rPr>
        <w:t xml:space="preserve"> AHEAD) study, sponsored by NIH, is a long-term randomized clinical trial of lifestyle interventions in obese and overweight people with type 2 diabetes. To find out more about the definitive impact of these interventions on cognitive impairment and dement</w:t>
      </w:r>
      <w:r w:rsidRPr="0060384B">
        <w:rPr>
          <w:rFonts w:ascii="Lato" w:hAnsi="Lato"/>
          <w:color w:val="000000" w:themeColor="text1"/>
          <w:sz w:val="24"/>
          <w:szCs w:val="24"/>
        </w:rPr>
        <w:t>ia, NIH in 2018 funded a follow-up assessment, the Action for Health in Diabetes, Alzheimer</w:t>
      </w:r>
      <w:r w:rsidRPr="0060384B">
        <w:rPr>
          <w:rFonts w:ascii="Lato" w:hAnsi="Lato"/>
          <w:color w:val="000000" w:themeColor="text1"/>
          <w:sz w:val="24"/>
          <w:szCs w:val="24"/>
        </w:rPr>
        <w:t>’s Disease, and Related Dementias Study (Look AHEAD-MIND)</w:t>
      </w:r>
      <w:r w:rsidRPr="0060384B">
        <w:rPr>
          <w:rFonts w:ascii="Lato" w:hAnsi="Lato"/>
          <w:color w:val="000000" w:themeColor="text1"/>
          <w:sz w:val="24"/>
          <w:szCs w:val="24"/>
        </w:rPr>
        <w:t>.</w:t>
      </w:r>
      <w:r w:rsidRPr="0060384B">
        <w:rPr>
          <w:rFonts w:ascii="Lato" w:hAnsi="Lato"/>
          <w:color w:val="000000" w:themeColor="text1"/>
          <w:sz w:val="24"/>
          <w:szCs w:val="24"/>
        </w:rPr>
        <w:t xml:space="preserve"> Researchers will examine whether interventions designed to induce and sustain long-term weight loss lead t</w:t>
      </w:r>
      <w:r w:rsidRPr="0060384B">
        <w:rPr>
          <w:rFonts w:ascii="Lato" w:hAnsi="Lato"/>
          <w:color w:val="000000" w:themeColor="text1"/>
          <w:sz w:val="24"/>
          <w:szCs w:val="24"/>
        </w:rPr>
        <w:t>o cognitive benefit or harm, determining the role that baseline weight may play. They will repeat the cognitive assessments conducted in the original study in 3,500 participants and compare the results with data from the well-characterized Look-AHEAD cohor</w:t>
      </w:r>
      <w:r w:rsidRPr="0060384B">
        <w:rPr>
          <w:rFonts w:ascii="Lato" w:hAnsi="Lato"/>
          <w:color w:val="000000" w:themeColor="text1"/>
          <w:sz w:val="24"/>
          <w:szCs w:val="24"/>
        </w:rPr>
        <w:t>t. The team will also develop public-use databases to promote research on cognitive health in older people who are overweight or obese and have type 2 diabetes, an understudied population.</w:t>
      </w:r>
    </w:p>
    <w:p w14:paraId="1D4702FD" w14:textId="77777777" w:rsidR="00000000" w:rsidRPr="0060384B" w:rsidRDefault="00CA5F6F">
      <w:pPr>
        <w:spacing w:line="247" w:lineRule="exact"/>
        <w:rPr>
          <w:rFonts w:ascii="Lato" w:eastAsia="Times New Roman" w:hAnsi="Lato"/>
          <w:color w:val="000000" w:themeColor="text1"/>
          <w:sz w:val="24"/>
          <w:szCs w:val="24"/>
        </w:rPr>
      </w:pPr>
    </w:p>
    <w:p w14:paraId="484A59A2"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Taking Direct Aim at Dementia with Lifestyle, Cognitive Training</w:t>
      </w:r>
    </w:p>
    <w:p w14:paraId="675D7EC1" w14:textId="77777777" w:rsidR="00000000" w:rsidRPr="0060384B" w:rsidRDefault="00CA5F6F">
      <w:pPr>
        <w:spacing w:line="287" w:lineRule="exact"/>
        <w:rPr>
          <w:rFonts w:ascii="Lato" w:eastAsia="Times New Roman" w:hAnsi="Lato"/>
          <w:color w:val="000000" w:themeColor="text1"/>
          <w:sz w:val="24"/>
          <w:szCs w:val="24"/>
        </w:rPr>
      </w:pPr>
    </w:p>
    <w:p w14:paraId="08D4A954" w14:textId="77777777" w:rsidR="00000000" w:rsidRPr="0060384B" w:rsidRDefault="00CA5F6F">
      <w:pPr>
        <w:spacing w:line="244" w:lineRule="auto"/>
        <w:rPr>
          <w:rFonts w:ascii="Lato" w:hAnsi="Lato"/>
          <w:color w:val="000000" w:themeColor="text1"/>
          <w:sz w:val="24"/>
          <w:szCs w:val="24"/>
        </w:rPr>
      </w:pPr>
      <w:r w:rsidRPr="0060384B">
        <w:rPr>
          <w:rFonts w:ascii="Lato" w:hAnsi="Lato"/>
          <w:color w:val="000000" w:themeColor="text1"/>
          <w:sz w:val="24"/>
          <w:szCs w:val="24"/>
        </w:rPr>
        <w:t>A recent clinical trial (</w:t>
      </w:r>
      <w:hyperlink r:id="rId217" w:history="1">
        <w:r w:rsidRPr="0060384B">
          <w:rPr>
            <w:rFonts w:ascii="Lato" w:hAnsi="Lato"/>
            <w:color w:val="000000" w:themeColor="text1"/>
            <w:sz w:val="24"/>
            <w:szCs w:val="24"/>
          </w:rPr>
          <w:t>Rovner et al., 2018</w:t>
        </w:r>
      </w:hyperlink>
      <w:r w:rsidRPr="0060384B">
        <w:rPr>
          <w:rFonts w:ascii="Lato" w:hAnsi="Lato"/>
          <w:color w:val="000000" w:themeColor="text1"/>
          <w:sz w:val="24"/>
          <w:szCs w:val="24"/>
        </w:rPr>
        <w:t xml:space="preserve">) provides one example of how an innovative approach to lifestyle and behavioral interventions for preventing cognitive decline can succeed. The study </w:t>
      </w:r>
      <w:r w:rsidRPr="0060384B">
        <w:rPr>
          <w:rFonts w:ascii="Lato" w:hAnsi="Lato"/>
          <w:color w:val="000000" w:themeColor="text1"/>
          <w:sz w:val="24"/>
          <w:szCs w:val="24"/>
        </w:rPr>
        <w:t xml:space="preserve">found that older African Americans with MCI who got help setting goals to be more socially, physically, or cognitively active had slower memory decline than those who did not receive such help. While studies have suggested that a more active lifestyle may </w:t>
      </w:r>
      <w:r w:rsidRPr="0060384B">
        <w:rPr>
          <w:rFonts w:ascii="Lato" w:hAnsi="Lato"/>
          <w:color w:val="000000" w:themeColor="text1"/>
          <w:sz w:val="24"/>
          <w:szCs w:val="24"/>
        </w:rPr>
        <w:t>help prevent cognitive decline, African Americans are significantly underrepresented in those efforts.</w:t>
      </w:r>
    </w:p>
    <w:p w14:paraId="6170AE9D" w14:textId="77777777" w:rsidR="00000000" w:rsidRPr="0060384B" w:rsidRDefault="00CA5F6F">
      <w:pPr>
        <w:spacing w:line="250" w:lineRule="exact"/>
        <w:rPr>
          <w:rFonts w:ascii="Lato" w:eastAsia="Times New Roman" w:hAnsi="Lato"/>
          <w:color w:val="000000" w:themeColor="text1"/>
          <w:sz w:val="24"/>
          <w:szCs w:val="24"/>
        </w:rPr>
      </w:pPr>
    </w:p>
    <w:p w14:paraId="3AE7B898" w14:textId="77777777" w:rsidR="00000000" w:rsidRPr="0060384B" w:rsidRDefault="00CA5F6F">
      <w:pPr>
        <w:spacing w:line="245" w:lineRule="auto"/>
        <w:ind w:right="220"/>
        <w:rPr>
          <w:rFonts w:ascii="Lato" w:hAnsi="Lato"/>
          <w:color w:val="000000" w:themeColor="text1"/>
          <w:sz w:val="24"/>
          <w:szCs w:val="24"/>
        </w:rPr>
      </w:pPr>
      <w:r w:rsidRPr="0060384B">
        <w:rPr>
          <w:rFonts w:ascii="Lato" w:hAnsi="Lato"/>
          <w:color w:val="000000" w:themeColor="text1"/>
          <w:sz w:val="24"/>
          <w:szCs w:val="24"/>
        </w:rPr>
        <w:t xml:space="preserve">In this study, African Americans with MCI (average age, 76) were randomly assigned to one of two interventions. One group received </w:t>
      </w:r>
      <w:r w:rsidRPr="0060384B">
        <w:rPr>
          <w:rFonts w:ascii="Lato" w:hAnsi="Lato"/>
          <w:color w:val="000000" w:themeColor="text1"/>
          <w:sz w:val="24"/>
          <w:szCs w:val="24"/>
        </w:rPr>
        <w:t>“behavioral activatio</w:t>
      </w:r>
      <w:r w:rsidRPr="0060384B">
        <w:rPr>
          <w:rFonts w:ascii="Lato" w:hAnsi="Lato"/>
          <w:color w:val="000000" w:themeColor="text1"/>
          <w:sz w:val="24"/>
          <w:szCs w:val="24"/>
        </w:rPr>
        <w:t>n,</w:t>
      </w:r>
      <w:r w:rsidRPr="0060384B">
        <w:rPr>
          <w:rFonts w:ascii="Lato" w:hAnsi="Lato"/>
          <w:color w:val="000000" w:themeColor="text1"/>
          <w:sz w:val="24"/>
          <w:szCs w:val="24"/>
        </w:rPr>
        <w:t xml:space="preserve">” in which community health workers helped them choose goals to be more active, then develop step-by-step action plans. The control group received </w:t>
      </w:r>
      <w:r w:rsidRPr="0060384B">
        <w:rPr>
          <w:rFonts w:ascii="Lato" w:hAnsi="Lato"/>
          <w:color w:val="000000" w:themeColor="text1"/>
          <w:sz w:val="24"/>
          <w:szCs w:val="24"/>
        </w:rPr>
        <w:t>“supportive therapy,</w:t>
      </w:r>
      <w:r w:rsidRPr="0060384B">
        <w:rPr>
          <w:rFonts w:ascii="Lato" w:hAnsi="Lato"/>
          <w:color w:val="000000" w:themeColor="text1"/>
          <w:sz w:val="24"/>
          <w:szCs w:val="24"/>
        </w:rPr>
        <w:t xml:space="preserve">” </w:t>
      </w:r>
      <w:r w:rsidRPr="0060384B">
        <w:rPr>
          <w:rFonts w:ascii="Lato" w:hAnsi="Lato"/>
          <w:color w:val="000000" w:themeColor="text1"/>
          <w:sz w:val="24"/>
          <w:szCs w:val="24"/>
        </w:rPr>
        <w:lastRenderedPageBreak/>
        <w:t>conversations with community health workers that did not involve setting goals. After</w:t>
      </w:r>
      <w:r w:rsidRPr="0060384B">
        <w:rPr>
          <w:rFonts w:ascii="Lato" w:hAnsi="Lato"/>
          <w:color w:val="000000" w:themeColor="text1"/>
          <w:sz w:val="24"/>
          <w:szCs w:val="24"/>
        </w:rPr>
        <w:t xml:space="preserve"> 2 years, the behavioral-activation group</w:t>
      </w:r>
    </w:p>
    <w:p w14:paraId="66A166D9" w14:textId="77777777" w:rsidR="00000000" w:rsidRPr="0060384B" w:rsidRDefault="00CA5F6F">
      <w:pPr>
        <w:spacing w:line="245" w:lineRule="auto"/>
        <w:ind w:right="22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58F3858C" w14:textId="77777777" w:rsidR="00000000" w:rsidRPr="0060384B" w:rsidRDefault="00CA5F6F">
      <w:pPr>
        <w:spacing w:line="294"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2890BE48" w14:textId="77777777">
        <w:trPr>
          <w:trHeight w:val="245"/>
        </w:trPr>
        <w:tc>
          <w:tcPr>
            <w:tcW w:w="6540" w:type="dxa"/>
            <w:shd w:val="clear" w:color="auto" w:fill="auto"/>
            <w:vAlign w:val="bottom"/>
          </w:tcPr>
          <w:p w14:paraId="11572939"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57D52F9F"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59</w:t>
            </w:r>
          </w:p>
        </w:tc>
      </w:tr>
      <w:tr w:rsidR="00000000" w:rsidRPr="0060384B" w14:paraId="48299852" w14:textId="77777777">
        <w:trPr>
          <w:trHeight w:val="258"/>
        </w:trPr>
        <w:tc>
          <w:tcPr>
            <w:tcW w:w="6540" w:type="dxa"/>
            <w:shd w:val="clear" w:color="auto" w:fill="auto"/>
            <w:vAlign w:val="bottom"/>
          </w:tcPr>
          <w:p w14:paraId="53E089A0"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680CA52D" w14:textId="77777777" w:rsidR="00000000" w:rsidRPr="0060384B" w:rsidRDefault="00CA5F6F">
            <w:pPr>
              <w:spacing w:line="0" w:lineRule="atLeast"/>
              <w:rPr>
                <w:rFonts w:ascii="Lato" w:eastAsia="Times New Roman" w:hAnsi="Lato"/>
                <w:color w:val="000000" w:themeColor="text1"/>
                <w:sz w:val="24"/>
                <w:szCs w:val="24"/>
              </w:rPr>
            </w:pPr>
          </w:p>
        </w:tc>
      </w:tr>
    </w:tbl>
    <w:p w14:paraId="7EC56DFB"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77194179" w14:textId="77777777" w:rsidR="00000000" w:rsidRPr="0060384B" w:rsidRDefault="00CA5F6F">
      <w:pPr>
        <w:spacing w:line="257" w:lineRule="auto"/>
        <w:ind w:right="20"/>
        <w:rPr>
          <w:rFonts w:ascii="Lato" w:hAnsi="Lato"/>
          <w:color w:val="000000" w:themeColor="text1"/>
          <w:sz w:val="24"/>
          <w:szCs w:val="24"/>
        </w:rPr>
      </w:pPr>
      <w:bookmarkStart w:id="62" w:name="page63"/>
      <w:bookmarkEnd w:id="62"/>
      <w:r w:rsidRPr="0060384B">
        <w:rPr>
          <w:rFonts w:ascii="Lato" w:hAnsi="Lato"/>
          <w:color w:val="000000" w:themeColor="text1"/>
          <w:sz w:val="24"/>
          <w:szCs w:val="24"/>
        </w:rPr>
        <w:lastRenderedPageBreak/>
        <w:t>participated in significantly more cognitive activities, the researchers found, even though there were no differences in physical or soci</w:t>
      </w:r>
      <w:r w:rsidRPr="0060384B">
        <w:rPr>
          <w:rFonts w:ascii="Lato" w:hAnsi="Lato"/>
          <w:color w:val="000000" w:themeColor="text1"/>
          <w:sz w:val="24"/>
          <w:szCs w:val="24"/>
        </w:rPr>
        <w:t>al activity levels. Both groups had memory decline, but the behavioral-activation group declined by 1.2 percent, compared with 9.3 percent for the control group. The study provides evidence that a behavioral intervention can slow memory decline in older Af</w:t>
      </w:r>
      <w:r w:rsidRPr="0060384B">
        <w:rPr>
          <w:rFonts w:ascii="Lato" w:hAnsi="Lato"/>
          <w:color w:val="000000" w:themeColor="text1"/>
          <w:sz w:val="24"/>
          <w:szCs w:val="24"/>
        </w:rPr>
        <w:t>rican Americans at risk for dementia. It is possible that planning a more active lifestyle can help reduce the disparity in dementia risk between African Americans and whites.</w:t>
      </w:r>
    </w:p>
    <w:p w14:paraId="1EF1B293" w14:textId="77777777" w:rsidR="00000000" w:rsidRPr="0060384B" w:rsidRDefault="00CA5F6F">
      <w:pPr>
        <w:spacing w:line="234" w:lineRule="exact"/>
        <w:rPr>
          <w:rFonts w:ascii="Lato" w:eastAsia="Times New Roman" w:hAnsi="Lato"/>
          <w:color w:val="000000" w:themeColor="text1"/>
          <w:sz w:val="24"/>
          <w:szCs w:val="24"/>
        </w:rPr>
      </w:pPr>
    </w:p>
    <w:p w14:paraId="395C6F5E" w14:textId="77777777" w:rsidR="00000000" w:rsidRPr="0060384B" w:rsidRDefault="00CA5F6F">
      <w:pPr>
        <w:spacing w:line="244" w:lineRule="auto"/>
        <w:ind w:right="20"/>
        <w:rPr>
          <w:rFonts w:ascii="Lato" w:hAnsi="Lato"/>
          <w:color w:val="000000" w:themeColor="text1"/>
          <w:sz w:val="24"/>
          <w:szCs w:val="24"/>
        </w:rPr>
      </w:pPr>
      <w:r w:rsidRPr="0060384B">
        <w:rPr>
          <w:rFonts w:ascii="Lato" w:hAnsi="Lato"/>
          <w:color w:val="000000" w:themeColor="text1"/>
          <w:sz w:val="24"/>
          <w:szCs w:val="24"/>
        </w:rPr>
        <w:t xml:space="preserve">This study also shows how the scientific community is following up on evidence </w:t>
      </w:r>
      <w:r w:rsidRPr="0060384B">
        <w:rPr>
          <w:rFonts w:ascii="Lato" w:hAnsi="Lato"/>
          <w:color w:val="000000" w:themeColor="text1"/>
          <w:sz w:val="24"/>
          <w:szCs w:val="24"/>
        </w:rPr>
        <w:t>that links risk of cognitive health or dementia, as well as ameliorating that risk, to everyday health practices and policies. A robust and creative research program seeks to find out which interventions</w:t>
      </w:r>
      <w:r w:rsidRPr="0060384B">
        <w:rPr>
          <w:rFonts w:ascii="Lato" w:hAnsi="Lato"/>
          <w:color w:val="000000" w:themeColor="text1"/>
          <w:sz w:val="24"/>
          <w:szCs w:val="24"/>
        </w:rPr>
        <w:t xml:space="preserve">—at which dose, at what age, and for which groups of </w:t>
      </w:r>
      <w:r w:rsidRPr="0060384B">
        <w:rPr>
          <w:rFonts w:ascii="Lato" w:hAnsi="Lato"/>
          <w:color w:val="000000" w:themeColor="text1"/>
          <w:sz w:val="24"/>
          <w:szCs w:val="24"/>
        </w:rPr>
        <w:t>people by gender and race</w:t>
      </w:r>
      <w:r w:rsidRPr="0060384B">
        <w:rPr>
          <w:rFonts w:ascii="Lato" w:hAnsi="Lato"/>
          <w:color w:val="000000" w:themeColor="text1"/>
          <w:sz w:val="24"/>
          <w:szCs w:val="24"/>
        </w:rPr>
        <w:t>—will be most effective in preventing or slowing cognitive decline and dementia. Ongoing projects are either fully or partly funded by NIH:</w:t>
      </w:r>
    </w:p>
    <w:p w14:paraId="2A294B4E" w14:textId="77777777" w:rsidR="00000000" w:rsidRPr="0060384B" w:rsidRDefault="00CA5F6F">
      <w:pPr>
        <w:spacing w:line="247" w:lineRule="exact"/>
        <w:rPr>
          <w:rFonts w:ascii="Lato" w:eastAsia="Times New Roman" w:hAnsi="Lato"/>
          <w:color w:val="000000" w:themeColor="text1"/>
          <w:sz w:val="24"/>
          <w:szCs w:val="24"/>
        </w:rPr>
      </w:pPr>
    </w:p>
    <w:p w14:paraId="0D3AC73B" w14:textId="77777777" w:rsidR="00000000" w:rsidRPr="0060384B" w:rsidRDefault="00CA5F6F">
      <w:pPr>
        <w:spacing w:line="246" w:lineRule="auto"/>
        <w:ind w:right="100"/>
        <w:rPr>
          <w:rFonts w:ascii="Lato" w:hAnsi="Lato"/>
          <w:color w:val="000000" w:themeColor="text1"/>
          <w:sz w:val="24"/>
          <w:szCs w:val="24"/>
        </w:rPr>
      </w:pPr>
      <w:r w:rsidRPr="0060384B">
        <w:rPr>
          <w:rFonts w:ascii="Lato" w:hAnsi="Lato"/>
          <w:b/>
          <w:color w:val="000000" w:themeColor="text1"/>
          <w:sz w:val="24"/>
          <w:szCs w:val="24"/>
        </w:rPr>
        <w:t xml:space="preserve">A pilot multi-domain study. </w:t>
      </w:r>
      <w:r w:rsidRPr="0060384B">
        <w:rPr>
          <w:rFonts w:ascii="Lato" w:hAnsi="Lato"/>
          <w:color w:val="000000" w:themeColor="text1"/>
          <w:sz w:val="24"/>
          <w:szCs w:val="24"/>
        </w:rPr>
        <w:t>Investigators in a new</w:t>
      </w:r>
      <w:r w:rsidRPr="0060384B">
        <w:rPr>
          <w:rFonts w:ascii="Lato" w:hAnsi="Lato"/>
          <w:b/>
          <w:color w:val="000000" w:themeColor="text1"/>
          <w:sz w:val="24"/>
          <w:szCs w:val="24"/>
        </w:rPr>
        <w:t xml:space="preserve"> </w:t>
      </w:r>
      <w:hyperlink r:id="rId218" w:history="1">
        <w:r w:rsidRPr="0060384B">
          <w:rPr>
            <w:rFonts w:ascii="Lato" w:hAnsi="Lato"/>
            <w:color w:val="000000" w:themeColor="text1"/>
            <w:sz w:val="24"/>
            <w:szCs w:val="24"/>
          </w:rPr>
          <w:t>Multi-Domain Alzheimer</w:t>
        </w:r>
        <w:r w:rsidRPr="0060384B">
          <w:rPr>
            <w:rFonts w:ascii="Lato" w:hAnsi="Lato"/>
            <w:color w:val="000000" w:themeColor="text1"/>
            <w:sz w:val="24"/>
            <w:szCs w:val="24"/>
          </w:rPr>
          <w:t>’s Risk Reduction</w:t>
        </w:r>
      </w:hyperlink>
      <w:r w:rsidRPr="0060384B">
        <w:rPr>
          <w:rFonts w:ascii="Lato" w:hAnsi="Lato"/>
          <w:b/>
          <w:color w:val="000000" w:themeColor="text1"/>
          <w:sz w:val="24"/>
          <w:szCs w:val="24"/>
        </w:rPr>
        <w:t xml:space="preserve"> </w:t>
      </w:r>
      <w:hyperlink r:id="rId219" w:history="1">
        <w:r w:rsidRPr="0060384B">
          <w:rPr>
            <w:rFonts w:ascii="Lato" w:hAnsi="Lato"/>
            <w:color w:val="000000" w:themeColor="text1"/>
            <w:sz w:val="24"/>
            <w:szCs w:val="24"/>
          </w:rPr>
          <w:t>Study</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(MARRS)</w:t>
      </w:r>
      <w:r w:rsidRPr="0060384B">
        <w:rPr>
          <w:rFonts w:ascii="Lato" w:hAnsi="Lato"/>
          <w:color w:val="000000" w:themeColor="text1"/>
          <w:sz w:val="24"/>
          <w:szCs w:val="24"/>
        </w:rPr>
        <w:t xml:space="preserve"> </w:t>
      </w:r>
      <w:r w:rsidRPr="0060384B">
        <w:rPr>
          <w:rFonts w:ascii="Lato" w:hAnsi="Lato"/>
          <w:color w:val="000000" w:themeColor="text1"/>
          <w:sz w:val="24"/>
          <w:szCs w:val="24"/>
        </w:rPr>
        <w:t>will first undertake an effort to h</w:t>
      </w:r>
      <w:r w:rsidRPr="0060384B">
        <w:rPr>
          <w:rFonts w:ascii="Lato" w:hAnsi="Lato"/>
          <w:color w:val="000000" w:themeColor="text1"/>
          <w:sz w:val="24"/>
          <w:szCs w:val="24"/>
        </w:rPr>
        <w:t>elp determine whether risk reduction can slow</w:t>
      </w:r>
      <w:r w:rsidRPr="0060384B">
        <w:rPr>
          <w:rFonts w:ascii="Lato" w:hAnsi="Lato"/>
          <w:color w:val="000000" w:themeColor="text1"/>
          <w:sz w:val="24"/>
          <w:szCs w:val="24"/>
        </w:rPr>
        <w:t xml:space="preserve"> </w:t>
      </w:r>
      <w:r w:rsidRPr="0060384B">
        <w:rPr>
          <w:rFonts w:ascii="Lato" w:hAnsi="Lato"/>
          <w:color w:val="000000" w:themeColor="text1"/>
          <w:sz w:val="24"/>
          <w:szCs w:val="24"/>
        </w:rPr>
        <w:t>cognitive decline or prevent Alzheimer</w:t>
      </w:r>
      <w:r w:rsidRPr="0060384B">
        <w:rPr>
          <w:rFonts w:ascii="Lato" w:hAnsi="Lato"/>
          <w:color w:val="000000" w:themeColor="text1"/>
          <w:sz w:val="24"/>
          <w:szCs w:val="24"/>
        </w:rPr>
        <w:t>’s in higher-risk people age 70 and older. The pilot study will randomize higher-risk people within a single health care delivery site to receive either an intervention des</w:t>
      </w:r>
      <w:r w:rsidRPr="0060384B">
        <w:rPr>
          <w:rFonts w:ascii="Lato" w:hAnsi="Lato"/>
          <w:color w:val="000000" w:themeColor="text1"/>
          <w:sz w:val="24"/>
          <w:szCs w:val="24"/>
        </w:rPr>
        <w:t>igned to reduce their Alzheimer</w:t>
      </w:r>
      <w:r w:rsidRPr="0060384B">
        <w:rPr>
          <w:rFonts w:ascii="Lato" w:hAnsi="Lato"/>
          <w:color w:val="000000" w:themeColor="text1"/>
          <w:sz w:val="24"/>
          <w:szCs w:val="24"/>
        </w:rPr>
        <w:t>’s risk factors or health education.</w:t>
      </w:r>
    </w:p>
    <w:p w14:paraId="22F9D862" w14:textId="77777777" w:rsidR="00000000" w:rsidRPr="0060384B" w:rsidRDefault="00CA5F6F">
      <w:pPr>
        <w:spacing w:line="246" w:lineRule="exact"/>
        <w:rPr>
          <w:rFonts w:ascii="Lato" w:eastAsia="Times New Roman" w:hAnsi="Lato"/>
          <w:color w:val="000000" w:themeColor="text1"/>
          <w:sz w:val="24"/>
          <w:szCs w:val="24"/>
        </w:rPr>
      </w:pPr>
    </w:p>
    <w:p w14:paraId="65EEF90C" w14:textId="77777777" w:rsidR="00000000" w:rsidRPr="0060384B" w:rsidRDefault="00CA5F6F">
      <w:pPr>
        <w:spacing w:line="243" w:lineRule="auto"/>
        <w:ind w:right="140"/>
        <w:rPr>
          <w:rFonts w:ascii="Lato" w:hAnsi="Lato"/>
          <w:color w:val="000000" w:themeColor="text1"/>
          <w:sz w:val="24"/>
          <w:szCs w:val="24"/>
        </w:rPr>
      </w:pPr>
      <w:r w:rsidRPr="0060384B">
        <w:rPr>
          <w:rFonts w:ascii="Lato" w:hAnsi="Lato"/>
          <w:color w:val="000000" w:themeColor="text1"/>
          <w:sz w:val="24"/>
          <w:szCs w:val="24"/>
        </w:rPr>
        <w:t>In the MARRS intervention group, researchers will work with participants to develop a personalized action plan to reduce risks, including cardiovascular risk management; smoking cessation</w:t>
      </w:r>
      <w:r w:rsidRPr="0060384B">
        <w:rPr>
          <w:rFonts w:ascii="Lato" w:hAnsi="Lato"/>
          <w:color w:val="000000" w:themeColor="text1"/>
          <w:sz w:val="24"/>
          <w:szCs w:val="24"/>
        </w:rPr>
        <w:t>; physical, mental, and social activity; healthy diet; improved sleep quality; and medication management. The study will compare the 2-year rate of decline in the intervention group and the control group. Researchers will also compare changes in Alzheimer</w:t>
      </w:r>
      <w:r w:rsidRPr="0060384B">
        <w:rPr>
          <w:rFonts w:ascii="Lato" w:hAnsi="Lato"/>
          <w:color w:val="000000" w:themeColor="text1"/>
          <w:sz w:val="24"/>
          <w:szCs w:val="24"/>
        </w:rPr>
        <w:t>’</w:t>
      </w:r>
      <w:r w:rsidRPr="0060384B">
        <w:rPr>
          <w:rFonts w:ascii="Lato" w:hAnsi="Lato"/>
          <w:color w:val="000000" w:themeColor="text1"/>
          <w:sz w:val="24"/>
          <w:szCs w:val="24"/>
        </w:rPr>
        <w:t>s modifiable risk factors and gather preliminary data on the effects of the intervention versus health education on other health-related outcomes. The team will also compare strategies for identifying higher-risk patients for their own and future studies.</w:t>
      </w:r>
    </w:p>
    <w:p w14:paraId="1BD52C36" w14:textId="77777777" w:rsidR="00000000" w:rsidRPr="0060384B" w:rsidRDefault="00CA5F6F">
      <w:pPr>
        <w:spacing w:line="247" w:lineRule="exact"/>
        <w:rPr>
          <w:rFonts w:ascii="Lato" w:eastAsia="Times New Roman" w:hAnsi="Lato"/>
          <w:color w:val="000000" w:themeColor="text1"/>
          <w:sz w:val="24"/>
          <w:szCs w:val="24"/>
        </w:rPr>
      </w:pPr>
    </w:p>
    <w:p w14:paraId="5C0DC7D7" w14:textId="77777777" w:rsidR="00000000" w:rsidRPr="0060384B" w:rsidRDefault="00CA5F6F">
      <w:pPr>
        <w:spacing w:line="243" w:lineRule="auto"/>
        <w:ind w:right="20"/>
        <w:rPr>
          <w:rFonts w:ascii="Lato" w:hAnsi="Lato"/>
          <w:color w:val="000000" w:themeColor="text1"/>
          <w:sz w:val="24"/>
          <w:szCs w:val="24"/>
        </w:rPr>
      </w:pPr>
      <w:r w:rsidRPr="0060384B">
        <w:rPr>
          <w:rFonts w:ascii="Lato" w:hAnsi="Lato"/>
          <w:b/>
          <w:color w:val="000000" w:themeColor="text1"/>
          <w:sz w:val="24"/>
          <w:szCs w:val="24"/>
        </w:rPr>
        <w:t xml:space="preserve">Exercise to prevent dementia. </w:t>
      </w:r>
      <w:r w:rsidRPr="0060384B">
        <w:rPr>
          <w:rFonts w:ascii="Lato" w:hAnsi="Lato"/>
          <w:color w:val="000000" w:themeColor="text1"/>
          <w:sz w:val="24"/>
          <w:szCs w:val="24"/>
        </w:rPr>
        <w:t>In some short-term clinical trials, exercise is associated with</w:t>
      </w:r>
      <w:r w:rsidRPr="0060384B">
        <w:rPr>
          <w:rFonts w:ascii="Lato" w:hAnsi="Lato"/>
          <w:b/>
          <w:color w:val="000000" w:themeColor="text1"/>
          <w:sz w:val="24"/>
          <w:szCs w:val="24"/>
        </w:rPr>
        <w:t xml:space="preserve"> </w:t>
      </w:r>
      <w:r w:rsidRPr="0060384B">
        <w:rPr>
          <w:rFonts w:ascii="Lato" w:hAnsi="Lato"/>
          <w:color w:val="000000" w:themeColor="text1"/>
          <w:sz w:val="24"/>
          <w:szCs w:val="24"/>
        </w:rPr>
        <w:t xml:space="preserve">reduced risk for cognitive decline. The </w:t>
      </w:r>
      <w:hyperlink r:id="rId220" w:history="1">
        <w:r w:rsidRPr="0060384B">
          <w:rPr>
            <w:rFonts w:ascii="Lato" w:hAnsi="Lato"/>
            <w:color w:val="000000" w:themeColor="text1"/>
            <w:sz w:val="24"/>
            <w:szCs w:val="24"/>
          </w:rPr>
          <w:t xml:space="preserve">Exercise in </w:t>
        </w:r>
        <w:r w:rsidRPr="0060384B">
          <w:rPr>
            <w:rFonts w:ascii="Lato" w:hAnsi="Lato"/>
            <w:color w:val="000000" w:themeColor="text1"/>
            <w:sz w:val="24"/>
            <w:szCs w:val="24"/>
          </w:rPr>
          <w:t>Adults with Mild Memory Problems Study</w:t>
        </w:r>
      </w:hyperlink>
      <w:r w:rsidRPr="0060384B">
        <w:rPr>
          <w:rFonts w:ascii="Lato" w:hAnsi="Lato"/>
          <w:color w:val="000000" w:themeColor="text1"/>
          <w:sz w:val="24"/>
          <w:szCs w:val="24"/>
        </w:rPr>
        <w:t xml:space="preserve"> (EXERT) is supported by NIH to test the direct effects of physical exercise on cognition, functional status, brain atrophy, blood flow, and cerebrospinal fluid biomarkers of Alzheimer's disease in adults with a mild </w:t>
      </w:r>
      <w:r w:rsidRPr="0060384B">
        <w:rPr>
          <w:rFonts w:ascii="Lato" w:hAnsi="Lato"/>
          <w:color w:val="000000" w:themeColor="text1"/>
          <w:sz w:val="24"/>
          <w:szCs w:val="24"/>
        </w:rPr>
        <w:t xml:space="preserve">memory impairment. Half of the participants are participating in a stretching-balance-range of motion exercise program, while the other half are participating in a moderate- to high-intensity aerobic training program. </w:t>
      </w:r>
      <w:r w:rsidRPr="0060384B">
        <w:rPr>
          <w:rFonts w:ascii="Lato" w:hAnsi="Lato"/>
          <w:color w:val="000000" w:themeColor="text1"/>
          <w:sz w:val="24"/>
          <w:szCs w:val="24"/>
        </w:rPr>
        <w:t>Participants exercise at participating</w:t>
      </w:r>
      <w:r w:rsidRPr="0060384B">
        <w:rPr>
          <w:rFonts w:ascii="Lato" w:hAnsi="Lato"/>
          <w:color w:val="000000" w:themeColor="text1"/>
          <w:sz w:val="24"/>
          <w:szCs w:val="24"/>
        </w:rPr>
        <w:t xml:space="preserve"> local</w:t>
      </w:r>
      <w:r w:rsidRPr="0060384B">
        <w:rPr>
          <w:rFonts w:ascii="Lato" w:hAnsi="Lato"/>
          <w:color w:val="000000" w:themeColor="text1"/>
          <w:sz w:val="24"/>
          <w:szCs w:val="24"/>
        </w:rPr>
        <w:t xml:space="preserve"> </w:t>
      </w:r>
      <w:r w:rsidRPr="0060384B">
        <w:rPr>
          <w:rFonts w:ascii="Lato" w:hAnsi="Lato"/>
          <w:color w:val="000000" w:themeColor="text1"/>
          <w:sz w:val="24"/>
          <w:szCs w:val="24"/>
        </w:rPr>
        <w:t>YMCAs under the partial supervision of a personal trainer for the first year, then complete their assigned exercise program unsupervised for the final 6 months.</w:t>
      </w:r>
    </w:p>
    <w:p w14:paraId="17B8741A" w14:textId="77777777" w:rsidR="00000000" w:rsidRPr="0060384B" w:rsidRDefault="00CA5F6F">
      <w:pPr>
        <w:spacing w:line="249" w:lineRule="exact"/>
        <w:rPr>
          <w:rFonts w:ascii="Lato" w:eastAsia="Times New Roman" w:hAnsi="Lato"/>
          <w:color w:val="000000" w:themeColor="text1"/>
          <w:sz w:val="24"/>
          <w:szCs w:val="24"/>
        </w:rPr>
      </w:pPr>
    </w:p>
    <w:p w14:paraId="1A4AB9A0" w14:textId="77777777" w:rsidR="00000000" w:rsidRPr="0060384B" w:rsidRDefault="00CA5F6F">
      <w:pPr>
        <w:spacing w:line="256" w:lineRule="auto"/>
        <w:ind w:right="60"/>
        <w:rPr>
          <w:rFonts w:ascii="Lato" w:hAnsi="Lato"/>
          <w:color w:val="000000" w:themeColor="text1"/>
          <w:sz w:val="24"/>
          <w:szCs w:val="24"/>
        </w:rPr>
      </w:pPr>
      <w:r w:rsidRPr="0060384B">
        <w:rPr>
          <w:rFonts w:ascii="Lato" w:hAnsi="Lato"/>
          <w:b/>
          <w:color w:val="000000" w:themeColor="text1"/>
          <w:sz w:val="24"/>
          <w:szCs w:val="24"/>
        </w:rPr>
        <w:t>Cognitive training to prevent Alzheimer</w:t>
      </w:r>
      <w:r w:rsidRPr="0060384B">
        <w:rPr>
          <w:rFonts w:ascii="Lato" w:hAnsi="Lato"/>
          <w:b/>
          <w:color w:val="000000" w:themeColor="text1"/>
          <w:sz w:val="24"/>
          <w:szCs w:val="24"/>
        </w:rPr>
        <w:t xml:space="preserve">’s. </w:t>
      </w:r>
      <w:r w:rsidRPr="0060384B">
        <w:rPr>
          <w:rFonts w:ascii="Lato" w:hAnsi="Lato"/>
          <w:color w:val="000000" w:themeColor="text1"/>
          <w:sz w:val="24"/>
          <w:szCs w:val="24"/>
        </w:rPr>
        <w:t xml:space="preserve">NIH is interested in continuing research on </w:t>
      </w:r>
      <w:r w:rsidRPr="0060384B">
        <w:rPr>
          <w:rFonts w:ascii="Lato" w:hAnsi="Lato"/>
          <w:color w:val="000000" w:themeColor="text1"/>
          <w:sz w:val="24"/>
          <w:szCs w:val="24"/>
        </w:rPr>
        <w:t>cognitive</w:t>
      </w:r>
      <w:r w:rsidRPr="0060384B">
        <w:rPr>
          <w:rFonts w:ascii="Lato" w:hAnsi="Lato"/>
          <w:b/>
          <w:color w:val="000000" w:themeColor="text1"/>
          <w:sz w:val="24"/>
          <w:szCs w:val="24"/>
        </w:rPr>
        <w:t xml:space="preserve"> </w:t>
      </w:r>
      <w:r w:rsidRPr="0060384B">
        <w:rPr>
          <w:rFonts w:ascii="Lato" w:hAnsi="Lato"/>
          <w:color w:val="000000" w:themeColor="text1"/>
          <w:sz w:val="24"/>
          <w:szCs w:val="24"/>
        </w:rPr>
        <w:t xml:space="preserve">training as one way to maintain cognitive function with age. That effort continues with funding in 2018 of the proposed </w:t>
      </w:r>
      <w:hyperlink r:id="rId221" w:history="1">
        <w:r w:rsidRPr="0060384B">
          <w:rPr>
            <w:rFonts w:ascii="Lato" w:hAnsi="Lato"/>
            <w:color w:val="000000" w:themeColor="text1"/>
            <w:sz w:val="24"/>
            <w:szCs w:val="24"/>
          </w:rPr>
          <w:t>Preventing Alzheimer</w:t>
        </w:r>
        <w:r w:rsidRPr="0060384B">
          <w:rPr>
            <w:rFonts w:ascii="Lato" w:hAnsi="Lato"/>
            <w:color w:val="000000" w:themeColor="text1"/>
            <w:sz w:val="24"/>
            <w:szCs w:val="24"/>
          </w:rPr>
          <w:t>’s D</w:t>
        </w:r>
        <w:r w:rsidRPr="0060384B">
          <w:rPr>
            <w:rFonts w:ascii="Lato" w:hAnsi="Lato"/>
            <w:color w:val="000000" w:themeColor="text1"/>
            <w:sz w:val="24"/>
            <w:szCs w:val="24"/>
          </w:rPr>
          <w:t>isease with Cognitive Training (PACT) Trial</w:t>
        </w:r>
        <w:r w:rsidRPr="0060384B">
          <w:rPr>
            <w:rFonts w:ascii="Lato" w:hAnsi="Lato"/>
            <w:color w:val="000000" w:themeColor="text1"/>
            <w:sz w:val="24"/>
            <w:szCs w:val="24"/>
          </w:rPr>
          <w:t>,</w:t>
        </w:r>
      </w:hyperlink>
      <w:r w:rsidRPr="0060384B">
        <w:rPr>
          <w:rFonts w:ascii="Lato" w:hAnsi="Lato"/>
          <w:color w:val="000000" w:themeColor="text1"/>
          <w:sz w:val="24"/>
          <w:szCs w:val="24"/>
        </w:rPr>
        <w:t xml:space="preserve"> designed to determine the efficacy of computerized cognitive training to reduce the incidence of MCI and dementia. Findings from the NIH-supported Advanced Cognitive Training for Independent and Vital Elderly (</w:t>
      </w:r>
      <w:r w:rsidRPr="0060384B">
        <w:rPr>
          <w:rFonts w:ascii="Lato" w:hAnsi="Lato"/>
          <w:color w:val="000000" w:themeColor="text1"/>
          <w:sz w:val="24"/>
          <w:szCs w:val="24"/>
        </w:rPr>
        <w:t xml:space="preserve">ACTIVE) trial </w:t>
      </w:r>
      <w:r w:rsidRPr="0060384B">
        <w:rPr>
          <w:rFonts w:ascii="Lato" w:hAnsi="Lato"/>
          <w:color w:val="000000" w:themeColor="text1"/>
          <w:sz w:val="24"/>
          <w:szCs w:val="24"/>
        </w:rPr>
        <w:lastRenderedPageBreak/>
        <w:t>demonstrated that computerized speed-of-processing training (SPT) improved cognition, and that benefits transferred to instrumental</w:t>
      </w:r>
    </w:p>
    <w:p w14:paraId="3FC00119" w14:textId="77777777" w:rsidR="00000000" w:rsidRPr="0060384B" w:rsidRDefault="00CA5F6F">
      <w:pPr>
        <w:spacing w:line="256" w:lineRule="auto"/>
        <w:ind w:right="6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43F6EAFB" w14:textId="77777777" w:rsidR="00000000" w:rsidRPr="0060384B" w:rsidRDefault="00CA5F6F">
      <w:pPr>
        <w:spacing w:line="317"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7A1EABAD" w14:textId="77777777">
        <w:trPr>
          <w:trHeight w:val="245"/>
        </w:trPr>
        <w:tc>
          <w:tcPr>
            <w:tcW w:w="6540" w:type="dxa"/>
            <w:shd w:val="clear" w:color="auto" w:fill="auto"/>
            <w:vAlign w:val="bottom"/>
          </w:tcPr>
          <w:p w14:paraId="72A18349"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39367B22"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60</w:t>
            </w:r>
          </w:p>
        </w:tc>
      </w:tr>
      <w:tr w:rsidR="00000000" w:rsidRPr="0060384B" w14:paraId="1BD945B0" w14:textId="77777777">
        <w:trPr>
          <w:trHeight w:val="258"/>
        </w:trPr>
        <w:tc>
          <w:tcPr>
            <w:tcW w:w="6540" w:type="dxa"/>
            <w:shd w:val="clear" w:color="auto" w:fill="auto"/>
            <w:vAlign w:val="bottom"/>
          </w:tcPr>
          <w:p w14:paraId="05AD145F"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5BF33230" w14:textId="77777777" w:rsidR="00000000" w:rsidRPr="0060384B" w:rsidRDefault="00CA5F6F">
            <w:pPr>
              <w:spacing w:line="0" w:lineRule="atLeast"/>
              <w:rPr>
                <w:rFonts w:ascii="Lato" w:eastAsia="Times New Roman" w:hAnsi="Lato"/>
                <w:color w:val="000000" w:themeColor="text1"/>
                <w:sz w:val="24"/>
                <w:szCs w:val="24"/>
              </w:rPr>
            </w:pPr>
          </w:p>
        </w:tc>
      </w:tr>
    </w:tbl>
    <w:p w14:paraId="79533A24"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08EA62AE" w14:textId="77777777" w:rsidR="00000000" w:rsidRPr="0060384B" w:rsidRDefault="00CA5F6F">
      <w:pPr>
        <w:spacing w:line="262" w:lineRule="auto"/>
        <w:ind w:right="100"/>
        <w:rPr>
          <w:rFonts w:ascii="Lato" w:hAnsi="Lato"/>
          <w:color w:val="000000" w:themeColor="text1"/>
          <w:sz w:val="24"/>
          <w:szCs w:val="24"/>
        </w:rPr>
      </w:pPr>
      <w:bookmarkStart w:id="63" w:name="page64"/>
      <w:bookmarkEnd w:id="63"/>
      <w:r w:rsidRPr="0060384B">
        <w:rPr>
          <w:rFonts w:ascii="Lato" w:hAnsi="Lato"/>
          <w:color w:val="000000" w:themeColor="text1"/>
          <w:sz w:val="24"/>
          <w:szCs w:val="24"/>
        </w:rPr>
        <w:lastRenderedPageBreak/>
        <w:t>activities of daily living. An un</w:t>
      </w:r>
      <w:r w:rsidRPr="0060384B">
        <w:rPr>
          <w:rFonts w:ascii="Lato" w:hAnsi="Lato"/>
          <w:color w:val="000000" w:themeColor="text1"/>
          <w:sz w:val="24"/>
          <w:szCs w:val="24"/>
        </w:rPr>
        <w:t>answered question is whether SPT can decrease incidence of MCI or dementia, as the ACTIVE trial and follow-up did not include clinical measures of dementia.</w:t>
      </w:r>
    </w:p>
    <w:p w14:paraId="22D85A65" w14:textId="77777777" w:rsidR="00000000" w:rsidRPr="0060384B" w:rsidRDefault="00CA5F6F">
      <w:pPr>
        <w:spacing w:line="227" w:lineRule="exact"/>
        <w:rPr>
          <w:rFonts w:ascii="Lato" w:eastAsia="Times New Roman" w:hAnsi="Lato"/>
          <w:color w:val="000000" w:themeColor="text1"/>
          <w:sz w:val="24"/>
          <w:szCs w:val="24"/>
        </w:rPr>
      </w:pPr>
    </w:p>
    <w:p w14:paraId="61109C79" w14:textId="77777777" w:rsidR="00000000" w:rsidRPr="0060384B" w:rsidRDefault="00CA5F6F">
      <w:pPr>
        <w:spacing w:line="244" w:lineRule="auto"/>
        <w:ind w:right="100"/>
        <w:rPr>
          <w:rFonts w:ascii="Lato" w:hAnsi="Lato"/>
          <w:color w:val="000000" w:themeColor="text1"/>
          <w:sz w:val="24"/>
          <w:szCs w:val="24"/>
        </w:rPr>
      </w:pPr>
      <w:r w:rsidRPr="0060384B">
        <w:rPr>
          <w:rFonts w:ascii="Lato" w:hAnsi="Lato"/>
          <w:color w:val="000000" w:themeColor="text1"/>
          <w:sz w:val="24"/>
          <w:szCs w:val="24"/>
        </w:rPr>
        <w:t>The 7-year PACT Trial will try to answer those questions. A large population of cognitively normal</w:t>
      </w:r>
      <w:r w:rsidRPr="0060384B">
        <w:rPr>
          <w:rFonts w:ascii="Lato" w:hAnsi="Lato"/>
          <w:color w:val="000000" w:themeColor="text1"/>
          <w:sz w:val="24"/>
          <w:szCs w:val="24"/>
        </w:rPr>
        <w:t xml:space="preserve"> older adults will be randomized to SPT or an active control group receiving cognitive stimulation (computer games). Progression to MCI or dementia will be clinically assessed over time. Genetic data and information from amyloid positron emission tomograph</w:t>
      </w:r>
      <w:r w:rsidRPr="0060384B">
        <w:rPr>
          <w:rFonts w:ascii="Lato" w:hAnsi="Lato"/>
          <w:color w:val="000000" w:themeColor="text1"/>
          <w:sz w:val="24"/>
          <w:szCs w:val="24"/>
        </w:rPr>
        <w:t>y scans will also be part of the study, and the team will try to quantify the effects of SPT on subsequent health care costs and utilization.</w:t>
      </w:r>
    </w:p>
    <w:p w14:paraId="554FA83F" w14:textId="77777777" w:rsidR="00000000" w:rsidRPr="0060384B" w:rsidRDefault="00CA5F6F">
      <w:pPr>
        <w:spacing w:line="247" w:lineRule="exact"/>
        <w:rPr>
          <w:rFonts w:ascii="Lato" w:eastAsia="Times New Roman" w:hAnsi="Lato"/>
          <w:color w:val="000000" w:themeColor="text1"/>
          <w:sz w:val="24"/>
          <w:szCs w:val="24"/>
        </w:rPr>
      </w:pPr>
    </w:p>
    <w:p w14:paraId="6BF64E01" w14:textId="77777777" w:rsidR="00000000" w:rsidRPr="0060384B" w:rsidRDefault="00CA5F6F">
      <w:pPr>
        <w:spacing w:line="244" w:lineRule="auto"/>
        <w:ind w:right="180"/>
        <w:rPr>
          <w:rFonts w:ascii="Lato" w:hAnsi="Lato"/>
          <w:color w:val="000000" w:themeColor="text1"/>
          <w:sz w:val="24"/>
          <w:szCs w:val="24"/>
        </w:rPr>
      </w:pPr>
      <w:r w:rsidRPr="0060384B">
        <w:rPr>
          <w:rFonts w:ascii="Lato" w:hAnsi="Lato"/>
          <w:b/>
          <w:color w:val="000000" w:themeColor="text1"/>
          <w:sz w:val="24"/>
          <w:szCs w:val="24"/>
        </w:rPr>
        <w:t xml:space="preserve">Strategic training for attention, working memory. </w:t>
      </w:r>
      <w:r w:rsidRPr="0060384B">
        <w:rPr>
          <w:rFonts w:ascii="Lato" w:hAnsi="Lato"/>
          <w:color w:val="000000" w:themeColor="text1"/>
          <w:sz w:val="24"/>
          <w:szCs w:val="24"/>
        </w:rPr>
        <w:t>Developing and refining new intervention</w:t>
      </w:r>
      <w:r w:rsidRPr="0060384B">
        <w:rPr>
          <w:rFonts w:ascii="Lato" w:hAnsi="Lato"/>
          <w:b/>
          <w:color w:val="000000" w:themeColor="text1"/>
          <w:sz w:val="24"/>
          <w:szCs w:val="24"/>
        </w:rPr>
        <w:t xml:space="preserve"> </w:t>
      </w:r>
      <w:r w:rsidRPr="0060384B">
        <w:rPr>
          <w:rFonts w:ascii="Lato" w:hAnsi="Lato"/>
          <w:color w:val="000000" w:themeColor="text1"/>
          <w:sz w:val="24"/>
          <w:szCs w:val="24"/>
        </w:rPr>
        <w:t>strategies for Alzheim</w:t>
      </w:r>
      <w:r w:rsidRPr="0060384B">
        <w:rPr>
          <w:rFonts w:ascii="Lato" w:hAnsi="Lato"/>
          <w:color w:val="000000" w:themeColor="text1"/>
          <w:sz w:val="24"/>
          <w:szCs w:val="24"/>
        </w:rPr>
        <w:t>er</w:t>
      </w:r>
      <w:r w:rsidRPr="0060384B">
        <w:rPr>
          <w:rFonts w:ascii="Lato" w:hAnsi="Lato"/>
          <w:color w:val="000000" w:themeColor="text1"/>
          <w:sz w:val="24"/>
          <w:szCs w:val="24"/>
        </w:rPr>
        <w:t xml:space="preserve">’s disease remains a focus for NIA. </w:t>
      </w:r>
      <w:hyperlink r:id="rId222" w:history="1">
        <w:r w:rsidRPr="0060384B">
          <w:rPr>
            <w:rFonts w:ascii="Lato" w:hAnsi="Lato"/>
            <w:color w:val="000000" w:themeColor="text1"/>
            <w:sz w:val="24"/>
            <w:szCs w:val="24"/>
          </w:rPr>
          <w:t>This award</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will allow researchers to collect additional preliminary data on the effects of a specially designed, si</w:t>
      </w:r>
      <w:r w:rsidRPr="0060384B">
        <w:rPr>
          <w:rFonts w:ascii="Lato" w:hAnsi="Lato"/>
          <w:color w:val="000000" w:themeColor="text1"/>
          <w:sz w:val="24"/>
          <w:szCs w:val="24"/>
        </w:rPr>
        <w:t>mulated computer game designed to enhance the ability of at-risk older adults to respond to the kinds of unpredictable events that present significant challenges in daily life. The team anticipates that this kind of training could also improve cognition in</w:t>
      </w:r>
      <w:r w:rsidRPr="0060384B">
        <w:rPr>
          <w:rFonts w:ascii="Lato" w:hAnsi="Lato"/>
          <w:color w:val="000000" w:themeColor="text1"/>
          <w:sz w:val="24"/>
          <w:szCs w:val="24"/>
        </w:rPr>
        <w:t xml:space="preserve"> older adults and have a positive impact on brain structures that often decline with aging.</w:t>
      </w:r>
    </w:p>
    <w:p w14:paraId="631B6363" w14:textId="77777777" w:rsidR="00000000" w:rsidRPr="0060384B" w:rsidRDefault="00CA5F6F">
      <w:pPr>
        <w:spacing w:line="249" w:lineRule="exact"/>
        <w:rPr>
          <w:rFonts w:ascii="Lato" w:eastAsia="Times New Roman" w:hAnsi="Lato"/>
          <w:color w:val="000000" w:themeColor="text1"/>
          <w:sz w:val="24"/>
          <w:szCs w:val="24"/>
        </w:rPr>
      </w:pPr>
    </w:p>
    <w:p w14:paraId="2CC0C3E1" w14:textId="77777777" w:rsidR="00000000" w:rsidRPr="0060384B" w:rsidRDefault="00CA5F6F">
      <w:pPr>
        <w:spacing w:line="251" w:lineRule="auto"/>
        <w:ind w:right="1000"/>
        <w:rPr>
          <w:rFonts w:ascii="Lato" w:hAnsi="Lato"/>
          <w:color w:val="000000" w:themeColor="text1"/>
          <w:sz w:val="24"/>
          <w:szCs w:val="24"/>
        </w:rPr>
      </w:pPr>
      <w:r w:rsidRPr="0060384B">
        <w:rPr>
          <w:rFonts w:ascii="Lato" w:hAnsi="Lato"/>
          <w:color w:val="000000" w:themeColor="text1"/>
          <w:sz w:val="24"/>
          <w:szCs w:val="24"/>
        </w:rPr>
        <w:t xml:space="preserve">Learn more about research implementation milestones and progress in this area at </w:t>
      </w:r>
      <w:hyperlink r:id="rId223" w:history="1">
        <w:r w:rsidRPr="0060384B">
          <w:rPr>
            <w:rFonts w:ascii="Lato" w:hAnsi="Lato"/>
            <w:color w:val="000000" w:themeColor="text1"/>
            <w:sz w:val="24"/>
            <w:szCs w:val="24"/>
          </w:rPr>
          <w:t>www.nia.nih.gov/research/milestones/focus-area/translational-clinical-research-non-</w:t>
        </w:r>
      </w:hyperlink>
      <w:hyperlink r:id="rId224" w:history="1">
        <w:r w:rsidRPr="0060384B">
          <w:rPr>
            <w:rFonts w:ascii="Lato" w:hAnsi="Lato"/>
            <w:color w:val="000000" w:themeColor="text1"/>
            <w:sz w:val="24"/>
            <w:szCs w:val="24"/>
          </w:rPr>
          <w:t>pharmacologi</w:t>
        </w:r>
        <w:r w:rsidRPr="0060384B">
          <w:rPr>
            <w:rFonts w:ascii="Lato" w:hAnsi="Lato"/>
            <w:color w:val="000000" w:themeColor="text1"/>
            <w:sz w:val="24"/>
            <w:szCs w:val="24"/>
          </w:rPr>
          <w:t>cal</w:t>
        </w:r>
        <w:r w:rsidRPr="0060384B">
          <w:rPr>
            <w:rFonts w:ascii="Lato" w:hAnsi="Lato"/>
            <w:color w:val="000000" w:themeColor="text1"/>
            <w:sz w:val="24"/>
            <w:szCs w:val="24"/>
          </w:rPr>
          <w:t>.</w:t>
        </w:r>
      </w:hyperlink>
    </w:p>
    <w:p w14:paraId="7A274C53" w14:textId="77777777" w:rsidR="00000000" w:rsidRPr="0060384B" w:rsidRDefault="00CA5F6F">
      <w:pPr>
        <w:spacing w:line="251" w:lineRule="auto"/>
        <w:ind w:right="100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50A81831" w14:textId="77777777" w:rsidR="00000000" w:rsidRPr="0060384B" w:rsidRDefault="00CA5F6F">
      <w:pPr>
        <w:spacing w:line="200" w:lineRule="exact"/>
        <w:rPr>
          <w:rFonts w:ascii="Lato" w:eastAsia="Times New Roman" w:hAnsi="Lato"/>
          <w:color w:val="000000" w:themeColor="text1"/>
          <w:sz w:val="24"/>
          <w:szCs w:val="24"/>
        </w:rPr>
      </w:pPr>
    </w:p>
    <w:p w14:paraId="5BB4FC5F" w14:textId="77777777" w:rsidR="00000000" w:rsidRPr="0060384B" w:rsidRDefault="00CA5F6F">
      <w:pPr>
        <w:spacing w:line="200" w:lineRule="exact"/>
        <w:rPr>
          <w:rFonts w:ascii="Lato" w:eastAsia="Times New Roman" w:hAnsi="Lato"/>
          <w:color w:val="000000" w:themeColor="text1"/>
          <w:sz w:val="24"/>
          <w:szCs w:val="24"/>
        </w:rPr>
      </w:pPr>
    </w:p>
    <w:p w14:paraId="4942A9EB" w14:textId="77777777" w:rsidR="00000000" w:rsidRPr="0060384B" w:rsidRDefault="00CA5F6F">
      <w:pPr>
        <w:spacing w:line="200" w:lineRule="exact"/>
        <w:rPr>
          <w:rFonts w:ascii="Lato" w:eastAsia="Times New Roman" w:hAnsi="Lato"/>
          <w:color w:val="000000" w:themeColor="text1"/>
          <w:sz w:val="24"/>
          <w:szCs w:val="24"/>
        </w:rPr>
      </w:pPr>
    </w:p>
    <w:p w14:paraId="1D7D7B4F" w14:textId="77777777" w:rsidR="00000000" w:rsidRPr="0060384B" w:rsidRDefault="00CA5F6F">
      <w:pPr>
        <w:spacing w:line="200" w:lineRule="exact"/>
        <w:rPr>
          <w:rFonts w:ascii="Lato" w:eastAsia="Times New Roman" w:hAnsi="Lato"/>
          <w:color w:val="000000" w:themeColor="text1"/>
          <w:sz w:val="24"/>
          <w:szCs w:val="24"/>
        </w:rPr>
      </w:pPr>
    </w:p>
    <w:p w14:paraId="71F03E7E" w14:textId="77777777" w:rsidR="00000000" w:rsidRPr="0060384B" w:rsidRDefault="00CA5F6F">
      <w:pPr>
        <w:spacing w:line="200" w:lineRule="exact"/>
        <w:rPr>
          <w:rFonts w:ascii="Lato" w:eastAsia="Times New Roman" w:hAnsi="Lato"/>
          <w:color w:val="000000" w:themeColor="text1"/>
          <w:sz w:val="24"/>
          <w:szCs w:val="24"/>
        </w:rPr>
      </w:pPr>
    </w:p>
    <w:p w14:paraId="289A5BD7" w14:textId="77777777" w:rsidR="00000000" w:rsidRPr="0060384B" w:rsidRDefault="00CA5F6F">
      <w:pPr>
        <w:spacing w:line="200" w:lineRule="exact"/>
        <w:rPr>
          <w:rFonts w:ascii="Lato" w:eastAsia="Times New Roman" w:hAnsi="Lato"/>
          <w:color w:val="000000" w:themeColor="text1"/>
          <w:sz w:val="24"/>
          <w:szCs w:val="24"/>
        </w:rPr>
      </w:pPr>
    </w:p>
    <w:p w14:paraId="44C20885" w14:textId="77777777" w:rsidR="00000000" w:rsidRPr="0060384B" w:rsidRDefault="00CA5F6F">
      <w:pPr>
        <w:spacing w:line="200" w:lineRule="exact"/>
        <w:rPr>
          <w:rFonts w:ascii="Lato" w:eastAsia="Times New Roman" w:hAnsi="Lato"/>
          <w:color w:val="000000" w:themeColor="text1"/>
          <w:sz w:val="24"/>
          <w:szCs w:val="24"/>
        </w:rPr>
      </w:pPr>
    </w:p>
    <w:p w14:paraId="62CD9FBF" w14:textId="77777777" w:rsidR="00000000" w:rsidRPr="0060384B" w:rsidRDefault="00CA5F6F">
      <w:pPr>
        <w:spacing w:line="200" w:lineRule="exact"/>
        <w:rPr>
          <w:rFonts w:ascii="Lato" w:eastAsia="Times New Roman" w:hAnsi="Lato"/>
          <w:color w:val="000000" w:themeColor="text1"/>
          <w:sz w:val="24"/>
          <w:szCs w:val="24"/>
        </w:rPr>
      </w:pPr>
    </w:p>
    <w:p w14:paraId="05763C88" w14:textId="77777777" w:rsidR="00000000" w:rsidRPr="0060384B" w:rsidRDefault="00CA5F6F">
      <w:pPr>
        <w:spacing w:line="200" w:lineRule="exact"/>
        <w:rPr>
          <w:rFonts w:ascii="Lato" w:eastAsia="Times New Roman" w:hAnsi="Lato"/>
          <w:color w:val="000000" w:themeColor="text1"/>
          <w:sz w:val="24"/>
          <w:szCs w:val="24"/>
        </w:rPr>
      </w:pPr>
    </w:p>
    <w:p w14:paraId="23FCCE3A" w14:textId="77777777" w:rsidR="00000000" w:rsidRPr="0060384B" w:rsidRDefault="00CA5F6F">
      <w:pPr>
        <w:spacing w:line="200" w:lineRule="exact"/>
        <w:rPr>
          <w:rFonts w:ascii="Lato" w:eastAsia="Times New Roman" w:hAnsi="Lato"/>
          <w:color w:val="000000" w:themeColor="text1"/>
          <w:sz w:val="24"/>
          <w:szCs w:val="24"/>
        </w:rPr>
      </w:pPr>
    </w:p>
    <w:p w14:paraId="34804FFA" w14:textId="77777777" w:rsidR="00000000" w:rsidRPr="0060384B" w:rsidRDefault="00CA5F6F">
      <w:pPr>
        <w:spacing w:line="200" w:lineRule="exact"/>
        <w:rPr>
          <w:rFonts w:ascii="Lato" w:eastAsia="Times New Roman" w:hAnsi="Lato"/>
          <w:color w:val="000000" w:themeColor="text1"/>
          <w:sz w:val="24"/>
          <w:szCs w:val="24"/>
        </w:rPr>
      </w:pPr>
    </w:p>
    <w:p w14:paraId="3988F98B" w14:textId="77777777" w:rsidR="00000000" w:rsidRPr="0060384B" w:rsidRDefault="00CA5F6F">
      <w:pPr>
        <w:spacing w:line="200" w:lineRule="exact"/>
        <w:rPr>
          <w:rFonts w:ascii="Lato" w:eastAsia="Times New Roman" w:hAnsi="Lato"/>
          <w:color w:val="000000" w:themeColor="text1"/>
          <w:sz w:val="24"/>
          <w:szCs w:val="24"/>
        </w:rPr>
      </w:pPr>
    </w:p>
    <w:p w14:paraId="56DA2D86" w14:textId="77777777" w:rsidR="00000000" w:rsidRPr="0060384B" w:rsidRDefault="00CA5F6F">
      <w:pPr>
        <w:spacing w:line="200" w:lineRule="exact"/>
        <w:rPr>
          <w:rFonts w:ascii="Lato" w:eastAsia="Times New Roman" w:hAnsi="Lato"/>
          <w:color w:val="000000" w:themeColor="text1"/>
          <w:sz w:val="24"/>
          <w:szCs w:val="24"/>
        </w:rPr>
      </w:pPr>
    </w:p>
    <w:p w14:paraId="0B115A54" w14:textId="77777777" w:rsidR="00000000" w:rsidRPr="0060384B" w:rsidRDefault="00CA5F6F">
      <w:pPr>
        <w:spacing w:line="200" w:lineRule="exact"/>
        <w:rPr>
          <w:rFonts w:ascii="Lato" w:eastAsia="Times New Roman" w:hAnsi="Lato"/>
          <w:color w:val="000000" w:themeColor="text1"/>
          <w:sz w:val="24"/>
          <w:szCs w:val="24"/>
        </w:rPr>
      </w:pPr>
    </w:p>
    <w:p w14:paraId="33C30A87" w14:textId="77777777" w:rsidR="00000000" w:rsidRPr="0060384B" w:rsidRDefault="00CA5F6F">
      <w:pPr>
        <w:spacing w:line="200" w:lineRule="exact"/>
        <w:rPr>
          <w:rFonts w:ascii="Lato" w:eastAsia="Times New Roman" w:hAnsi="Lato"/>
          <w:color w:val="000000" w:themeColor="text1"/>
          <w:sz w:val="24"/>
          <w:szCs w:val="24"/>
        </w:rPr>
      </w:pPr>
    </w:p>
    <w:p w14:paraId="5C77B7DB" w14:textId="77777777" w:rsidR="00000000" w:rsidRPr="0060384B" w:rsidRDefault="00CA5F6F">
      <w:pPr>
        <w:spacing w:line="200" w:lineRule="exact"/>
        <w:rPr>
          <w:rFonts w:ascii="Lato" w:eastAsia="Times New Roman" w:hAnsi="Lato"/>
          <w:color w:val="000000" w:themeColor="text1"/>
          <w:sz w:val="24"/>
          <w:szCs w:val="24"/>
        </w:rPr>
      </w:pPr>
    </w:p>
    <w:p w14:paraId="77D52C17" w14:textId="77777777" w:rsidR="00000000" w:rsidRPr="0060384B" w:rsidRDefault="00CA5F6F">
      <w:pPr>
        <w:spacing w:line="200" w:lineRule="exact"/>
        <w:rPr>
          <w:rFonts w:ascii="Lato" w:eastAsia="Times New Roman" w:hAnsi="Lato"/>
          <w:color w:val="000000" w:themeColor="text1"/>
          <w:sz w:val="24"/>
          <w:szCs w:val="24"/>
        </w:rPr>
      </w:pPr>
    </w:p>
    <w:p w14:paraId="48095EE6" w14:textId="77777777" w:rsidR="00000000" w:rsidRPr="0060384B" w:rsidRDefault="00CA5F6F">
      <w:pPr>
        <w:spacing w:line="200" w:lineRule="exact"/>
        <w:rPr>
          <w:rFonts w:ascii="Lato" w:eastAsia="Times New Roman" w:hAnsi="Lato"/>
          <w:color w:val="000000" w:themeColor="text1"/>
          <w:sz w:val="24"/>
          <w:szCs w:val="24"/>
        </w:rPr>
      </w:pPr>
    </w:p>
    <w:p w14:paraId="2A8A70CD" w14:textId="77777777" w:rsidR="00000000" w:rsidRPr="0060384B" w:rsidRDefault="00CA5F6F">
      <w:pPr>
        <w:spacing w:line="200" w:lineRule="exact"/>
        <w:rPr>
          <w:rFonts w:ascii="Lato" w:eastAsia="Times New Roman" w:hAnsi="Lato"/>
          <w:color w:val="000000" w:themeColor="text1"/>
          <w:sz w:val="24"/>
          <w:szCs w:val="24"/>
        </w:rPr>
      </w:pPr>
    </w:p>
    <w:p w14:paraId="1C163ABF" w14:textId="77777777" w:rsidR="00000000" w:rsidRPr="0060384B" w:rsidRDefault="00CA5F6F">
      <w:pPr>
        <w:spacing w:line="200" w:lineRule="exact"/>
        <w:rPr>
          <w:rFonts w:ascii="Lato" w:eastAsia="Times New Roman" w:hAnsi="Lato"/>
          <w:color w:val="000000" w:themeColor="text1"/>
          <w:sz w:val="24"/>
          <w:szCs w:val="24"/>
        </w:rPr>
      </w:pPr>
    </w:p>
    <w:p w14:paraId="1BD875CC" w14:textId="77777777" w:rsidR="00000000" w:rsidRPr="0060384B" w:rsidRDefault="00CA5F6F">
      <w:pPr>
        <w:spacing w:line="200" w:lineRule="exact"/>
        <w:rPr>
          <w:rFonts w:ascii="Lato" w:eastAsia="Times New Roman" w:hAnsi="Lato"/>
          <w:color w:val="000000" w:themeColor="text1"/>
          <w:sz w:val="24"/>
          <w:szCs w:val="24"/>
        </w:rPr>
      </w:pPr>
    </w:p>
    <w:p w14:paraId="5A2BE6BA" w14:textId="77777777" w:rsidR="00000000" w:rsidRPr="0060384B" w:rsidRDefault="00CA5F6F">
      <w:pPr>
        <w:spacing w:line="200" w:lineRule="exact"/>
        <w:rPr>
          <w:rFonts w:ascii="Lato" w:eastAsia="Times New Roman" w:hAnsi="Lato"/>
          <w:color w:val="000000" w:themeColor="text1"/>
          <w:sz w:val="24"/>
          <w:szCs w:val="24"/>
        </w:rPr>
      </w:pPr>
    </w:p>
    <w:p w14:paraId="613F62AE" w14:textId="77777777" w:rsidR="00000000" w:rsidRPr="0060384B" w:rsidRDefault="00CA5F6F">
      <w:pPr>
        <w:spacing w:line="200" w:lineRule="exact"/>
        <w:rPr>
          <w:rFonts w:ascii="Lato" w:eastAsia="Times New Roman" w:hAnsi="Lato"/>
          <w:color w:val="000000" w:themeColor="text1"/>
          <w:sz w:val="24"/>
          <w:szCs w:val="24"/>
        </w:rPr>
      </w:pPr>
    </w:p>
    <w:p w14:paraId="57B9A9BE" w14:textId="77777777" w:rsidR="00000000" w:rsidRPr="0060384B" w:rsidRDefault="00CA5F6F">
      <w:pPr>
        <w:spacing w:line="200" w:lineRule="exact"/>
        <w:rPr>
          <w:rFonts w:ascii="Lato" w:eastAsia="Times New Roman" w:hAnsi="Lato"/>
          <w:color w:val="000000" w:themeColor="text1"/>
          <w:sz w:val="24"/>
          <w:szCs w:val="24"/>
        </w:rPr>
      </w:pPr>
    </w:p>
    <w:p w14:paraId="08B1B385" w14:textId="77777777" w:rsidR="00000000" w:rsidRPr="0060384B" w:rsidRDefault="00CA5F6F">
      <w:pPr>
        <w:spacing w:line="200" w:lineRule="exact"/>
        <w:rPr>
          <w:rFonts w:ascii="Lato" w:eastAsia="Times New Roman" w:hAnsi="Lato"/>
          <w:color w:val="000000" w:themeColor="text1"/>
          <w:sz w:val="24"/>
          <w:szCs w:val="24"/>
        </w:rPr>
      </w:pPr>
    </w:p>
    <w:p w14:paraId="2440B276" w14:textId="77777777" w:rsidR="00000000" w:rsidRPr="0060384B" w:rsidRDefault="00CA5F6F">
      <w:pPr>
        <w:spacing w:line="200" w:lineRule="exact"/>
        <w:rPr>
          <w:rFonts w:ascii="Lato" w:eastAsia="Times New Roman" w:hAnsi="Lato"/>
          <w:color w:val="000000" w:themeColor="text1"/>
          <w:sz w:val="24"/>
          <w:szCs w:val="24"/>
        </w:rPr>
      </w:pPr>
    </w:p>
    <w:p w14:paraId="610B14BC" w14:textId="77777777" w:rsidR="00000000" w:rsidRPr="0060384B" w:rsidRDefault="00CA5F6F">
      <w:pPr>
        <w:spacing w:line="200" w:lineRule="exact"/>
        <w:rPr>
          <w:rFonts w:ascii="Lato" w:eastAsia="Times New Roman" w:hAnsi="Lato"/>
          <w:color w:val="000000" w:themeColor="text1"/>
          <w:sz w:val="24"/>
          <w:szCs w:val="24"/>
        </w:rPr>
      </w:pPr>
    </w:p>
    <w:p w14:paraId="01274F29" w14:textId="77777777" w:rsidR="00000000" w:rsidRPr="0060384B" w:rsidRDefault="00CA5F6F">
      <w:pPr>
        <w:spacing w:line="200" w:lineRule="exact"/>
        <w:rPr>
          <w:rFonts w:ascii="Lato" w:eastAsia="Times New Roman" w:hAnsi="Lato"/>
          <w:color w:val="000000" w:themeColor="text1"/>
          <w:sz w:val="24"/>
          <w:szCs w:val="24"/>
        </w:rPr>
      </w:pPr>
    </w:p>
    <w:p w14:paraId="5C1489B8" w14:textId="77777777" w:rsidR="00000000" w:rsidRPr="0060384B" w:rsidRDefault="00CA5F6F">
      <w:pPr>
        <w:spacing w:line="200" w:lineRule="exact"/>
        <w:rPr>
          <w:rFonts w:ascii="Lato" w:eastAsia="Times New Roman" w:hAnsi="Lato"/>
          <w:color w:val="000000" w:themeColor="text1"/>
          <w:sz w:val="24"/>
          <w:szCs w:val="24"/>
        </w:rPr>
      </w:pPr>
    </w:p>
    <w:p w14:paraId="1AF45008" w14:textId="77777777" w:rsidR="00000000" w:rsidRPr="0060384B" w:rsidRDefault="00CA5F6F">
      <w:pPr>
        <w:spacing w:line="200" w:lineRule="exact"/>
        <w:rPr>
          <w:rFonts w:ascii="Lato" w:eastAsia="Times New Roman" w:hAnsi="Lato"/>
          <w:color w:val="000000" w:themeColor="text1"/>
          <w:sz w:val="24"/>
          <w:szCs w:val="24"/>
        </w:rPr>
      </w:pPr>
    </w:p>
    <w:p w14:paraId="29AF0F56" w14:textId="77777777" w:rsidR="00000000" w:rsidRPr="0060384B" w:rsidRDefault="00CA5F6F">
      <w:pPr>
        <w:spacing w:line="200" w:lineRule="exact"/>
        <w:rPr>
          <w:rFonts w:ascii="Lato" w:eastAsia="Times New Roman" w:hAnsi="Lato"/>
          <w:color w:val="000000" w:themeColor="text1"/>
          <w:sz w:val="24"/>
          <w:szCs w:val="24"/>
        </w:rPr>
      </w:pPr>
    </w:p>
    <w:p w14:paraId="3BEC1435" w14:textId="77777777" w:rsidR="00000000" w:rsidRPr="0060384B" w:rsidRDefault="00CA5F6F">
      <w:pPr>
        <w:spacing w:line="200" w:lineRule="exact"/>
        <w:rPr>
          <w:rFonts w:ascii="Lato" w:eastAsia="Times New Roman" w:hAnsi="Lato"/>
          <w:color w:val="000000" w:themeColor="text1"/>
          <w:sz w:val="24"/>
          <w:szCs w:val="24"/>
        </w:rPr>
      </w:pPr>
    </w:p>
    <w:p w14:paraId="6AD01768" w14:textId="77777777" w:rsidR="00000000" w:rsidRPr="0060384B" w:rsidRDefault="00CA5F6F">
      <w:pPr>
        <w:spacing w:line="200" w:lineRule="exact"/>
        <w:rPr>
          <w:rFonts w:ascii="Lato" w:eastAsia="Times New Roman" w:hAnsi="Lato"/>
          <w:color w:val="000000" w:themeColor="text1"/>
          <w:sz w:val="24"/>
          <w:szCs w:val="24"/>
        </w:rPr>
      </w:pPr>
    </w:p>
    <w:p w14:paraId="4C1EEF09" w14:textId="77777777" w:rsidR="00000000" w:rsidRPr="0060384B" w:rsidRDefault="00CA5F6F">
      <w:pPr>
        <w:spacing w:line="200" w:lineRule="exact"/>
        <w:rPr>
          <w:rFonts w:ascii="Lato" w:eastAsia="Times New Roman" w:hAnsi="Lato"/>
          <w:color w:val="000000" w:themeColor="text1"/>
          <w:sz w:val="24"/>
          <w:szCs w:val="24"/>
        </w:rPr>
      </w:pPr>
    </w:p>
    <w:p w14:paraId="59C508A8" w14:textId="77777777" w:rsidR="00000000" w:rsidRPr="0060384B" w:rsidRDefault="00CA5F6F">
      <w:pPr>
        <w:spacing w:line="200" w:lineRule="exact"/>
        <w:rPr>
          <w:rFonts w:ascii="Lato" w:eastAsia="Times New Roman" w:hAnsi="Lato"/>
          <w:color w:val="000000" w:themeColor="text1"/>
          <w:sz w:val="24"/>
          <w:szCs w:val="24"/>
        </w:rPr>
      </w:pPr>
    </w:p>
    <w:p w14:paraId="76E9ED72" w14:textId="77777777" w:rsidR="00000000" w:rsidRPr="0060384B" w:rsidRDefault="00CA5F6F">
      <w:pPr>
        <w:spacing w:line="200" w:lineRule="exact"/>
        <w:rPr>
          <w:rFonts w:ascii="Lato" w:eastAsia="Times New Roman" w:hAnsi="Lato"/>
          <w:color w:val="000000" w:themeColor="text1"/>
          <w:sz w:val="24"/>
          <w:szCs w:val="24"/>
        </w:rPr>
      </w:pPr>
    </w:p>
    <w:p w14:paraId="07471525" w14:textId="77777777" w:rsidR="00000000" w:rsidRPr="0060384B" w:rsidRDefault="00CA5F6F">
      <w:pPr>
        <w:spacing w:line="200" w:lineRule="exact"/>
        <w:rPr>
          <w:rFonts w:ascii="Lato" w:eastAsia="Times New Roman" w:hAnsi="Lato"/>
          <w:color w:val="000000" w:themeColor="text1"/>
          <w:sz w:val="24"/>
          <w:szCs w:val="24"/>
        </w:rPr>
      </w:pPr>
    </w:p>
    <w:p w14:paraId="4D02E11E" w14:textId="77777777" w:rsidR="00000000" w:rsidRPr="0060384B" w:rsidRDefault="00CA5F6F">
      <w:pPr>
        <w:spacing w:line="219"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5DA1366F" w14:textId="77777777">
        <w:trPr>
          <w:trHeight w:val="245"/>
        </w:trPr>
        <w:tc>
          <w:tcPr>
            <w:tcW w:w="6540" w:type="dxa"/>
            <w:shd w:val="clear" w:color="auto" w:fill="auto"/>
            <w:vAlign w:val="bottom"/>
          </w:tcPr>
          <w:p w14:paraId="028309FA"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782279A2"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61</w:t>
            </w:r>
          </w:p>
        </w:tc>
      </w:tr>
      <w:tr w:rsidR="00000000" w:rsidRPr="0060384B" w14:paraId="7E243EFD" w14:textId="77777777">
        <w:trPr>
          <w:trHeight w:val="258"/>
        </w:trPr>
        <w:tc>
          <w:tcPr>
            <w:tcW w:w="6540" w:type="dxa"/>
            <w:shd w:val="clear" w:color="auto" w:fill="auto"/>
            <w:vAlign w:val="bottom"/>
          </w:tcPr>
          <w:p w14:paraId="0CB2378A"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NIH Bypass Budget Proposal for Fiscal Year 2021</w:t>
            </w:r>
          </w:p>
        </w:tc>
        <w:tc>
          <w:tcPr>
            <w:tcW w:w="2820" w:type="dxa"/>
            <w:shd w:val="clear" w:color="auto" w:fill="auto"/>
            <w:vAlign w:val="bottom"/>
          </w:tcPr>
          <w:p w14:paraId="2C095C3C" w14:textId="77777777" w:rsidR="00000000" w:rsidRPr="0060384B" w:rsidRDefault="00CA5F6F">
            <w:pPr>
              <w:spacing w:line="0" w:lineRule="atLeast"/>
              <w:rPr>
                <w:rFonts w:ascii="Lato" w:eastAsia="Times New Roman" w:hAnsi="Lato"/>
                <w:color w:val="000000" w:themeColor="text1"/>
                <w:sz w:val="24"/>
                <w:szCs w:val="24"/>
              </w:rPr>
            </w:pPr>
          </w:p>
        </w:tc>
      </w:tr>
    </w:tbl>
    <w:p w14:paraId="4F915DE7"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16CC59A3" w14:textId="77777777" w:rsidR="00000000" w:rsidRPr="0060384B" w:rsidRDefault="00CA5F6F">
      <w:pPr>
        <w:spacing w:line="0" w:lineRule="atLeast"/>
        <w:rPr>
          <w:rFonts w:ascii="Lato" w:hAnsi="Lato"/>
          <w:b/>
          <w:color w:val="000000" w:themeColor="text1"/>
          <w:sz w:val="24"/>
          <w:szCs w:val="24"/>
        </w:rPr>
      </w:pPr>
      <w:bookmarkStart w:id="64" w:name="page65"/>
      <w:bookmarkEnd w:id="64"/>
      <w:r w:rsidRPr="0060384B">
        <w:rPr>
          <w:rFonts w:ascii="Lato" w:hAnsi="Lato"/>
          <w:b/>
          <w:color w:val="000000" w:themeColor="text1"/>
          <w:sz w:val="24"/>
          <w:szCs w:val="24"/>
        </w:rPr>
        <w:lastRenderedPageBreak/>
        <w:t>MAKING CLINICAL TRIALS MORE EFFICIENT AND INCLUSIVE</w:t>
      </w:r>
    </w:p>
    <w:p w14:paraId="38977937" w14:textId="77777777" w:rsidR="00000000" w:rsidRPr="0060384B" w:rsidRDefault="00CA5F6F">
      <w:pPr>
        <w:spacing w:line="288" w:lineRule="exact"/>
        <w:rPr>
          <w:rFonts w:ascii="Lato" w:eastAsia="Times New Roman" w:hAnsi="Lato"/>
          <w:color w:val="000000" w:themeColor="text1"/>
          <w:sz w:val="24"/>
          <w:szCs w:val="24"/>
        </w:rPr>
      </w:pPr>
    </w:p>
    <w:p w14:paraId="2611F2E5" w14:textId="77777777" w:rsidR="00000000" w:rsidRPr="0060384B" w:rsidRDefault="00CA5F6F">
      <w:pPr>
        <w:spacing w:line="0" w:lineRule="atLeast"/>
        <w:ind w:right="4720"/>
        <w:rPr>
          <w:rFonts w:ascii="Lato" w:hAnsi="Lato"/>
          <w:color w:val="000000" w:themeColor="text1"/>
          <w:sz w:val="24"/>
          <w:szCs w:val="24"/>
        </w:rPr>
      </w:pPr>
      <w:r w:rsidRPr="0060384B">
        <w:rPr>
          <w:rFonts w:ascii="Lato" w:hAnsi="Lato"/>
          <w:color w:val="000000" w:themeColor="text1"/>
          <w:sz w:val="24"/>
          <w:szCs w:val="24"/>
        </w:rPr>
        <w:t>Basic biological and translational findings must move out of the laboratory and int</w:t>
      </w:r>
      <w:r w:rsidRPr="0060384B">
        <w:rPr>
          <w:rFonts w:ascii="Lato" w:hAnsi="Lato"/>
          <w:color w:val="000000" w:themeColor="text1"/>
          <w:sz w:val="24"/>
          <w:szCs w:val="24"/>
        </w:rPr>
        <w:t>o therapies that make a difference for people with Alzheimer</w:t>
      </w:r>
      <w:r w:rsidRPr="0060384B">
        <w:rPr>
          <w:rFonts w:ascii="Lato" w:hAnsi="Lato"/>
          <w:color w:val="000000" w:themeColor="text1"/>
          <w:sz w:val="24"/>
          <w:szCs w:val="24"/>
        </w:rPr>
        <w:t>’s disease and related dementias. Determining whether an intervention is promising requires casting a wide net. We want to slow progression of disease and relieve behavioral symptoms in people who</w:t>
      </w:r>
      <w:r w:rsidRPr="0060384B">
        <w:rPr>
          <w:rFonts w:ascii="Lato" w:hAnsi="Lato"/>
          <w:color w:val="000000" w:themeColor="text1"/>
          <w:sz w:val="24"/>
          <w:szCs w:val="24"/>
        </w:rPr>
        <w:t xml:space="preserve"> are diagnosed with mild cognitive impairment, Alzheimer</w:t>
      </w:r>
      <w:r w:rsidRPr="0060384B">
        <w:rPr>
          <w:rFonts w:ascii="Lato" w:hAnsi="Lato"/>
          <w:color w:val="000000" w:themeColor="text1"/>
          <w:sz w:val="24"/>
          <w:szCs w:val="24"/>
        </w:rPr>
        <w:t>’s disease, or an Alzheimer</w:t>
      </w:r>
      <w:r w:rsidRPr="0060384B">
        <w:rPr>
          <w:rFonts w:ascii="Lato" w:hAnsi="Lato"/>
          <w:color w:val="000000" w:themeColor="text1"/>
          <w:sz w:val="24"/>
          <w:szCs w:val="24"/>
        </w:rPr>
        <w:t>’s-related dementia. At the same time, we seek to prevent dementia in at-risk people without symptoms and healthy older adults. Trials also look at various approaches to car</w:t>
      </w:r>
      <w:r w:rsidRPr="0060384B">
        <w:rPr>
          <w:rFonts w:ascii="Lato" w:hAnsi="Lato"/>
          <w:color w:val="000000" w:themeColor="text1"/>
          <w:sz w:val="24"/>
          <w:szCs w:val="24"/>
        </w:rPr>
        <w:t>egiving to</w:t>
      </w:r>
    </w:p>
    <w:p w14:paraId="19A012B6" w14:textId="41FA81F0" w:rsidR="00000000" w:rsidRPr="0060384B" w:rsidRDefault="00FB45BD">
      <w:pPr>
        <w:spacing w:line="20" w:lineRule="exact"/>
        <w:rPr>
          <w:rFonts w:ascii="Lato" w:eastAsia="Times New Roman" w:hAnsi="Lato"/>
          <w:color w:val="000000" w:themeColor="text1"/>
          <w:sz w:val="24"/>
          <w:szCs w:val="24"/>
        </w:rPr>
      </w:pPr>
      <w:r w:rsidRPr="0060384B">
        <w:rPr>
          <w:rFonts w:ascii="Lato" w:hAnsi="Lato"/>
          <w:noProof/>
          <w:color w:val="000000" w:themeColor="text1"/>
          <w:sz w:val="24"/>
          <w:szCs w:val="24"/>
        </w:rPr>
        <w:drawing>
          <wp:anchor distT="0" distB="0" distL="114300" distR="114300" simplePos="0" relativeHeight="251661824" behindDoc="1" locked="0" layoutInCell="1" allowOverlap="1" wp14:anchorId="6EF6A657" wp14:editId="43161A44">
            <wp:simplePos x="0" y="0"/>
            <wp:positionH relativeFrom="column">
              <wp:posOffset>3089910</wp:posOffset>
            </wp:positionH>
            <wp:positionV relativeFrom="paragraph">
              <wp:posOffset>-2589530</wp:posOffset>
            </wp:positionV>
            <wp:extent cx="2846070" cy="24288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846070" cy="2428875"/>
                    </a:xfrm>
                    <a:prstGeom prst="rect">
                      <a:avLst/>
                    </a:prstGeom>
                    <a:noFill/>
                  </pic:spPr>
                </pic:pic>
              </a:graphicData>
            </a:graphic>
            <wp14:sizeRelH relativeFrom="page">
              <wp14:pctWidth>0</wp14:pctWidth>
            </wp14:sizeRelH>
            <wp14:sizeRelV relativeFrom="page">
              <wp14:pctHeight>0</wp14:pctHeight>
            </wp14:sizeRelV>
          </wp:anchor>
        </w:drawing>
      </w:r>
    </w:p>
    <w:p w14:paraId="2CFA8997" w14:textId="77777777" w:rsidR="00000000" w:rsidRPr="0060384B" w:rsidRDefault="00CA5F6F">
      <w:pPr>
        <w:spacing w:line="252" w:lineRule="auto"/>
        <w:ind w:right="200"/>
        <w:rPr>
          <w:rFonts w:ascii="Lato" w:hAnsi="Lato"/>
          <w:color w:val="000000" w:themeColor="text1"/>
          <w:sz w:val="24"/>
          <w:szCs w:val="24"/>
        </w:rPr>
      </w:pPr>
      <w:r w:rsidRPr="0060384B">
        <w:rPr>
          <w:rFonts w:ascii="Lato" w:hAnsi="Lato"/>
          <w:color w:val="000000" w:themeColor="text1"/>
          <w:sz w:val="24"/>
          <w:szCs w:val="24"/>
        </w:rPr>
        <w:t>determine which ones might work best for both caregivers and care recipients in informal and formal care settings. Optimizing medical care for dementia patients involves interventions at the level of single practitioners as well as large healt</w:t>
      </w:r>
      <w:r w:rsidRPr="0060384B">
        <w:rPr>
          <w:rFonts w:ascii="Lato" w:hAnsi="Lato"/>
          <w:color w:val="000000" w:themeColor="text1"/>
          <w:sz w:val="24"/>
          <w:szCs w:val="24"/>
        </w:rPr>
        <w:t>h care systems.</w:t>
      </w:r>
    </w:p>
    <w:p w14:paraId="227D258C" w14:textId="77777777" w:rsidR="00000000" w:rsidRPr="0060384B" w:rsidRDefault="00CA5F6F">
      <w:pPr>
        <w:spacing w:line="236" w:lineRule="exact"/>
        <w:rPr>
          <w:rFonts w:ascii="Lato" w:eastAsia="Times New Roman" w:hAnsi="Lato"/>
          <w:color w:val="000000" w:themeColor="text1"/>
          <w:sz w:val="24"/>
          <w:szCs w:val="24"/>
        </w:rPr>
      </w:pPr>
    </w:p>
    <w:p w14:paraId="36162E79" w14:textId="77777777" w:rsidR="00000000" w:rsidRPr="0060384B" w:rsidRDefault="00CA5F6F">
      <w:pPr>
        <w:spacing w:line="242" w:lineRule="auto"/>
        <w:ind w:right="180"/>
        <w:rPr>
          <w:rFonts w:ascii="Lato" w:hAnsi="Lato"/>
          <w:color w:val="000000" w:themeColor="text1"/>
          <w:sz w:val="24"/>
          <w:szCs w:val="24"/>
        </w:rPr>
      </w:pPr>
      <w:r w:rsidRPr="0060384B">
        <w:rPr>
          <w:rFonts w:ascii="Lato" w:hAnsi="Lato"/>
          <w:color w:val="000000" w:themeColor="text1"/>
          <w:sz w:val="24"/>
          <w:szCs w:val="24"/>
        </w:rPr>
        <w:t>The National Institutes of Health (NIH) currently supports about 200 clinical trials on Alzheimer</w:t>
      </w:r>
      <w:r w:rsidRPr="0060384B">
        <w:rPr>
          <w:rFonts w:ascii="Lato" w:hAnsi="Lato"/>
          <w:color w:val="000000" w:themeColor="text1"/>
          <w:sz w:val="24"/>
          <w:szCs w:val="24"/>
        </w:rPr>
        <w:t>’s and related dementias, from pilot studies to large-scale trials, on a wide range of interventions for diagnosis, treatment, prevention, car</w:t>
      </w:r>
      <w:r w:rsidRPr="0060384B">
        <w:rPr>
          <w:rFonts w:ascii="Lato" w:hAnsi="Lato"/>
          <w:color w:val="000000" w:themeColor="text1"/>
          <w:sz w:val="24"/>
          <w:szCs w:val="24"/>
        </w:rPr>
        <w:t>e, and caregiving. NIH has taken significant steps to modernize and speed up trials to test potential interventions earlier in the disease continuum, examine how therapies can be delivered pragmatically in real-world settings, and foster new partnerships w</w:t>
      </w:r>
      <w:r w:rsidRPr="0060384B">
        <w:rPr>
          <w:rFonts w:ascii="Lato" w:hAnsi="Lato"/>
          <w:color w:val="000000" w:themeColor="text1"/>
          <w:sz w:val="24"/>
          <w:szCs w:val="24"/>
        </w:rPr>
        <w:t>ith organizations and individuals in the design and operation of trials. Ensuring greater racial, ethnic, gender, and socioeconomic diversity among participants and researchers in clinical trial design, operation, and participation is central to these effo</w:t>
      </w:r>
      <w:r w:rsidRPr="0060384B">
        <w:rPr>
          <w:rFonts w:ascii="Lato" w:hAnsi="Lato"/>
          <w:color w:val="000000" w:themeColor="text1"/>
          <w:sz w:val="24"/>
          <w:szCs w:val="24"/>
        </w:rPr>
        <w:t>rts. Inclusion is key to understanding and addressing disparities in the incidence and prevalence of disease and identifying unique care needs for diverse populations.</w:t>
      </w:r>
    </w:p>
    <w:p w14:paraId="0C019DCB" w14:textId="77777777" w:rsidR="00000000" w:rsidRPr="0060384B" w:rsidRDefault="00CA5F6F">
      <w:pPr>
        <w:spacing w:line="257" w:lineRule="exact"/>
        <w:rPr>
          <w:rFonts w:ascii="Lato" w:eastAsia="Times New Roman" w:hAnsi="Lato"/>
          <w:color w:val="000000" w:themeColor="text1"/>
          <w:sz w:val="24"/>
          <w:szCs w:val="24"/>
        </w:rPr>
      </w:pPr>
    </w:p>
    <w:p w14:paraId="350F3350" w14:textId="77777777" w:rsidR="00000000" w:rsidRPr="0060384B" w:rsidRDefault="00CA5F6F">
      <w:pPr>
        <w:spacing w:line="262" w:lineRule="auto"/>
        <w:ind w:right="720"/>
        <w:rPr>
          <w:rFonts w:ascii="Lato" w:hAnsi="Lato"/>
          <w:color w:val="000000" w:themeColor="text1"/>
          <w:sz w:val="24"/>
          <w:szCs w:val="24"/>
        </w:rPr>
      </w:pPr>
      <w:r w:rsidRPr="0060384B">
        <w:rPr>
          <w:rFonts w:ascii="Lato" w:hAnsi="Lato"/>
          <w:color w:val="000000" w:themeColor="text1"/>
          <w:sz w:val="24"/>
          <w:szCs w:val="24"/>
        </w:rPr>
        <w:t>Ongoing initiatives are being updated and new projects added to support more efficient,</w:t>
      </w:r>
      <w:r w:rsidRPr="0060384B">
        <w:rPr>
          <w:rFonts w:ascii="Lato" w:hAnsi="Lato"/>
          <w:color w:val="000000" w:themeColor="text1"/>
          <w:sz w:val="24"/>
          <w:szCs w:val="24"/>
        </w:rPr>
        <w:t xml:space="preserve"> practical, and inclusive trials.</w:t>
      </w:r>
    </w:p>
    <w:p w14:paraId="2330513E" w14:textId="77777777" w:rsidR="00000000" w:rsidRPr="0060384B" w:rsidRDefault="00CA5F6F">
      <w:pPr>
        <w:spacing w:line="217" w:lineRule="exact"/>
        <w:rPr>
          <w:rFonts w:ascii="Lato" w:eastAsia="Times New Roman" w:hAnsi="Lato"/>
          <w:color w:val="000000" w:themeColor="text1"/>
          <w:sz w:val="24"/>
          <w:szCs w:val="24"/>
        </w:rPr>
      </w:pPr>
    </w:p>
    <w:p w14:paraId="0FA96E73"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Intensified Efforts to Diversify Clinical Trials Participation</w:t>
      </w:r>
    </w:p>
    <w:p w14:paraId="71FEEAB8" w14:textId="77777777" w:rsidR="00000000" w:rsidRPr="0060384B" w:rsidRDefault="00CA5F6F">
      <w:pPr>
        <w:spacing w:line="289" w:lineRule="exact"/>
        <w:rPr>
          <w:rFonts w:ascii="Lato" w:eastAsia="Times New Roman" w:hAnsi="Lato"/>
          <w:color w:val="000000" w:themeColor="text1"/>
          <w:sz w:val="24"/>
          <w:szCs w:val="24"/>
        </w:rPr>
      </w:pPr>
    </w:p>
    <w:p w14:paraId="5B7F96D8" w14:textId="77777777" w:rsidR="00000000" w:rsidRPr="0060384B" w:rsidRDefault="00CA5F6F">
      <w:pPr>
        <w:spacing w:line="247" w:lineRule="auto"/>
        <w:ind w:right="80"/>
        <w:rPr>
          <w:rFonts w:ascii="Lato" w:hAnsi="Lato"/>
          <w:color w:val="000000" w:themeColor="text1"/>
          <w:sz w:val="24"/>
          <w:szCs w:val="24"/>
        </w:rPr>
      </w:pPr>
      <w:r w:rsidRPr="0060384B">
        <w:rPr>
          <w:rFonts w:ascii="Lato" w:hAnsi="Lato"/>
          <w:color w:val="000000" w:themeColor="text1"/>
          <w:sz w:val="24"/>
          <w:szCs w:val="24"/>
        </w:rPr>
        <w:t>The advances made to date in understanding Alzheimer</w:t>
      </w:r>
      <w:r w:rsidRPr="0060384B">
        <w:rPr>
          <w:rFonts w:ascii="Lato" w:hAnsi="Lato"/>
          <w:color w:val="000000" w:themeColor="text1"/>
          <w:sz w:val="24"/>
          <w:szCs w:val="24"/>
        </w:rPr>
        <w:t xml:space="preserve">’s disease and related dementias would not be possible without the participation of tens of thousands of </w:t>
      </w:r>
      <w:r w:rsidRPr="0060384B">
        <w:rPr>
          <w:rFonts w:ascii="Lato" w:hAnsi="Lato"/>
          <w:color w:val="000000" w:themeColor="text1"/>
          <w:sz w:val="24"/>
          <w:szCs w:val="24"/>
        </w:rPr>
        <w:t>people in clinical trials and studies. We are deeply grateful for their commitment, cooperation, and willingness to be part of research.</w:t>
      </w:r>
    </w:p>
    <w:p w14:paraId="48CABC01" w14:textId="77777777" w:rsidR="00000000" w:rsidRPr="0060384B" w:rsidRDefault="00CA5F6F">
      <w:pPr>
        <w:spacing w:line="244" w:lineRule="exact"/>
        <w:rPr>
          <w:rFonts w:ascii="Lato" w:eastAsia="Times New Roman" w:hAnsi="Lato"/>
          <w:color w:val="000000" w:themeColor="text1"/>
          <w:sz w:val="24"/>
          <w:szCs w:val="24"/>
        </w:rPr>
      </w:pPr>
    </w:p>
    <w:p w14:paraId="249B3C8B" w14:textId="77777777" w:rsidR="00000000" w:rsidRPr="0060384B" w:rsidRDefault="00CA5F6F">
      <w:pPr>
        <w:spacing w:line="262" w:lineRule="auto"/>
        <w:ind w:right="80"/>
        <w:rPr>
          <w:rFonts w:ascii="Lato" w:hAnsi="Lato"/>
          <w:color w:val="000000" w:themeColor="text1"/>
          <w:sz w:val="24"/>
          <w:szCs w:val="24"/>
        </w:rPr>
      </w:pPr>
      <w:r w:rsidRPr="0060384B">
        <w:rPr>
          <w:rFonts w:ascii="Lato" w:hAnsi="Lato"/>
          <w:color w:val="000000" w:themeColor="text1"/>
          <w:sz w:val="24"/>
          <w:szCs w:val="24"/>
        </w:rPr>
        <w:t>But the need for more people to engage as participants has only grown with the recent increases in funding, with a par</w:t>
      </w:r>
      <w:r w:rsidRPr="0060384B">
        <w:rPr>
          <w:rFonts w:ascii="Lato" w:hAnsi="Lato"/>
          <w:color w:val="000000" w:themeColor="text1"/>
          <w:sz w:val="24"/>
          <w:szCs w:val="24"/>
        </w:rPr>
        <w:t>ticular need to engage underrepresented communities. Today</w:t>
      </w:r>
      <w:r w:rsidRPr="0060384B">
        <w:rPr>
          <w:rFonts w:ascii="Lato" w:hAnsi="Lato"/>
          <w:color w:val="000000" w:themeColor="text1"/>
          <w:sz w:val="24"/>
          <w:szCs w:val="24"/>
        </w:rPr>
        <w:t>’s participants in Alzheimer</w:t>
      </w:r>
      <w:r w:rsidRPr="0060384B">
        <w:rPr>
          <w:rFonts w:ascii="Lato" w:hAnsi="Lato"/>
          <w:color w:val="000000" w:themeColor="text1"/>
          <w:sz w:val="24"/>
          <w:szCs w:val="24"/>
        </w:rPr>
        <w:t>’s and related dementias research are mostly white, non- Hispanic, well-educated, heterosexual, and married, with a spouse study partner. However, studies point</w:t>
      </w:r>
    </w:p>
    <w:p w14:paraId="726E7397" w14:textId="77777777" w:rsidR="00000000" w:rsidRPr="0060384B" w:rsidRDefault="00CA5F6F">
      <w:pPr>
        <w:spacing w:line="262" w:lineRule="auto"/>
        <w:ind w:right="80"/>
        <w:rPr>
          <w:rFonts w:ascii="Lato" w:hAnsi="Lato"/>
          <w:color w:val="000000" w:themeColor="text1"/>
          <w:sz w:val="24"/>
          <w:szCs w:val="24"/>
        </w:rPr>
        <w:sectPr w:rsidR="00000000" w:rsidRPr="0060384B">
          <w:pgSz w:w="12240" w:h="15840"/>
          <w:pgMar w:top="1125" w:right="1440" w:bottom="0" w:left="1440" w:header="0" w:footer="0" w:gutter="0"/>
          <w:cols w:space="0" w:equalWidth="0">
            <w:col w:w="9360"/>
          </w:cols>
          <w:docGrid w:linePitch="360"/>
        </w:sectPr>
      </w:pPr>
    </w:p>
    <w:p w14:paraId="1255528E" w14:textId="77777777" w:rsidR="00000000" w:rsidRPr="0060384B" w:rsidRDefault="00CA5F6F">
      <w:pPr>
        <w:spacing w:line="200" w:lineRule="exact"/>
        <w:rPr>
          <w:rFonts w:ascii="Lato" w:eastAsia="Times New Roman" w:hAnsi="Lato"/>
          <w:color w:val="000000" w:themeColor="text1"/>
          <w:sz w:val="24"/>
          <w:szCs w:val="24"/>
        </w:rPr>
      </w:pPr>
    </w:p>
    <w:p w14:paraId="6E4CDE3C" w14:textId="77777777" w:rsidR="00000000" w:rsidRPr="0060384B" w:rsidRDefault="00CA5F6F">
      <w:pPr>
        <w:spacing w:line="267"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780098C8" w14:textId="77777777">
        <w:trPr>
          <w:trHeight w:val="245"/>
        </w:trPr>
        <w:tc>
          <w:tcPr>
            <w:tcW w:w="6540" w:type="dxa"/>
            <w:shd w:val="clear" w:color="auto" w:fill="auto"/>
            <w:vAlign w:val="bottom"/>
          </w:tcPr>
          <w:p w14:paraId="15F69D09"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TOGETH</w:t>
            </w:r>
            <w:r w:rsidRPr="0060384B">
              <w:rPr>
                <w:rFonts w:ascii="Lato" w:hAnsi="Lato"/>
                <w:color w:val="000000" w:themeColor="text1"/>
                <w:sz w:val="24"/>
                <w:szCs w:val="24"/>
              </w:rPr>
              <w:t>ER WE SUCCEED</w:t>
            </w:r>
          </w:p>
        </w:tc>
        <w:tc>
          <w:tcPr>
            <w:tcW w:w="2820" w:type="dxa"/>
            <w:shd w:val="clear" w:color="auto" w:fill="auto"/>
            <w:vAlign w:val="bottom"/>
          </w:tcPr>
          <w:p w14:paraId="30F311DA"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62</w:t>
            </w:r>
          </w:p>
        </w:tc>
      </w:tr>
      <w:tr w:rsidR="00000000" w:rsidRPr="0060384B" w14:paraId="0B400951" w14:textId="77777777">
        <w:trPr>
          <w:trHeight w:val="258"/>
        </w:trPr>
        <w:tc>
          <w:tcPr>
            <w:tcW w:w="6540" w:type="dxa"/>
            <w:shd w:val="clear" w:color="auto" w:fill="auto"/>
            <w:vAlign w:val="bottom"/>
          </w:tcPr>
          <w:p w14:paraId="49F22086"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68D695DC" w14:textId="77777777" w:rsidR="00000000" w:rsidRPr="0060384B" w:rsidRDefault="00CA5F6F">
            <w:pPr>
              <w:spacing w:line="0" w:lineRule="atLeast"/>
              <w:rPr>
                <w:rFonts w:ascii="Lato" w:eastAsia="Times New Roman" w:hAnsi="Lato"/>
                <w:color w:val="000000" w:themeColor="text1"/>
                <w:sz w:val="24"/>
                <w:szCs w:val="24"/>
              </w:rPr>
            </w:pPr>
          </w:p>
        </w:tc>
      </w:tr>
    </w:tbl>
    <w:p w14:paraId="32B22D96"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25" w:right="1440" w:bottom="0" w:left="1440" w:header="0" w:footer="0" w:gutter="0"/>
          <w:cols w:space="0" w:equalWidth="0">
            <w:col w:w="9360"/>
          </w:cols>
          <w:docGrid w:linePitch="360"/>
        </w:sectPr>
      </w:pPr>
    </w:p>
    <w:p w14:paraId="788BA011" w14:textId="77777777" w:rsidR="00000000" w:rsidRPr="0060384B" w:rsidRDefault="00CA5F6F">
      <w:pPr>
        <w:spacing w:line="245" w:lineRule="auto"/>
        <w:ind w:right="40"/>
        <w:rPr>
          <w:rFonts w:ascii="Lato" w:hAnsi="Lato"/>
          <w:color w:val="000000" w:themeColor="text1"/>
          <w:sz w:val="24"/>
          <w:szCs w:val="24"/>
        </w:rPr>
      </w:pPr>
      <w:bookmarkStart w:id="65" w:name="page66"/>
      <w:bookmarkEnd w:id="65"/>
      <w:r w:rsidRPr="0060384B">
        <w:rPr>
          <w:rFonts w:ascii="Lato" w:hAnsi="Lato"/>
          <w:color w:val="000000" w:themeColor="text1"/>
          <w:sz w:val="24"/>
          <w:szCs w:val="24"/>
        </w:rPr>
        <w:lastRenderedPageBreak/>
        <w:t>to significant differences between rates of Alzheimer</w:t>
      </w:r>
      <w:r w:rsidRPr="0060384B">
        <w:rPr>
          <w:rFonts w:ascii="Lato" w:hAnsi="Lato"/>
          <w:color w:val="000000" w:themeColor="text1"/>
          <w:sz w:val="24"/>
          <w:szCs w:val="24"/>
        </w:rPr>
        <w:t>’s disease in specific populations, for whom factors like diet, culture, genetic influences, geography, and medical conditions may pla</w:t>
      </w:r>
      <w:r w:rsidRPr="0060384B">
        <w:rPr>
          <w:rFonts w:ascii="Lato" w:hAnsi="Lato"/>
          <w:color w:val="000000" w:themeColor="text1"/>
          <w:sz w:val="24"/>
          <w:szCs w:val="24"/>
        </w:rPr>
        <w:t xml:space="preserve">y a role. Broadly diverse participation in both observational and clinical studies must be achieved. It will help us to better define and address racial, ethnic, gender, and other differences so that interventions can be better tailored to communities and </w:t>
      </w:r>
      <w:r w:rsidRPr="0060384B">
        <w:rPr>
          <w:rFonts w:ascii="Lato" w:hAnsi="Lato"/>
          <w:color w:val="000000" w:themeColor="text1"/>
          <w:sz w:val="24"/>
          <w:szCs w:val="24"/>
        </w:rPr>
        <w:t>individuals.</w:t>
      </w:r>
    </w:p>
    <w:p w14:paraId="1F889E72" w14:textId="77777777" w:rsidR="00000000" w:rsidRPr="0060384B" w:rsidRDefault="00CA5F6F">
      <w:pPr>
        <w:spacing w:line="249" w:lineRule="exact"/>
        <w:rPr>
          <w:rFonts w:ascii="Lato" w:eastAsia="Times New Roman" w:hAnsi="Lato"/>
          <w:color w:val="000000" w:themeColor="text1"/>
          <w:sz w:val="24"/>
          <w:szCs w:val="24"/>
        </w:rPr>
      </w:pPr>
    </w:p>
    <w:p w14:paraId="57332F0A" w14:textId="77777777" w:rsidR="00000000" w:rsidRPr="0060384B" w:rsidRDefault="00CA5F6F">
      <w:pPr>
        <w:spacing w:line="262" w:lineRule="auto"/>
        <w:ind w:right="420"/>
        <w:rPr>
          <w:rFonts w:ascii="Lato" w:hAnsi="Lato"/>
          <w:color w:val="000000" w:themeColor="text1"/>
          <w:sz w:val="24"/>
          <w:szCs w:val="24"/>
        </w:rPr>
      </w:pPr>
      <w:r w:rsidRPr="0060384B">
        <w:rPr>
          <w:rFonts w:ascii="Lato" w:hAnsi="Lato"/>
          <w:color w:val="000000" w:themeColor="text1"/>
          <w:sz w:val="24"/>
          <w:szCs w:val="24"/>
        </w:rPr>
        <w:t>In 2018 and early 2019, NIH sought to provide research support and resources in new ways, described below.</w:t>
      </w:r>
    </w:p>
    <w:p w14:paraId="61A0723D" w14:textId="77777777" w:rsidR="00000000" w:rsidRPr="0060384B" w:rsidRDefault="00CA5F6F">
      <w:pPr>
        <w:spacing w:line="224" w:lineRule="exact"/>
        <w:rPr>
          <w:rFonts w:ascii="Lato" w:eastAsia="Times New Roman" w:hAnsi="Lato"/>
          <w:color w:val="000000" w:themeColor="text1"/>
          <w:sz w:val="24"/>
          <w:szCs w:val="24"/>
        </w:rPr>
      </w:pPr>
    </w:p>
    <w:p w14:paraId="634B85AB"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NIA Introduces National Strategy for Diverse Participation in Research</w:t>
      </w:r>
    </w:p>
    <w:p w14:paraId="6353E675" w14:textId="77777777" w:rsidR="00000000" w:rsidRPr="0060384B" w:rsidRDefault="00CA5F6F">
      <w:pPr>
        <w:spacing w:line="284" w:lineRule="exact"/>
        <w:rPr>
          <w:rFonts w:ascii="Lato" w:eastAsia="Times New Roman" w:hAnsi="Lato"/>
          <w:color w:val="000000" w:themeColor="text1"/>
          <w:sz w:val="24"/>
          <w:szCs w:val="24"/>
        </w:rPr>
      </w:pPr>
    </w:p>
    <w:p w14:paraId="24BD0194" w14:textId="77777777" w:rsidR="00000000" w:rsidRPr="0060384B" w:rsidRDefault="00CA5F6F">
      <w:pPr>
        <w:spacing w:line="243" w:lineRule="auto"/>
        <w:rPr>
          <w:rFonts w:ascii="Lato" w:hAnsi="Lato"/>
          <w:color w:val="000000" w:themeColor="text1"/>
          <w:sz w:val="24"/>
          <w:szCs w:val="24"/>
        </w:rPr>
      </w:pPr>
      <w:r w:rsidRPr="0060384B">
        <w:rPr>
          <w:rFonts w:ascii="Lato" w:hAnsi="Lato"/>
          <w:color w:val="000000" w:themeColor="text1"/>
          <w:sz w:val="24"/>
          <w:szCs w:val="24"/>
        </w:rPr>
        <w:t>In October 2018, NIA released a national strategy focused on i</w:t>
      </w:r>
      <w:r w:rsidRPr="0060384B">
        <w:rPr>
          <w:rFonts w:ascii="Lato" w:hAnsi="Lato"/>
          <w:color w:val="000000" w:themeColor="text1"/>
          <w:sz w:val="24"/>
          <w:szCs w:val="24"/>
        </w:rPr>
        <w:t xml:space="preserve">ncreasing diversity in clinical studies, titled </w:t>
      </w:r>
      <w:hyperlink r:id="rId226" w:history="1">
        <w:r w:rsidRPr="0060384B">
          <w:rPr>
            <w:rFonts w:ascii="Lato" w:hAnsi="Lato"/>
            <w:color w:val="000000" w:themeColor="text1"/>
            <w:sz w:val="24"/>
            <w:szCs w:val="24"/>
          </w:rPr>
          <w:t>Together We Make the Difference: National Strategy for Recruitment and</w:t>
        </w:r>
      </w:hyperlink>
      <w:r w:rsidRPr="0060384B">
        <w:rPr>
          <w:rFonts w:ascii="Lato" w:hAnsi="Lato"/>
          <w:color w:val="000000" w:themeColor="text1"/>
          <w:sz w:val="24"/>
          <w:szCs w:val="24"/>
        </w:rPr>
        <w:t xml:space="preserve"> </w:t>
      </w:r>
      <w:hyperlink r:id="rId227" w:history="1">
        <w:r w:rsidRPr="0060384B">
          <w:rPr>
            <w:rFonts w:ascii="Lato" w:hAnsi="Lato"/>
            <w:color w:val="000000" w:themeColor="text1"/>
            <w:sz w:val="24"/>
            <w:szCs w:val="24"/>
          </w:rPr>
          <w:t>Participation in Alzheimer</w:t>
        </w:r>
        <w:r w:rsidRPr="0060384B">
          <w:rPr>
            <w:rFonts w:ascii="Lato" w:hAnsi="Lato"/>
            <w:color w:val="000000" w:themeColor="text1"/>
            <w:sz w:val="24"/>
            <w:szCs w:val="24"/>
          </w:rPr>
          <w:t>’s and Related Dementias Clinical Research</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xml:space="preserve">The </w:t>
      </w:r>
      <w:r w:rsidRPr="0060384B">
        <w:rPr>
          <w:rFonts w:ascii="Lato" w:hAnsi="Lato"/>
          <w:color w:val="000000" w:themeColor="text1"/>
          <w:sz w:val="24"/>
          <w:szCs w:val="24"/>
        </w:rPr>
        <w:t>National Strategy was</w:t>
      </w:r>
      <w:r w:rsidRPr="0060384B">
        <w:rPr>
          <w:rFonts w:ascii="Lato" w:hAnsi="Lato"/>
          <w:color w:val="000000" w:themeColor="text1"/>
          <w:sz w:val="24"/>
          <w:szCs w:val="24"/>
        </w:rPr>
        <w:t xml:space="preserve"> </w:t>
      </w:r>
      <w:r w:rsidRPr="0060384B">
        <w:rPr>
          <w:rFonts w:ascii="Lato" w:hAnsi="Lato"/>
          <w:color w:val="000000" w:themeColor="text1"/>
          <w:sz w:val="24"/>
          <w:szCs w:val="24"/>
        </w:rPr>
        <w:t>the culmination of more than 2 years of dedicated work to outline practical, proactive approaches for study sites to engage more and more diverse volunteers.</w:t>
      </w:r>
      <w:r w:rsidRPr="0060384B">
        <w:rPr>
          <w:rFonts w:ascii="Lato" w:hAnsi="Lato"/>
          <w:color w:val="000000" w:themeColor="text1"/>
          <w:sz w:val="24"/>
          <w:szCs w:val="24"/>
        </w:rPr>
        <w:t xml:space="preserve"> It was developed with facilitation by the Alzheimer</w:t>
      </w:r>
      <w:r w:rsidRPr="0060384B">
        <w:rPr>
          <w:rFonts w:ascii="Lato" w:hAnsi="Lato"/>
          <w:color w:val="000000" w:themeColor="text1"/>
          <w:sz w:val="24"/>
          <w:szCs w:val="24"/>
        </w:rPr>
        <w:t>’s Association and the expertise and insights of a collaborative of government, private, academic, and industry stakeholders, including individuals, caregivers, and study participants. The strategy focuse</w:t>
      </w:r>
      <w:r w:rsidRPr="0060384B">
        <w:rPr>
          <w:rFonts w:ascii="Lato" w:hAnsi="Lato"/>
          <w:color w:val="000000" w:themeColor="text1"/>
          <w:sz w:val="24"/>
          <w:szCs w:val="24"/>
        </w:rPr>
        <w:t>s on four overarching themes:</w:t>
      </w:r>
    </w:p>
    <w:p w14:paraId="01F253E6" w14:textId="77777777" w:rsidR="00000000" w:rsidRPr="0060384B" w:rsidRDefault="00CA5F6F">
      <w:pPr>
        <w:spacing w:line="262" w:lineRule="exact"/>
        <w:rPr>
          <w:rFonts w:ascii="Lato" w:eastAsia="Times New Roman" w:hAnsi="Lato"/>
          <w:color w:val="000000" w:themeColor="text1"/>
          <w:sz w:val="24"/>
          <w:szCs w:val="24"/>
        </w:rPr>
      </w:pPr>
    </w:p>
    <w:p w14:paraId="48895CD2" w14:textId="77777777" w:rsidR="00000000" w:rsidRPr="0060384B" w:rsidRDefault="00CA5F6F">
      <w:pPr>
        <w:numPr>
          <w:ilvl w:val="0"/>
          <w:numId w:val="18"/>
        </w:numPr>
        <w:tabs>
          <w:tab w:val="left" w:pos="720"/>
        </w:tabs>
        <w:spacing w:line="0" w:lineRule="atLeast"/>
        <w:ind w:left="720" w:hanging="360"/>
        <w:rPr>
          <w:rFonts w:ascii="Lato" w:eastAsia="Arial" w:hAnsi="Lato"/>
          <w:color w:val="000000" w:themeColor="text1"/>
          <w:sz w:val="24"/>
          <w:szCs w:val="24"/>
        </w:rPr>
      </w:pPr>
      <w:r w:rsidRPr="0060384B">
        <w:rPr>
          <w:rFonts w:ascii="Lato" w:hAnsi="Lato"/>
          <w:color w:val="000000" w:themeColor="text1"/>
          <w:sz w:val="24"/>
          <w:szCs w:val="24"/>
        </w:rPr>
        <w:t>Increase awareness and engagement at a broad, national level</w:t>
      </w:r>
    </w:p>
    <w:p w14:paraId="58BABBF5" w14:textId="77777777" w:rsidR="00000000" w:rsidRPr="0060384B" w:rsidRDefault="00CA5F6F">
      <w:pPr>
        <w:spacing w:line="11" w:lineRule="exact"/>
        <w:rPr>
          <w:rFonts w:ascii="Lato" w:eastAsia="Arial" w:hAnsi="Lato"/>
          <w:color w:val="000000" w:themeColor="text1"/>
          <w:sz w:val="24"/>
          <w:szCs w:val="24"/>
        </w:rPr>
      </w:pPr>
    </w:p>
    <w:p w14:paraId="0EC9846B" w14:textId="77777777" w:rsidR="00000000" w:rsidRPr="0060384B" w:rsidRDefault="00CA5F6F">
      <w:pPr>
        <w:numPr>
          <w:ilvl w:val="0"/>
          <w:numId w:val="18"/>
        </w:numPr>
        <w:tabs>
          <w:tab w:val="left" w:pos="720"/>
        </w:tabs>
        <w:spacing w:line="0" w:lineRule="atLeast"/>
        <w:ind w:left="720" w:hanging="360"/>
        <w:rPr>
          <w:rFonts w:ascii="Lato" w:eastAsia="Arial" w:hAnsi="Lato"/>
          <w:color w:val="000000" w:themeColor="text1"/>
          <w:sz w:val="24"/>
          <w:szCs w:val="24"/>
        </w:rPr>
      </w:pPr>
      <w:r w:rsidRPr="0060384B">
        <w:rPr>
          <w:rFonts w:ascii="Lato" w:hAnsi="Lato"/>
          <w:color w:val="000000" w:themeColor="text1"/>
          <w:sz w:val="24"/>
          <w:szCs w:val="24"/>
        </w:rPr>
        <w:t>Build and improve capacity and infrastructure at the study site level</w:t>
      </w:r>
    </w:p>
    <w:p w14:paraId="63E9AB40" w14:textId="77777777" w:rsidR="00000000" w:rsidRPr="0060384B" w:rsidRDefault="00CA5F6F">
      <w:pPr>
        <w:spacing w:line="14" w:lineRule="exact"/>
        <w:rPr>
          <w:rFonts w:ascii="Lato" w:eastAsia="Arial" w:hAnsi="Lato"/>
          <w:color w:val="000000" w:themeColor="text1"/>
          <w:sz w:val="24"/>
          <w:szCs w:val="24"/>
        </w:rPr>
      </w:pPr>
    </w:p>
    <w:p w14:paraId="165BA0CD" w14:textId="77777777" w:rsidR="00000000" w:rsidRPr="0060384B" w:rsidRDefault="00CA5F6F">
      <w:pPr>
        <w:numPr>
          <w:ilvl w:val="0"/>
          <w:numId w:val="18"/>
        </w:numPr>
        <w:tabs>
          <w:tab w:val="left" w:pos="720"/>
        </w:tabs>
        <w:spacing w:line="0" w:lineRule="atLeast"/>
        <w:ind w:left="720" w:hanging="360"/>
        <w:rPr>
          <w:rFonts w:ascii="Lato" w:eastAsia="Arial" w:hAnsi="Lato"/>
          <w:color w:val="000000" w:themeColor="text1"/>
          <w:sz w:val="24"/>
          <w:szCs w:val="24"/>
        </w:rPr>
      </w:pPr>
      <w:r w:rsidRPr="0060384B">
        <w:rPr>
          <w:rFonts w:ascii="Lato" w:hAnsi="Lato"/>
          <w:color w:val="000000" w:themeColor="text1"/>
          <w:sz w:val="24"/>
          <w:szCs w:val="24"/>
        </w:rPr>
        <w:t>Engage local communities and support participants</w:t>
      </w:r>
    </w:p>
    <w:p w14:paraId="54349730" w14:textId="77777777" w:rsidR="00000000" w:rsidRPr="0060384B" w:rsidRDefault="00CA5F6F">
      <w:pPr>
        <w:spacing w:line="14" w:lineRule="exact"/>
        <w:rPr>
          <w:rFonts w:ascii="Lato" w:eastAsia="Arial" w:hAnsi="Lato"/>
          <w:color w:val="000000" w:themeColor="text1"/>
          <w:sz w:val="24"/>
          <w:szCs w:val="24"/>
        </w:rPr>
      </w:pPr>
    </w:p>
    <w:p w14:paraId="0098E78E" w14:textId="77777777" w:rsidR="00000000" w:rsidRPr="0060384B" w:rsidRDefault="00CA5F6F">
      <w:pPr>
        <w:numPr>
          <w:ilvl w:val="0"/>
          <w:numId w:val="18"/>
        </w:numPr>
        <w:tabs>
          <w:tab w:val="left" w:pos="720"/>
        </w:tabs>
        <w:spacing w:line="0" w:lineRule="atLeast"/>
        <w:ind w:left="720" w:hanging="360"/>
        <w:rPr>
          <w:rFonts w:ascii="Lato" w:eastAsia="Arial" w:hAnsi="Lato"/>
          <w:color w:val="000000" w:themeColor="text1"/>
          <w:sz w:val="24"/>
          <w:szCs w:val="24"/>
        </w:rPr>
      </w:pPr>
      <w:r w:rsidRPr="0060384B">
        <w:rPr>
          <w:rFonts w:ascii="Lato" w:hAnsi="Lato"/>
          <w:color w:val="000000" w:themeColor="text1"/>
          <w:sz w:val="24"/>
          <w:szCs w:val="24"/>
        </w:rPr>
        <w:t>Develop an applied science of recruitment</w:t>
      </w:r>
    </w:p>
    <w:p w14:paraId="04F7E145" w14:textId="77777777" w:rsidR="00000000" w:rsidRPr="0060384B" w:rsidRDefault="00CA5F6F">
      <w:pPr>
        <w:spacing w:line="271" w:lineRule="exact"/>
        <w:rPr>
          <w:rFonts w:ascii="Lato" w:eastAsia="Times New Roman" w:hAnsi="Lato"/>
          <w:color w:val="000000" w:themeColor="text1"/>
          <w:sz w:val="24"/>
          <w:szCs w:val="24"/>
        </w:rPr>
      </w:pPr>
    </w:p>
    <w:p w14:paraId="3489CDC3"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A New Recruitment Resource for Investigators</w:t>
      </w:r>
    </w:p>
    <w:p w14:paraId="25A791EF" w14:textId="77777777" w:rsidR="00000000" w:rsidRPr="0060384B" w:rsidRDefault="00CA5F6F">
      <w:pPr>
        <w:spacing w:line="287" w:lineRule="exact"/>
        <w:rPr>
          <w:rFonts w:ascii="Lato" w:eastAsia="Times New Roman" w:hAnsi="Lato"/>
          <w:color w:val="000000" w:themeColor="text1"/>
          <w:sz w:val="24"/>
          <w:szCs w:val="24"/>
        </w:rPr>
      </w:pPr>
    </w:p>
    <w:p w14:paraId="28963B14" w14:textId="77777777" w:rsidR="00000000" w:rsidRPr="0060384B" w:rsidRDefault="00CA5F6F">
      <w:pPr>
        <w:spacing w:line="242" w:lineRule="auto"/>
        <w:ind w:right="160"/>
        <w:rPr>
          <w:rFonts w:ascii="Lato" w:hAnsi="Lato"/>
          <w:color w:val="000000" w:themeColor="text1"/>
          <w:sz w:val="24"/>
          <w:szCs w:val="24"/>
        </w:rPr>
      </w:pPr>
      <w:r w:rsidRPr="0060384B">
        <w:rPr>
          <w:rFonts w:ascii="Lato" w:hAnsi="Lato"/>
          <w:color w:val="000000" w:themeColor="text1"/>
          <w:sz w:val="24"/>
          <w:szCs w:val="24"/>
        </w:rPr>
        <w:t xml:space="preserve">In 2019, NIA launched the </w:t>
      </w:r>
      <w:hyperlink r:id="rId228" w:history="1">
        <w:r w:rsidRPr="0060384B">
          <w:rPr>
            <w:rFonts w:ascii="Lato" w:hAnsi="Lato"/>
            <w:color w:val="000000" w:themeColor="text1"/>
            <w:sz w:val="24"/>
            <w:szCs w:val="24"/>
          </w:rPr>
          <w:t>Alzheimer</w:t>
        </w:r>
        <w:r w:rsidRPr="0060384B">
          <w:rPr>
            <w:rFonts w:ascii="Lato" w:hAnsi="Lato"/>
            <w:color w:val="000000" w:themeColor="text1"/>
            <w:sz w:val="24"/>
            <w:szCs w:val="24"/>
          </w:rPr>
          <w:t>’s and Dementia Outreach, Recruitment, and Engagement</w:t>
        </w:r>
      </w:hyperlink>
      <w:r w:rsidRPr="0060384B">
        <w:rPr>
          <w:rFonts w:ascii="Lato" w:hAnsi="Lato"/>
          <w:color w:val="000000" w:themeColor="text1"/>
          <w:sz w:val="24"/>
          <w:szCs w:val="24"/>
        </w:rPr>
        <w:t xml:space="preserve"> </w:t>
      </w:r>
      <w:hyperlink r:id="rId229" w:history="1">
        <w:r w:rsidRPr="0060384B">
          <w:rPr>
            <w:rFonts w:ascii="Lato" w:hAnsi="Lato"/>
            <w:color w:val="000000" w:themeColor="text1"/>
            <w:sz w:val="24"/>
            <w:szCs w:val="24"/>
          </w:rPr>
          <w:t>(ADORE) Resources</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xml:space="preserve">This </w:t>
      </w:r>
      <w:r w:rsidRPr="0060384B">
        <w:rPr>
          <w:rFonts w:ascii="Lato" w:hAnsi="Lato"/>
          <w:color w:val="000000" w:themeColor="text1"/>
          <w:sz w:val="24"/>
          <w:szCs w:val="24"/>
        </w:rPr>
        <w:t>new repository offers the research community resources to support</w:t>
      </w:r>
      <w:r w:rsidRPr="0060384B">
        <w:rPr>
          <w:rFonts w:ascii="Lato" w:hAnsi="Lato"/>
          <w:color w:val="000000" w:themeColor="text1"/>
          <w:sz w:val="24"/>
          <w:szCs w:val="24"/>
        </w:rPr>
        <w:t xml:space="preserve"> </w:t>
      </w:r>
      <w:r w:rsidRPr="0060384B">
        <w:rPr>
          <w:rFonts w:ascii="Lato" w:hAnsi="Lato"/>
          <w:color w:val="000000" w:themeColor="text1"/>
          <w:sz w:val="24"/>
          <w:szCs w:val="24"/>
        </w:rPr>
        <w:t>recruitment and retention of volunteers into clinical trials an</w:t>
      </w:r>
      <w:r w:rsidRPr="0060384B">
        <w:rPr>
          <w:rFonts w:ascii="Lato" w:hAnsi="Lato"/>
          <w:color w:val="000000" w:themeColor="text1"/>
          <w:sz w:val="24"/>
          <w:szCs w:val="24"/>
        </w:rPr>
        <w:t>d studies. The National Recruitment Strategy for participation in dementia studies called for sharing approaches in recruitment and participation that have proven successful, so that study leaders and stakeholders can see and adapt what has worked for othe</w:t>
      </w:r>
      <w:r w:rsidRPr="0060384B">
        <w:rPr>
          <w:rFonts w:ascii="Lato" w:hAnsi="Lato"/>
          <w:color w:val="000000" w:themeColor="text1"/>
          <w:sz w:val="24"/>
          <w:szCs w:val="24"/>
        </w:rPr>
        <w:t>r sites and communities. The repository is curated and updated by NIA with the help of its Alzheimer</w:t>
      </w:r>
      <w:r w:rsidRPr="0060384B">
        <w:rPr>
          <w:rFonts w:ascii="Lato" w:hAnsi="Lato"/>
          <w:color w:val="000000" w:themeColor="text1"/>
          <w:sz w:val="24"/>
          <w:szCs w:val="24"/>
        </w:rPr>
        <w:t>’s Disease Research Centers and other sources. It contains more than 300 resources about education, awareness, and recruitment. It provides information on w</w:t>
      </w:r>
      <w:r w:rsidRPr="0060384B">
        <w:rPr>
          <w:rFonts w:ascii="Lato" w:hAnsi="Lato"/>
          <w:color w:val="000000" w:themeColor="text1"/>
          <w:sz w:val="24"/>
          <w:szCs w:val="24"/>
        </w:rPr>
        <w:t>orking with participants during their time in a study, explaining study procedures and results, and managing research operations.</w:t>
      </w:r>
    </w:p>
    <w:p w14:paraId="266547C5" w14:textId="77777777" w:rsidR="00000000" w:rsidRPr="0060384B" w:rsidRDefault="00CA5F6F">
      <w:pPr>
        <w:spacing w:line="255" w:lineRule="exact"/>
        <w:rPr>
          <w:rFonts w:ascii="Lato" w:eastAsia="Times New Roman" w:hAnsi="Lato"/>
          <w:color w:val="000000" w:themeColor="text1"/>
          <w:sz w:val="24"/>
          <w:szCs w:val="24"/>
        </w:rPr>
      </w:pPr>
    </w:p>
    <w:p w14:paraId="167F1611" w14:textId="77777777" w:rsidR="00000000" w:rsidRPr="0060384B" w:rsidRDefault="00CA5F6F">
      <w:pPr>
        <w:spacing w:line="264" w:lineRule="auto"/>
        <w:ind w:right="1280"/>
        <w:rPr>
          <w:rFonts w:ascii="Lato" w:hAnsi="Lato"/>
          <w:color w:val="000000" w:themeColor="text1"/>
          <w:sz w:val="24"/>
          <w:szCs w:val="24"/>
        </w:rPr>
      </w:pPr>
      <w:r w:rsidRPr="0060384B">
        <w:rPr>
          <w:rFonts w:ascii="Lato" w:hAnsi="Lato"/>
          <w:color w:val="000000" w:themeColor="text1"/>
          <w:sz w:val="24"/>
          <w:szCs w:val="24"/>
        </w:rPr>
        <w:t xml:space="preserve">Learn more about research implementation milestones and progress in this area at </w:t>
      </w:r>
      <w:hyperlink r:id="rId230" w:history="1">
        <w:r w:rsidRPr="0060384B">
          <w:rPr>
            <w:rFonts w:ascii="Lato" w:hAnsi="Lato"/>
            <w:color w:val="000000" w:themeColor="text1"/>
            <w:sz w:val="24"/>
            <w:szCs w:val="24"/>
          </w:rPr>
          <w:t>www.nia.nih.gov/research/milestones/focus-area/trial-innovation</w:t>
        </w:r>
        <w:r w:rsidRPr="0060384B">
          <w:rPr>
            <w:rFonts w:ascii="Lato" w:hAnsi="Lato"/>
            <w:color w:val="000000" w:themeColor="text1"/>
            <w:sz w:val="24"/>
            <w:szCs w:val="24"/>
          </w:rPr>
          <w:t>.</w:t>
        </w:r>
      </w:hyperlink>
    </w:p>
    <w:p w14:paraId="247E3C91" w14:textId="77777777" w:rsidR="00000000" w:rsidRPr="0060384B" w:rsidRDefault="00CA5F6F">
      <w:pPr>
        <w:spacing w:line="264" w:lineRule="auto"/>
        <w:ind w:right="128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19E65338" w14:textId="77777777" w:rsidR="00000000" w:rsidRPr="0060384B" w:rsidRDefault="00CA5F6F">
      <w:pPr>
        <w:spacing w:line="200" w:lineRule="exact"/>
        <w:rPr>
          <w:rFonts w:ascii="Lato" w:eastAsia="Times New Roman" w:hAnsi="Lato"/>
          <w:color w:val="000000" w:themeColor="text1"/>
          <w:sz w:val="24"/>
          <w:szCs w:val="24"/>
        </w:rPr>
      </w:pPr>
    </w:p>
    <w:p w14:paraId="34134095" w14:textId="77777777" w:rsidR="00000000" w:rsidRPr="0060384B" w:rsidRDefault="00CA5F6F">
      <w:pPr>
        <w:spacing w:line="200" w:lineRule="exact"/>
        <w:rPr>
          <w:rFonts w:ascii="Lato" w:eastAsia="Times New Roman" w:hAnsi="Lato"/>
          <w:color w:val="000000" w:themeColor="text1"/>
          <w:sz w:val="24"/>
          <w:szCs w:val="24"/>
        </w:rPr>
      </w:pPr>
    </w:p>
    <w:p w14:paraId="61A15CEC" w14:textId="77777777" w:rsidR="00000000" w:rsidRPr="0060384B" w:rsidRDefault="00CA5F6F">
      <w:pPr>
        <w:spacing w:line="200" w:lineRule="exact"/>
        <w:rPr>
          <w:rFonts w:ascii="Lato" w:eastAsia="Times New Roman" w:hAnsi="Lato"/>
          <w:color w:val="000000" w:themeColor="text1"/>
          <w:sz w:val="24"/>
          <w:szCs w:val="24"/>
        </w:rPr>
      </w:pPr>
    </w:p>
    <w:p w14:paraId="0676A231" w14:textId="77777777" w:rsidR="00000000" w:rsidRPr="0060384B" w:rsidRDefault="00CA5F6F">
      <w:pPr>
        <w:spacing w:line="200" w:lineRule="exact"/>
        <w:rPr>
          <w:rFonts w:ascii="Lato" w:eastAsia="Times New Roman" w:hAnsi="Lato"/>
          <w:color w:val="000000" w:themeColor="text1"/>
          <w:sz w:val="24"/>
          <w:szCs w:val="24"/>
        </w:rPr>
      </w:pPr>
    </w:p>
    <w:p w14:paraId="1038E282" w14:textId="77777777" w:rsidR="00000000" w:rsidRPr="0060384B" w:rsidRDefault="00CA5F6F">
      <w:pPr>
        <w:spacing w:line="200" w:lineRule="exact"/>
        <w:rPr>
          <w:rFonts w:ascii="Lato" w:eastAsia="Times New Roman" w:hAnsi="Lato"/>
          <w:color w:val="000000" w:themeColor="text1"/>
          <w:sz w:val="24"/>
          <w:szCs w:val="24"/>
        </w:rPr>
      </w:pPr>
    </w:p>
    <w:p w14:paraId="71564B3F" w14:textId="77777777" w:rsidR="00000000" w:rsidRPr="0060384B" w:rsidRDefault="00CA5F6F">
      <w:pPr>
        <w:spacing w:line="200" w:lineRule="exact"/>
        <w:rPr>
          <w:rFonts w:ascii="Lato" w:eastAsia="Times New Roman" w:hAnsi="Lato"/>
          <w:color w:val="000000" w:themeColor="text1"/>
          <w:sz w:val="24"/>
          <w:szCs w:val="24"/>
        </w:rPr>
      </w:pPr>
    </w:p>
    <w:p w14:paraId="1691AEAB" w14:textId="77777777" w:rsidR="00000000" w:rsidRPr="0060384B" w:rsidRDefault="00CA5F6F">
      <w:pPr>
        <w:spacing w:line="200" w:lineRule="exact"/>
        <w:rPr>
          <w:rFonts w:ascii="Lato" w:eastAsia="Times New Roman" w:hAnsi="Lato"/>
          <w:color w:val="000000" w:themeColor="text1"/>
          <w:sz w:val="24"/>
          <w:szCs w:val="24"/>
        </w:rPr>
      </w:pPr>
    </w:p>
    <w:p w14:paraId="6DE6967B" w14:textId="77777777" w:rsidR="00000000" w:rsidRPr="0060384B" w:rsidRDefault="00CA5F6F">
      <w:pPr>
        <w:spacing w:line="200" w:lineRule="exact"/>
        <w:rPr>
          <w:rFonts w:ascii="Lato" w:eastAsia="Times New Roman" w:hAnsi="Lato"/>
          <w:color w:val="000000" w:themeColor="text1"/>
          <w:sz w:val="24"/>
          <w:szCs w:val="24"/>
        </w:rPr>
      </w:pPr>
    </w:p>
    <w:p w14:paraId="4227EE03" w14:textId="77777777" w:rsidR="00000000" w:rsidRPr="0060384B" w:rsidRDefault="00CA5F6F">
      <w:pPr>
        <w:spacing w:line="387"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4324BADB" w14:textId="77777777">
        <w:trPr>
          <w:trHeight w:val="245"/>
        </w:trPr>
        <w:tc>
          <w:tcPr>
            <w:tcW w:w="6540" w:type="dxa"/>
            <w:shd w:val="clear" w:color="auto" w:fill="auto"/>
            <w:vAlign w:val="bottom"/>
          </w:tcPr>
          <w:p w14:paraId="10E2B05A"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TOGETHER WE SUCCEED</w:t>
            </w:r>
          </w:p>
        </w:tc>
        <w:tc>
          <w:tcPr>
            <w:tcW w:w="2820" w:type="dxa"/>
            <w:shd w:val="clear" w:color="auto" w:fill="auto"/>
            <w:vAlign w:val="bottom"/>
          </w:tcPr>
          <w:p w14:paraId="63941634"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63</w:t>
            </w:r>
          </w:p>
        </w:tc>
      </w:tr>
      <w:tr w:rsidR="00000000" w:rsidRPr="0060384B" w14:paraId="4F24629E" w14:textId="77777777">
        <w:trPr>
          <w:trHeight w:val="258"/>
        </w:trPr>
        <w:tc>
          <w:tcPr>
            <w:tcW w:w="6540" w:type="dxa"/>
            <w:shd w:val="clear" w:color="auto" w:fill="auto"/>
            <w:vAlign w:val="bottom"/>
          </w:tcPr>
          <w:p w14:paraId="732147F6"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5ED2917D" w14:textId="77777777" w:rsidR="00000000" w:rsidRPr="0060384B" w:rsidRDefault="00CA5F6F">
            <w:pPr>
              <w:spacing w:line="0" w:lineRule="atLeast"/>
              <w:rPr>
                <w:rFonts w:ascii="Lato" w:eastAsia="Times New Roman" w:hAnsi="Lato"/>
                <w:color w:val="000000" w:themeColor="text1"/>
                <w:sz w:val="24"/>
                <w:szCs w:val="24"/>
              </w:rPr>
            </w:pPr>
          </w:p>
        </w:tc>
      </w:tr>
    </w:tbl>
    <w:p w14:paraId="41E82B0E"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02C881E5" w14:textId="70D93E94" w:rsidR="00000000" w:rsidRPr="0060384B" w:rsidRDefault="00FB45BD">
      <w:pPr>
        <w:spacing w:line="336" w:lineRule="exact"/>
        <w:rPr>
          <w:rFonts w:ascii="Lato" w:eastAsia="Times New Roman" w:hAnsi="Lato"/>
          <w:color w:val="000000" w:themeColor="text1"/>
          <w:sz w:val="24"/>
          <w:szCs w:val="24"/>
        </w:rPr>
      </w:pPr>
      <w:bookmarkStart w:id="66" w:name="page67"/>
      <w:bookmarkEnd w:id="66"/>
      <w:r w:rsidRPr="0060384B">
        <w:rPr>
          <w:rFonts w:ascii="Lato" w:eastAsia="Times New Roman" w:hAnsi="Lato"/>
          <w:noProof/>
          <w:color w:val="000000" w:themeColor="text1"/>
          <w:sz w:val="24"/>
          <w:szCs w:val="24"/>
        </w:rPr>
        <w:lastRenderedPageBreak/>
        <mc:AlternateContent>
          <mc:Choice Requires="wps">
            <w:drawing>
              <wp:anchor distT="0" distB="0" distL="114300" distR="114300" simplePos="0" relativeHeight="251662848" behindDoc="1" locked="0" layoutInCell="1" allowOverlap="1" wp14:anchorId="07585ACE" wp14:editId="0D578014">
                <wp:simplePos x="0" y="0"/>
                <wp:positionH relativeFrom="page">
                  <wp:posOffset>909320</wp:posOffset>
                </wp:positionH>
                <wp:positionV relativeFrom="page">
                  <wp:posOffset>1064260</wp:posOffset>
                </wp:positionV>
                <wp:extent cx="5806440" cy="0"/>
                <wp:effectExtent l="13970" t="6985" r="8890" b="12065"/>
                <wp:wrapNone/>
                <wp:docPr id="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64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06984" id="Line 20"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6pt,83.8pt" to="528.8pt,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">
                <w10:wrap anchorx="page" anchory="page"/>
              </v:line>
            </w:pict>
          </mc:Fallback>
        </mc:AlternateContent>
      </w:r>
      <w:r w:rsidRPr="0060384B">
        <w:rPr>
          <w:rFonts w:ascii="Lato" w:eastAsia="Times New Roman" w:hAnsi="Lato"/>
          <w:noProof/>
          <w:color w:val="000000" w:themeColor="text1"/>
          <w:sz w:val="24"/>
          <w:szCs w:val="24"/>
        </w:rPr>
        <mc:AlternateContent>
          <mc:Choice Requires="wps">
            <w:drawing>
              <wp:anchor distT="0" distB="0" distL="114300" distR="114300" simplePos="0" relativeHeight="251663872" behindDoc="1" locked="0" layoutInCell="1" allowOverlap="1" wp14:anchorId="63A0333A" wp14:editId="0AFDDCB7">
                <wp:simplePos x="0" y="0"/>
                <wp:positionH relativeFrom="page">
                  <wp:posOffset>6711315</wp:posOffset>
                </wp:positionH>
                <wp:positionV relativeFrom="page">
                  <wp:posOffset>1059815</wp:posOffset>
                </wp:positionV>
                <wp:extent cx="0" cy="2447925"/>
                <wp:effectExtent l="5715" t="12065" r="13335" b="6985"/>
                <wp:wrapNone/>
                <wp:docPr id="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79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509C5" id="Line 21"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45pt,83.45pt" to="528.45pt,2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">
                <w10:wrap anchorx="page" anchory="page"/>
              </v:line>
            </w:pict>
          </mc:Fallback>
        </mc:AlternateContent>
      </w:r>
      <w:r w:rsidRPr="0060384B">
        <w:rPr>
          <w:rFonts w:ascii="Lato" w:eastAsia="Times New Roman" w:hAnsi="Lato"/>
          <w:noProof/>
          <w:color w:val="000000" w:themeColor="text1"/>
          <w:sz w:val="24"/>
          <w:szCs w:val="24"/>
        </w:rPr>
        <mc:AlternateContent>
          <mc:Choice Requires="wps">
            <w:drawing>
              <wp:anchor distT="0" distB="0" distL="114300" distR="114300" simplePos="0" relativeHeight="251664896" behindDoc="1" locked="0" layoutInCell="1" allowOverlap="1" wp14:anchorId="13DA2039" wp14:editId="2A8C8BD5">
                <wp:simplePos x="0" y="0"/>
                <wp:positionH relativeFrom="page">
                  <wp:posOffset>914400</wp:posOffset>
                </wp:positionH>
                <wp:positionV relativeFrom="page">
                  <wp:posOffset>1059815</wp:posOffset>
                </wp:positionV>
                <wp:extent cx="0" cy="2447925"/>
                <wp:effectExtent l="9525" t="12065" r="9525" b="6985"/>
                <wp:wrapNone/>
                <wp:docPr id="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79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19447" id="Line 22"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83.45pt" to="1in,2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">
                <w10:wrap anchorx="page" anchory="page"/>
              </v:line>
            </w:pict>
          </mc:Fallback>
        </mc:AlternateContent>
      </w:r>
      <w:r w:rsidRPr="0060384B">
        <w:rPr>
          <w:rFonts w:ascii="Lato" w:eastAsia="Times New Roman" w:hAnsi="Lato"/>
          <w:noProof/>
          <w:color w:val="000000" w:themeColor="text1"/>
          <w:sz w:val="24"/>
          <w:szCs w:val="24"/>
        </w:rPr>
        <mc:AlternateContent>
          <mc:Choice Requires="wps">
            <w:drawing>
              <wp:anchor distT="0" distB="0" distL="114300" distR="114300" simplePos="0" relativeHeight="251665920" behindDoc="1" locked="0" layoutInCell="1" allowOverlap="1" wp14:anchorId="3212F09E" wp14:editId="62350C57">
                <wp:simplePos x="0" y="0"/>
                <wp:positionH relativeFrom="page">
                  <wp:posOffset>909320</wp:posOffset>
                </wp:positionH>
                <wp:positionV relativeFrom="page">
                  <wp:posOffset>3502660</wp:posOffset>
                </wp:positionV>
                <wp:extent cx="5806440" cy="0"/>
                <wp:effectExtent l="13970" t="6985" r="8890" b="12065"/>
                <wp:wrapNone/>
                <wp:docPr id="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64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627E3" id="Line 23"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6pt,275.8pt" to="528.8pt,2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">
                <w10:wrap anchorx="page" anchory="page"/>
              </v:line>
            </w:pict>
          </mc:Fallback>
        </mc:AlternateContent>
      </w:r>
    </w:p>
    <w:p w14:paraId="612BDE72" w14:textId="77777777" w:rsidR="00000000" w:rsidRPr="0060384B" w:rsidRDefault="00CA5F6F">
      <w:pPr>
        <w:spacing w:line="0" w:lineRule="atLeast"/>
        <w:ind w:left="160"/>
        <w:rPr>
          <w:rFonts w:ascii="Lato" w:hAnsi="Lato"/>
          <w:b/>
          <w:color w:val="000000" w:themeColor="text1"/>
          <w:sz w:val="24"/>
          <w:szCs w:val="24"/>
        </w:rPr>
      </w:pPr>
      <w:r w:rsidRPr="0060384B">
        <w:rPr>
          <w:rFonts w:ascii="Lato" w:hAnsi="Lato"/>
          <w:b/>
          <w:color w:val="000000" w:themeColor="text1"/>
          <w:sz w:val="24"/>
          <w:szCs w:val="24"/>
        </w:rPr>
        <w:t>“Why I Participate in Alzheimer</w:t>
      </w:r>
      <w:r w:rsidRPr="0060384B">
        <w:rPr>
          <w:rFonts w:ascii="Lato" w:hAnsi="Lato"/>
          <w:b/>
          <w:color w:val="000000" w:themeColor="text1"/>
          <w:sz w:val="24"/>
          <w:szCs w:val="24"/>
        </w:rPr>
        <w:t>’s Research</w:t>
      </w:r>
      <w:r w:rsidRPr="0060384B">
        <w:rPr>
          <w:rFonts w:ascii="Lato" w:hAnsi="Lato"/>
          <w:b/>
          <w:color w:val="000000" w:themeColor="text1"/>
          <w:sz w:val="24"/>
          <w:szCs w:val="24"/>
        </w:rPr>
        <w:t>” Videos</w:t>
      </w:r>
    </w:p>
    <w:p w14:paraId="6B01945B" w14:textId="77777777" w:rsidR="00000000" w:rsidRPr="0060384B" w:rsidRDefault="00CA5F6F">
      <w:pPr>
        <w:spacing w:line="281" w:lineRule="exact"/>
        <w:rPr>
          <w:rFonts w:ascii="Lato" w:eastAsia="Times New Roman" w:hAnsi="Lato"/>
          <w:color w:val="000000" w:themeColor="text1"/>
          <w:sz w:val="24"/>
          <w:szCs w:val="24"/>
        </w:rPr>
      </w:pPr>
    </w:p>
    <w:p w14:paraId="36A548D7" w14:textId="77777777" w:rsidR="00000000" w:rsidRPr="0060384B" w:rsidRDefault="00CA5F6F">
      <w:pPr>
        <w:spacing w:line="242" w:lineRule="auto"/>
        <w:ind w:left="160" w:right="420"/>
        <w:rPr>
          <w:rFonts w:ascii="Lato" w:hAnsi="Lato"/>
          <w:color w:val="000000" w:themeColor="text1"/>
          <w:sz w:val="24"/>
          <w:szCs w:val="24"/>
        </w:rPr>
      </w:pPr>
      <w:r w:rsidRPr="0060384B">
        <w:rPr>
          <w:rFonts w:ascii="Lato" w:hAnsi="Lato"/>
          <w:color w:val="000000" w:themeColor="text1"/>
          <w:sz w:val="24"/>
          <w:szCs w:val="24"/>
        </w:rPr>
        <w:t>To hel</w:t>
      </w:r>
      <w:r w:rsidRPr="0060384B">
        <w:rPr>
          <w:rFonts w:ascii="Lato" w:hAnsi="Lato"/>
          <w:color w:val="000000" w:themeColor="text1"/>
          <w:sz w:val="24"/>
          <w:szCs w:val="24"/>
        </w:rPr>
        <w:t xml:space="preserve">p researchers address the burgeoning demand for clinical research volunteers, NIA produced a series of recruitment videos, </w:t>
      </w:r>
      <w:hyperlink r:id="rId231" w:history="1">
        <w:r w:rsidRPr="0060384B">
          <w:rPr>
            <w:rFonts w:ascii="Lato" w:hAnsi="Lato"/>
            <w:color w:val="000000" w:themeColor="text1"/>
            <w:sz w:val="24"/>
            <w:szCs w:val="24"/>
          </w:rPr>
          <w:t>Why I Participate in Alzheimer</w:t>
        </w:r>
        <w:r w:rsidRPr="0060384B">
          <w:rPr>
            <w:rFonts w:ascii="Lato" w:hAnsi="Lato"/>
            <w:color w:val="000000" w:themeColor="text1"/>
            <w:sz w:val="24"/>
            <w:szCs w:val="24"/>
          </w:rPr>
          <w:t>’s Research</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The testimonial-style videos profile the experiences of four participants in Alzheimer</w:t>
      </w:r>
      <w:r w:rsidRPr="0060384B">
        <w:rPr>
          <w:rFonts w:ascii="Lato" w:hAnsi="Lato"/>
          <w:color w:val="000000" w:themeColor="text1"/>
          <w:sz w:val="24"/>
          <w:szCs w:val="24"/>
        </w:rPr>
        <w:t>’s disease clinical trials, who discuss what motivates them and how research staff support them. Each video features a s</w:t>
      </w:r>
      <w:r w:rsidRPr="0060384B">
        <w:rPr>
          <w:rFonts w:ascii="Lato" w:hAnsi="Lato"/>
          <w:color w:val="000000" w:themeColor="text1"/>
          <w:sz w:val="24"/>
          <w:szCs w:val="24"/>
        </w:rPr>
        <w:t>pecific type of participant</w:t>
      </w:r>
      <w:r w:rsidRPr="0060384B">
        <w:rPr>
          <w:rFonts w:ascii="Lato" w:hAnsi="Lato"/>
          <w:color w:val="000000" w:themeColor="text1"/>
          <w:sz w:val="24"/>
          <w:szCs w:val="24"/>
        </w:rPr>
        <w:t xml:space="preserve">—African Americans, caregivers, healthy volunteers, and people with a family history of dementia. </w:t>
      </w:r>
      <w:hyperlink r:id="rId232" w:history="1">
        <w:r w:rsidRPr="0060384B">
          <w:rPr>
            <w:rFonts w:ascii="Lato" w:hAnsi="Lato"/>
            <w:color w:val="000000" w:themeColor="text1"/>
            <w:sz w:val="24"/>
            <w:szCs w:val="24"/>
          </w:rPr>
          <w:t>The videos are available on the</w:t>
        </w:r>
      </w:hyperlink>
      <w:r w:rsidRPr="0060384B">
        <w:rPr>
          <w:rFonts w:ascii="Lato" w:hAnsi="Lato"/>
          <w:color w:val="000000" w:themeColor="text1"/>
          <w:sz w:val="24"/>
          <w:szCs w:val="24"/>
        </w:rPr>
        <w:t xml:space="preserve"> </w:t>
      </w:r>
      <w:hyperlink r:id="rId233" w:history="1">
        <w:r w:rsidRPr="0060384B">
          <w:rPr>
            <w:rFonts w:ascii="Lato" w:hAnsi="Lato"/>
            <w:color w:val="000000" w:themeColor="text1"/>
            <w:sz w:val="24"/>
            <w:szCs w:val="24"/>
          </w:rPr>
          <w:t>NIA website</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xml:space="preserve">We </w:t>
      </w:r>
      <w:r w:rsidRPr="0060384B">
        <w:rPr>
          <w:rFonts w:ascii="Lato" w:hAnsi="Lato"/>
          <w:color w:val="000000" w:themeColor="text1"/>
          <w:sz w:val="24"/>
          <w:szCs w:val="24"/>
        </w:rPr>
        <w:t>encourage researchers, community organizations, participants, and</w:t>
      </w:r>
      <w:r w:rsidRPr="0060384B">
        <w:rPr>
          <w:rFonts w:ascii="Lato" w:hAnsi="Lato"/>
          <w:color w:val="000000" w:themeColor="text1"/>
          <w:sz w:val="24"/>
          <w:szCs w:val="24"/>
        </w:rPr>
        <w:t xml:space="preserve"> </w:t>
      </w:r>
      <w:r w:rsidRPr="0060384B">
        <w:rPr>
          <w:rFonts w:ascii="Lato" w:hAnsi="Lato"/>
          <w:color w:val="000000" w:themeColor="text1"/>
          <w:sz w:val="24"/>
          <w:szCs w:val="24"/>
        </w:rPr>
        <w:t xml:space="preserve">anyone interested in helping spread the word about participating in research to download and </w:t>
      </w:r>
      <w:r w:rsidRPr="0060384B">
        <w:rPr>
          <w:rFonts w:ascii="Lato" w:hAnsi="Lato"/>
          <w:color w:val="000000" w:themeColor="text1"/>
          <w:sz w:val="24"/>
          <w:szCs w:val="24"/>
        </w:rPr>
        <w:t xml:space="preserve">share them. As one participant says, </w:t>
      </w:r>
      <w:r w:rsidRPr="0060384B">
        <w:rPr>
          <w:rFonts w:ascii="Lato" w:hAnsi="Lato"/>
          <w:color w:val="000000" w:themeColor="text1"/>
          <w:sz w:val="24"/>
          <w:szCs w:val="24"/>
        </w:rPr>
        <w:t>“I</w:t>
      </w:r>
      <w:r w:rsidRPr="0060384B">
        <w:rPr>
          <w:rFonts w:ascii="Lato" w:hAnsi="Lato"/>
          <w:color w:val="000000" w:themeColor="text1"/>
          <w:sz w:val="24"/>
          <w:szCs w:val="24"/>
        </w:rPr>
        <w:t>’m just one drop of water in a bucket. But it takes thousands of drops to win the fight against dementia.</w:t>
      </w:r>
      <w:r w:rsidRPr="0060384B">
        <w:rPr>
          <w:rFonts w:ascii="Lato" w:hAnsi="Lato"/>
          <w:color w:val="000000" w:themeColor="text1"/>
          <w:sz w:val="24"/>
          <w:szCs w:val="24"/>
        </w:rPr>
        <w:t>”</w:t>
      </w:r>
    </w:p>
    <w:p w14:paraId="7DE83B97" w14:textId="77777777" w:rsidR="00000000" w:rsidRPr="0060384B" w:rsidRDefault="00CA5F6F">
      <w:pPr>
        <w:spacing w:line="200" w:lineRule="exact"/>
        <w:rPr>
          <w:rFonts w:ascii="Lato" w:hAnsi="Lato"/>
          <w:color w:val="000000" w:themeColor="text1"/>
          <w:sz w:val="24"/>
          <w:szCs w:val="24"/>
        </w:rPr>
      </w:pPr>
    </w:p>
    <w:p w14:paraId="514307BD" w14:textId="77777777" w:rsidR="00000000" w:rsidRPr="0060384B" w:rsidRDefault="00CA5F6F">
      <w:pPr>
        <w:spacing w:line="200" w:lineRule="exact"/>
        <w:rPr>
          <w:rFonts w:ascii="Lato" w:hAnsi="Lato"/>
          <w:color w:val="000000" w:themeColor="text1"/>
          <w:sz w:val="24"/>
          <w:szCs w:val="24"/>
        </w:rPr>
      </w:pPr>
    </w:p>
    <w:p w14:paraId="138CCF7B" w14:textId="77777777" w:rsidR="00000000" w:rsidRPr="0060384B" w:rsidRDefault="00CA5F6F">
      <w:pPr>
        <w:spacing w:line="200" w:lineRule="exact"/>
        <w:rPr>
          <w:rFonts w:ascii="Lato" w:hAnsi="Lato"/>
          <w:color w:val="000000" w:themeColor="text1"/>
          <w:sz w:val="24"/>
          <w:szCs w:val="24"/>
        </w:rPr>
      </w:pPr>
    </w:p>
    <w:p w14:paraId="1C0051CA" w14:textId="77777777" w:rsidR="00000000" w:rsidRPr="0060384B" w:rsidRDefault="00CA5F6F">
      <w:pPr>
        <w:spacing w:line="200" w:lineRule="exact"/>
        <w:rPr>
          <w:rFonts w:ascii="Lato" w:hAnsi="Lato"/>
          <w:color w:val="000000" w:themeColor="text1"/>
          <w:sz w:val="24"/>
          <w:szCs w:val="24"/>
        </w:rPr>
      </w:pPr>
    </w:p>
    <w:p w14:paraId="534E7D63" w14:textId="77777777" w:rsidR="00000000" w:rsidRPr="0060384B" w:rsidRDefault="00CA5F6F">
      <w:pPr>
        <w:spacing w:line="200" w:lineRule="exact"/>
        <w:rPr>
          <w:rFonts w:ascii="Lato" w:hAnsi="Lato"/>
          <w:color w:val="000000" w:themeColor="text1"/>
          <w:sz w:val="24"/>
          <w:szCs w:val="24"/>
        </w:rPr>
      </w:pPr>
    </w:p>
    <w:p w14:paraId="052D11FD" w14:textId="77777777" w:rsidR="00000000" w:rsidRPr="0060384B" w:rsidRDefault="00CA5F6F">
      <w:pPr>
        <w:spacing w:line="200" w:lineRule="exact"/>
        <w:rPr>
          <w:rFonts w:ascii="Lato" w:hAnsi="Lato"/>
          <w:color w:val="000000" w:themeColor="text1"/>
          <w:sz w:val="24"/>
          <w:szCs w:val="24"/>
        </w:rPr>
      </w:pPr>
    </w:p>
    <w:p w14:paraId="2D17D447" w14:textId="77777777" w:rsidR="00000000" w:rsidRPr="0060384B" w:rsidRDefault="00CA5F6F">
      <w:pPr>
        <w:spacing w:line="200" w:lineRule="exact"/>
        <w:rPr>
          <w:rFonts w:ascii="Lato" w:hAnsi="Lato"/>
          <w:color w:val="000000" w:themeColor="text1"/>
          <w:sz w:val="24"/>
          <w:szCs w:val="24"/>
        </w:rPr>
      </w:pPr>
    </w:p>
    <w:p w14:paraId="06377892" w14:textId="77777777" w:rsidR="00000000" w:rsidRPr="0060384B" w:rsidRDefault="00CA5F6F">
      <w:pPr>
        <w:spacing w:line="200" w:lineRule="exact"/>
        <w:rPr>
          <w:rFonts w:ascii="Lato" w:hAnsi="Lato"/>
          <w:color w:val="000000" w:themeColor="text1"/>
          <w:sz w:val="24"/>
          <w:szCs w:val="24"/>
        </w:rPr>
      </w:pPr>
    </w:p>
    <w:p w14:paraId="1919252D" w14:textId="77777777" w:rsidR="00000000" w:rsidRPr="0060384B" w:rsidRDefault="00CA5F6F">
      <w:pPr>
        <w:spacing w:line="200" w:lineRule="exact"/>
        <w:rPr>
          <w:rFonts w:ascii="Lato" w:hAnsi="Lato"/>
          <w:color w:val="000000" w:themeColor="text1"/>
          <w:sz w:val="24"/>
          <w:szCs w:val="24"/>
        </w:rPr>
      </w:pPr>
    </w:p>
    <w:p w14:paraId="74B3E24C" w14:textId="77777777" w:rsidR="00000000" w:rsidRPr="0060384B" w:rsidRDefault="00CA5F6F">
      <w:pPr>
        <w:spacing w:line="200" w:lineRule="exact"/>
        <w:rPr>
          <w:rFonts w:ascii="Lato" w:hAnsi="Lato"/>
          <w:color w:val="000000" w:themeColor="text1"/>
          <w:sz w:val="24"/>
          <w:szCs w:val="24"/>
        </w:rPr>
      </w:pPr>
    </w:p>
    <w:p w14:paraId="33FD6B3B" w14:textId="77777777" w:rsidR="00000000" w:rsidRPr="0060384B" w:rsidRDefault="00CA5F6F">
      <w:pPr>
        <w:spacing w:line="200" w:lineRule="exact"/>
        <w:rPr>
          <w:rFonts w:ascii="Lato" w:hAnsi="Lato"/>
          <w:color w:val="000000" w:themeColor="text1"/>
          <w:sz w:val="24"/>
          <w:szCs w:val="24"/>
        </w:rPr>
      </w:pPr>
    </w:p>
    <w:p w14:paraId="1C078662" w14:textId="77777777" w:rsidR="00000000" w:rsidRPr="0060384B" w:rsidRDefault="00CA5F6F">
      <w:pPr>
        <w:spacing w:line="200" w:lineRule="exact"/>
        <w:rPr>
          <w:rFonts w:ascii="Lato" w:hAnsi="Lato"/>
          <w:color w:val="000000" w:themeColor="text1"/>
          <w:sz w:val="24"/>
          <w:szCs w:val="24"/>
        </w:rPr>
      </w:pPr>
    </w:p>
    <w:p w14:paraId="67BB302C" w14:textId="77777777" w:rsidR="00000000" w:rsidRPr="0060384B" w:rsidRDefault="00CA5F6F">
      <w:pPr>
        <w:spacing w:line="200" w:lineRule="exact"/>
        <w:rPr>
          <w:rFonts w:ascii="Lato" w:hAnsi="Lato"/>
          <w:color w:val="000000" w:themeColor="text1"/>
          <w:sz w:val="24"/>
          <w:szCs w:val="24"/>
        </w:rPr>
      </w:pPr>
    </w:p>
    <w:p w14:paraId="1333E845" w14:textId="77777777" w:rsidR="00000000" w:rsidRPr="0060384B" w:rsidRDefault="00CA5F6F">
      <w:pPr>
        <w:spacing w:line="200" w:lineRule="exact"/>
        <w:rPr>
          <w:rFonts w:ascii="Lato" w:hAnsi="Lato"/>
          <w:color w:val="000000" w:themeColor="text1"/>
          <w:sz w:val="24"/>
          <w:szCs w:val="24"/>
        </w:rPr>
      </w:pPr>
    </w:p>
    <w:p w14:paraId="49626234" w14:textId="77777777" w:rsidR="00000000" w:rsidRPr="0060384B" w:rsidRDefault="00CA5F6F">
      <w:pPr>
        <w:spacing w:line="200" w:lineRule="exact"/>
        <w:rPr>
          <w:rFonts w:ascii="Lato" w:hAnsi="Lato"/>
          <w:color w:val="000000" w:themeColor="text1"/>
          <w:sz w:val="24"/>
          <w:szCs w:val="24"/>
        </w:rPr>
      </w:pPr>
    </w:p>
    <w:p w14:paraId="5E5E3523" w14:textId="77777777" w:rsidR="00000000" w:rsidRPr="0060384B" w:rsidRDefault="00CA5F6F">
      <w:pPr>
        <w:spacing w:line="200" w:lineRule="exact"/>
        <w:rPr>
          <w:rFonts w:ascii="Lato" w:hAnsi="Lato"/>
          <w:color w:val="000000" w:themeColor="text1"/>
          <w:sz w:val="24"/>
          <w:szCs w:val="24"/>
        </w:rPr>
      </w:pPr>
    </w:p>
    <w:p w14:paraId="5F296E28" w14:textId="77777777" w:rsidR="00000000" w:rsidRPr="0060384B" w:rsidRDefault="00CA5F6F">
      <w:pPr>
        <w:spacing w:line="200" w:lineRule="exact"/>
        <w:rPr>
          <w:rFonts w:ascii="Lato" w:hAnsi="Lato"/>
          <w:color w:val="000000" w:themeColor="text1"/>
          <w:sz w:val="24"/>
          <w:szCs w:val="24"/>
        </w:rPr>
      </w:pPr>
    </w:p>
    <w:p w14:paraId="5373EAB1" w14:textId="77777777" w:rsidR="00000000" w:rsidRPr="0060384B" w:rsidRDefault="00CA5F6F">
      <w:pPr>
        <w:spacing w:line="200" w:lineRule="exact"/>
        <w:rPr>
          <w:rFonts w:ascii="Lato" w:hAnsi="Lato"/>
          <w:color w:val="000000" w:themeColor="text1"/>
          <w:sz w:val="24"/>
          <w:szCs w:val="24"/>
        </w:rPr>
      </w:pPr>
    </w:p>
    <w:p w14:paraId="20FF734D" w14:textId="77777777" w:rsidR="00000000" w:rsidRPr="0060384B" w:rsidRDefault="00CA5F6F">
      <w:pPr>
        <w:spacing w:line="200" w:lineRule="exact"/>
        <w:rPr>
          <w:rFonts w:ascii="Lato" w:hAnsi="Lato"/>
          <w:color w:val="000000" w:themeColor="text1"/>
          <w:sz w:val="24"/>
          <w:szCs w:val="24"/>
        </w:rPr>
      </w:pPr>
    </w:p>
    <w:p w14:paraId="02F71323" w14:textId="77777777" w:rsidR="00000000" w:rsidRPr="0060384B" w:rsidRDefault="00CA5F6F">
      <w:pPr>
        <w:spacing w:line="200" w:lineRule="exact"/>
        <w:rPr>
          <w:rFonts w:ascii="Lato" w:hAnsi="Lato"/>
          <w:color w:val="000000" w:themeColor="text1"/>
          <w:sz w:val="24"/>
          <w:szCs w:val="24"/>
        </w:rPr>
      </w:pPr>
    </w:p>
    <w:p w14:paraId="5BA5E81A" w14:textId="77777777" w:rsidR="00000000" w:rsidRPr="0060384B" w:rsidRDefault="00CA5F6F">
      <w:pPr>
        <w:spacing w:line="200" w:lineRule="exact"/>
        <w:rPr>
          <w:rFonts w:ascii="Lato" w:hAnsi="Lato"/>
          <w:color w:val="000000" w:themeColor="text1"/>
          <w:sz w:val="24"/>
          <w:szCs w:val="24"/>
        </w:rPr>
      </w:pPr>
    </w:p>
    <w:p w14:paraId="06C604BE" w14:textId="77777777" w:rsidR="00000000" w:rsidRPr="0060384B" w:rsidRDefault="00CA5F6F">
      <w:pPr>
        <w:spacing w:line="200" w:lineRule="exact"/>
        <w:rPr>
          <w:rFonts w:ascii="Lato" w:hAnsi="Lato"/>
          <w:color w:val="000000" w:themeColor="text1"/>
          <w:sz w:val="24"/>
          <w:szCs w:val="24"/>
        </w:rPr>
      </w:pPr>
    </w:p>
    <w:p w14:paraId="75B0A897" w14:textId="77777777" w:rsidR="00000000" w:rsidRPr="0060384B" w:rsidRDefault="00CA5F6F">
      <w:pPr>
        <w:spacing w:line="200" w:lineRule="exact"/>
        <w:rPr>
          <w:rFonts w:ascii="Lato" w:hAnsi="Lato"/>
          <w:color w:val="000000" w:themeColor="text1"/>
          <w:sz w:val="24"/>
          <w:szCs w:val="24"/>
        </w:rPr>
      </w:pPr>
    </w:p>
    <w:p w14:paraId="15409235" w14:textId="77777777" w:rsidR="00000000" w:rsidRPr="0060384B" w:rsidRDefault="00CA5F6F">
      <w:pPr>
        <w:spacing w:line="200" w:lineRule="exact"/>
        <w:rPr>
          <w:rFonts w:ascii="Lato" w:hAnsi="Lato"/>
          <w:color w:val="000000" w:themeColor="text1"/>
          <w:sz w:val="24"/>
          <w:szCs w:val="24"/>
        </w:rPr>
      </w:pPr>
    </w:p>
    <w:p w14:paraId="6935BDB7" w14:textId="77777777" w:rsidR="00000000" w:rsidRPr="0060384B" w:rsidRDefault="00CA5F6F">
      <w:pPr>
        <w:spacing w:line="200" w:lineRule="exact"/>
        <w:rPr>
          <w:rFonts w:ascii="Lato" w:hAnsi="Lato"/>
          <w:color w:val="000000" w:themeColor="text1"/>
          <w:sz w:val="24"/>
          <w:szCs w:val="24"/>
        </w:rPr>
      </w:pPr>
    </w:p>
    <w:p w14:paraId="4DBBF3BD" w14:textId="77777777" w:rsidR="00000000" w:rsidRPr="0060384B" w:rsidRDefault="00CA5F6F">
      <w:pPr>
        <w:spacing w:line="200" w:lineRule="exact"/>
        <w:rPr>
          <w:rFonts w:ascii="Lato" w:hAnsi="Lato"/>
          <w:color w:val="000000" w:themeColor="text1"/>
          <w:sz w:val="24"/>
          <w:szCs w:val="24"/>
        </w:rPr>
      </w:pPr>
    </w:p>
    <w:p w14:paraId="3E8286D5" w14:textId="77777777" w:rsidR="00000000" w:rsidRPr="0060384B" w:rsidRDefault="00CA5F6F">
      <w:pPr>
        <w:spacing w:line="200" w:lineRule="exact"/>
        <w:rPr>
          <w:rFonts w:ascii="Lato" w:hAnsi="Lato"/>
          <w:color w:val="000000" w:themeColor="text1"/>
          <w:sz w:val="24"/>
          <w:szCs w:val="24"/>
        </w:rPr>
      </w:pPr>
    </w:p>
    <w:p w14:paraId="307B65CF" w14:textId="77777777" w:rsidR="00000000" w:rsidRPr="0060384B" w:rsidRDefault="00CA5F6F">
      <w:pPr>
        <w:spacing w:line="200" w:lineRule="exact"/>
        <w:rPr>
          <w:rFonts w:ascii="Lato" w:hAnsi="Lato"/>
          <w:color w:val="000000" w:themeColor="text1"/>
          <w:sz w:val="24"/>
          <w:szCs w:val="24"/>
        </w:rPr>
      </w:pPr>
    </w:p>
    <w:p w14:paraId="08FD742B" w14:textId="77777777" w:rsidR="00000000" w:rsidRPr="0060384B" w:rsidRDefault="00CA5F6F">
      <w:pPr>
        <w:spacing w:line="200" w:lineRule="exact"/>
        <w:rPr>
          <w:rFonts w:ascii="Lato" w:hAnsi="Lato"/>
          <w:color w:val="000000" w:themeColor="text1"/>
          <w:sz w:val="24"/>
          <w:szCs w:val="24"/>
        </w:rPr>
      </w:pPr>
    </w:p>
    <w:p w14:paraId="7E5E5169" w14:textId="77777777" w:rsidR="00000000" w:rsidRPr="0060384B" w:rsidRDefault="00CA5F6F">
      <w:pPr>
        <w:spacing w:line="200" w:lineRule="exact"/>
        <w:rPr>
          <w:rFonts w:ascii="Lato" w:hAnsi="Lato"/>
          <w:color w:val="000000" w:themeColor="text1"/>
          <w:sz w:val="24"/>
          <w:szCs w:val="24"/>
        </w:rPr>
      </w:pPr>
    </w:p>
    <w:p w14:paraId="03662767" w14:textId="77777777" w:rsidR="00000000" w:rsidRPr="0060384B" w:rsidRDefault="00CA5F6F">
      <w:pPr>
        <w:spacing w:line="200" w:lineRule="exact"/>
        <w:rPr>
          <w:rFonts w:ascii="Lato" w:hAnsi="Lato"/>
          <w:color w:val="000000" w:themeColor="text1"/>
          <w:sz w:val="24"/>
          <w:szCs w:val="24"/>
        </w:rPr>
      </w:pPr>
    </w:p>
    <w:p w14:paraId="01025072" w14:textId="77777777" w:rsidR="00000000" w:rsidRPr="0060384B" w:rsidRDefault="00CA5F6F">
      <w:pPr>
        <w:spacing w:line="200" w:lineRule="exact"/>
        <w:rPr>
          <w:rFonts w:ascii="Lato" w:hAnsi="Lato"/>
          <w:color w:val="000000" w:themeColor="text1"/>
          <w:sz w:val="24"/>
          <w:szCs w:val="24"/>
        </w:rPr>
      </w:pPr>
    </w:p>
    <w:p w14:paraId="50D4D777" w14:textId="77777777" w:rsidR="00000000" w:rsidRPr="0060384B" w:rsidRDefault="00CA5F6F">
      <w:pPr>
        <w:spacing w:line="200" w:lineRule="exact"/>
        <w:rPr>
          <w:rFonts w:ascii="Lato" w:hAnsi="Lato"/>
          <w:color w:val="000000" w:themeColor="text1"/>
          <w:sz w:val="24"/>
          <w:szCs w:val="24"/>
        </w:rPr>
      </w:pPr>
    </w:p>
    <w:p w14:paraId="105AD6F6" w14:textId="77777777" w:rsidR="00000000" w:rsidRPr="0060384B" w:rsidRDefault="00CA5F6F">
      <w:pPr>
        <w:spacing w:line="200" w:lineRule="exact"/>
        <w:rPr>
          <w:rFonts w:ascii="Lato" w:hAnsi="Lato"/>
          <w:color w:val="000000" w:themeColor="text1"/>
          <w:sz w:val="24"/>
          <w:szCs w:val="24"/>
        </w:rPr>
      </w:pPr>
    </w:p>
    <w:p w14:paraId="07F55B6F" w14:textId="77777777" w:rsidR="00000000" w:rsidRPr="0060384B" w:rsidRDefault="00CA5F6F">
      <w:pPr>
        <w:spacing w:line="200" w:lineRule="exact"/>
        <w:rPr>
          <w:rFonts w:ascii="Lato" w:hAnsi="Lato"/>
          <w:color w:val="000000" w:themeColor="text1"/>
          <w:sz w:val="24"/>
          <w:szCs w:val="24"/>
        </w:rPr>
      </w:pPr>
    </w:p>
    <w:p w14:paraId="6AC17069" w14:textId="77777777" w:rsidR="00000000" w:rsidRPr="0060384B" w:rsidRDefault="00CA5F6F">
      <w:pPr>
        <w:spacing w:line="200" w:lineRule="exact"/>
        <w:rPr>
          <w:rFonts w:ascii="Lato" w:hAnsi="Lato"/>
          <w:color w:val="000000" w:themeColor="text1"/>
          <w:sz w:val="24"/>
          <w:szCs w:val="24"/>
        </w:rPr>
      </w:pPr>
    </w:p>
    <w:p w14:paraId="1A026A1A" w14:textId="77777777" w:rsidR="00000000" w:rsidRPr="0060384B" w:rsidRDefault="00CA5F6F">
      <w:pPr>
        <w:spacing w:line="200" w:lineRule="exact"/>
        <w:rPr>
          <w:rFonts w:ascii="Lato" w:hAnsi="Lato"/>
          <w:color w:val="000000" w:themeColor="text1"/>
          <w:sz w:val="24"/>
          <w:szCs w:val="24"/>
        </w:rPr>
      </w:pPr>
    </w:p>
    <w:p w14:paraId="69AD27E2" w14:textId="77777777" w:rsidR="00000000" w:rsidRPr="0060384B" w:rsidRDefault="00CA5F6F">
      <w:pPr>
        <w:spacing w:line="200" w:lineRule="exact"/>
        <w:rPr>
          <w:rFonts w:ascii="Lato" w:hAnsi="Lato"/>
          <w:color w:val="000000" w:themeColor="text1"/>
          <w:sz w:val="24"/>
          <w:szCs w:val="24"/>
        </w:rPr>
      </w:pPr>
    </w:p>
    <w:p w14:paraId="32DFEB09" w14:textId="77777777" w:rsidR="00000000" w:rsidRPr="0060384B" w:rsidRDefault="00CA5F6F">
      <w:pPr>
        <w:spacing w:line="200" w:lineRule="exact"/>
        <w:rPr>
          <w:rFonts w:ascii="Lato" w:hAnsi="Lato"/>
          <w:color w:val="000000" w:themeColor="text1"/>
          <w:sz w:val="24"/>
          <w:szCs w:val="24"/>
        </w:rPr>
      </w:pPr>
    </w:p>
    <w:p w14:paraId="53487B41" w14:textId="77777777" w:rsidR="00000000" w:rsidRPr="0060384B" w:rsidRDefault="00CA5F6F">
      <w:pPr>
        <w:spacing w:line="200" w:lineRule="exact"/>
        <w:rPr>
          <w:rFonts w:ascii="Lato" w:hAnsi="Lato"/>
          <w:color w:val="000000" w:themeColor="text1"/>
          <w:sz w:val="24"/>
          <w:szCs w:val="24"/>
        </w:rPr>
      </w:pPr>
    </w:p>
    <w:p w14:paraId="1EAD554A" w14:textId="77777777" w:rsidR="00000000" w:rsidRPr="0060384B" w:rsidRDefault="00CA5F6F">
      <w:pPr>
        <w:spacing w:line="200" w:lineRule="exact"/>
        <w:rPr>
          <w:rFonts w:ascii="Lato" w:hAnsi="Lato"/>
          <w:color w:val="000000" w:themeColor="text1"/>
          <w:sz w:val="24"/>
          <w:szCs w:val="24"/>
        </w:rPr>
      </w:pPr>
    </w:p>
    <w:p w14:paraId="7AADC834" w14:textId="77777777" w:rsidR="00000000" w:rsidRPr="0060384B" w:rsidRDefault="00CA5F6F">
      <w:pPr>
        <w:spacing w:line="200" w:lineRule="exact"/>
        <w:rPr>
          <w:rFonts w:ascii="Lato" w:hAnsi="Lato"/>
          <w:color w:val="000000" w:themeColor="text1"/>
          <w:sz w:val="24"/>
          <w:szCs w:val="24"/>
        </w:rPr>
      </w:pPr>
    </w:p>
    <w:p w14:paraId="77E6684D" w14:textId="77777777" w:rsidR="00000000" w:rsidRPr="0060384B" w:rsidRDefault="00CA5F6F">
      <w:pPr>
        <w:spacing w:line="200" w:lineRule="exact"/>
        <w:rPr>
          <w:rFonts w:ascii="Lato" w:hAnsi="Lato"/>
          <w:color w:val="000000" w:themeColor="text1"/>
          <w:sz w:val="24"/>
          <w:szCs w:val="24"/>
        </w:rPr>
      </w:pPr>
    </w:p>
    <w:p w14:paraId="5D3C4416" w14:textId="77777777" w:rsidR="00000000" w:rsidRPr="0060384B" w:rsidRDefault="00CA5F6F">
      <w:pPr>
        <w:spacing w:line="200" w:lineRule="exact"/>
        <w:rPr>
          <w:rFonts w:ascii="Lato" w:hAnsi="Lato"/>
          <w:color w:val="000000" w:themeColor="text1"/>
          <w:sz w:val="24"/>
          <w:szCs w:val="24"/>
        </w:rPr>
      </w:pPr>
    </w:p>
    <w:p w14:paraId="6C0CF268" w14:textId="77777777" w:rsidR="00000000" w:rsidRPr="0060384B" w:rsidRDefault="00CA5F6F">
      <w:pPr>
        <w:spacing w:line="200" w:lineRule="exact"/>
        <w:rPr>
          <w:rFonts w:ascii="Lato" w:hAnsi="Lato"/>
          <w:color w:val="000000" w:themeColor="text1"/>
          <w:sz w:val="24"/>
          <w:szCs w:val="24"/>
        </w:rPr>
      </w:pPr>
    </w:p>
    <w:p w14:paraId="47BC67A2" w14:textId="77777777" w:rsidR="00000000" w:rsidRPr="0060384B" w:rsidRDefault="00CA5F6F">
      <w:pPr>
        <w:spacing w:line="200" w:lineRule="exact"/>
        <w:rPr>
          <w:rFonts w:ascii="Lato" w:hAnsi="Lato"/>
          <w:color w:val="000000" w:themeColor="text1"/>
          <w:sz w:val="24"/>
          <w:szCs w:val="24"/>
        </w:rPr>
      </w:pPr>
    </w:p>
    <w:p w14:paraId="21E08267" w14:textId="77777777" w:rsidR="00000000" w:rsidRPr="0060384B" w:rsidRDefault="00CA5F6F">
      <w:pPr>
        <w:spacing w:line="200" w:lineRule="exact"/>
        <w:rPr>
          <w:rFonts w:ascii="Lato" w:hAnsi="Lato"/>
          <w:color w:val="000000" w:themeColor="text1"/>
          <w:sz w:val="24"/>
          <w:szCs w:val="24"/>
        </w:rPr>
      </w:pPr>
    </w:p>
    <w:p w14:paraId="3CF76702" w14:textId="77777777" w:rsidR="00000000" w:rsidRPr="0060384B" w:rsidRDefault="00CA5F6F">
      <w:pPr>
        <w:spacing w:line="201" w:lineRule="exact"/>
        <w:rPr>
          <w:rFonts w:ascii="Lato"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51923F72" w14:textId="77777777">
        <w:trPr>
          <w:trHeight w:val="245"/>
        </w:trPr>
        <w:tc>
          <w:tcPr>
            <w:tcW w:w="6540" w:type="dxa"/>
            <w:shd w:val="clear" w:color="auto" w:fill="auto"/>
            <w:vAlign w:val="bottom"/>
          </w:tcPr>
          <w:p w14:paraId="7A379D67"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429E64EA"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64</w:t>
            </w:r>
          </w:p>
        </w:tc>
      </w:tr>
      <w:tr w:rsidR="00000000" w:rsidRPr="0060384B" w14:paraId="425F7F89" w14:textId="77777777">
        <w:trPr>
          <w:trHeight w:val="258"/>
        </w:trPr>
        <w:tc>
          <w:tcPr>
            <w:tcW w:w="6540" w:type="dxa"/>
            <w:shd w:val="clear" w:color="auto" w:fill="auto"/>
            <w:vAlign w:val="bottom"/>
          </w:tcPr>
          <w:p w14:paraId="7298DB77"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 xml:space="preserve">NIH Bypass Budget Proposal for Fiscal </w:t>
            </w:r>
            <w:r w:rsidRPr="0060384B">
              <w:rPr>
                <w:rFonts w:ascii="Lato" w:hAnsi="Lato"/>
                <w:color w:val="000000" w:themeColor="text1"/>
                <w:sz w:val="24"/>
                <w:szCs w:val="24"/>
              </w:rPr>
              <w:t>Year 2021</w:t>
            </w:r>
          </w:p>
        </w:tc>
        <w:tc>
          <w:tcPr>
            <w:tcW w:w="2820" w:type="dxa"/>
            <w:shd w:val="clear" w:color="auto" w:fill="auto"/>
            <w:vAlign w:val="bottom"/>
          </w:tcPr>
          <w:p w14:paraId="6D286960" w14:textId="77777777" w:rsidR="00000000" w:rsidRPr="0060384B" w:rsidRDefault="00CA5F6F">
            <w:pPr>
              <w:spacing w:line="0" w:lineRule="atLeast"/>
              <w:rPr>
                <w:rFonts w:ascii="Lato" w:eastAsia="Times New Roman" w:hAnsi="Lato"/>
                <w:color w:val="000000" w:themeColor="text1"/>
                <w:sz w:val="24"/>
                <w:szCs w:val="24"/>
              </w:rPr>
            </w:pPr>
          </w:p>
        </w:tc>
      </w:tr>
    </w:tbl>
    <w:p w14:paraId="64AC87C1" w14:textId="77777777" w:rsidR="00000000" w:rsidRPr="0060384B" w:rsidRDefault="00CA5F6F">
      <w:pPr>
        <w:rPr>
          <w:rFonts w:ascii="Lato" w:eastAsia="Times New Roman" w:hAnsi="Lato"/>
          <w:color w:val="000000" w:themeColor="text1"/>
          <w:sz w:val="24"/>
          <w:szCs w:val="24"/>
        </w:rPr>
        <w:sectPr w:rsidR="00000000" w:rsidRPr="0060384B">
          <w:pgSz w:w="12240" w:h="15840"/>
          <w:pgMar w:top="1440" w:right="1440" w:bottom="0" w:left="1440" w:header="0" w:footer="0" w:gutter="0"/>
          <w:cols w:space="0" w:equalWidth="0">
            <w:col w:w="9360"/>
          </w:cols>
          <w:docGrid w:linePitch="360"/>
        </w:sectPr>
      </w:pPr>
    </w:p>
    <w:p w14:paraId="49E0E0E9" w14:textId="77777777" w:rsidR="00000000" w:rsidRPr="0060384B" w:rsidRDefault="00CA5F6F">
      <w:pPr>
        <w:spacing w:line="0" w:lineRule="atLeast"/>
        <w:rPr>
          <w:rFonts w:ascii="Lato" w:hAnsi="Lato"/>
          <w:b/>
          <w:color w:val="000000" w:themeColor="text1"/>
          <w:sz w:val="24"/>
          <w:szCs w:val="24"/>
        </w:rPr>
      </w:pPr>
      <w:bookmarkStart w:id="67" w:name="page68"/>
      <w:bookmarkEnd w:id="67"/>
      <w:r w:rsidRPr="0060384B">
        <w:rPr>
          <w:rFonts w:ascii="Lato" w:hAnsi="Lato"/>
          <w:b/>
          <w:color w:val="000000" w:themeColor="text1"/>
          <w:sz w:val="24"/>
          <w:szCs w:val="24"/>
        </w:rPr>
        <w:lastRenderedPageBreak/>
        <w:t>RESEARCH ON CARE AND CAREGIVER SUPPORT</w:t>
      </w:r>
    </w:p>
    <w:p w14:paraId="532136C4" w14:textId="77777777" w:rsidR="00000000" w:rsidRPr="0060384B" w:rsidRDefault="00CA5F6F">
      <w:pPr>
        <w:spacing w:line="288" w:lineRule="exact"/>
        <w:rPr>
          <w:rFonts w:ascii="Lato" w:eastAsia="Times New Roman" w:hAnsi="Lato"/>
          <w:color w:val="000000" w:themeColor="text1"/>
          <w:sz w:val="24"/>
          <w:szCs w:val="24"/>
        </w:rPr>
      </w:pPr>
    </w:p>
    <w:p w14:paraId="3C3EDB2A" w14:textId="77777777" w:rsidR="00000000" w:rsidRPr="0060384B" w:rsidRDefault="00CA5F6F">
      <w:pPr>
        <w:spacing w:line="242" w:lineRule="auto"/>
        <w:ind w:right="4820"/>
        <w:rPr>
          <w:rFonts w:ascii="Lato" w:hAnsi="Lato"/>
          <w:color w:val="000000" w:themeColor="text1"/>
          <w:sz w:val="24"/>
          <w:szCs w:val="24"/>
        </w:rPr>
      </w:pPr>
      <w:r w:rsidRPr="0060384B">
        <w:rPr>
          <w:rFonts w:ascii="Lato" w:hAnsi="Lato"/>
          <w:color w:val="000000" w:themeColor="text1"/>
          <w:sz w:val="24"/>
          <w:szCs w:val="24"/>
        </w:rPr>
        <w:t>Care and support by family, friends, and health care providers are central to the well-being of people with Alzheimer</w:t>
      </w:r>
      <w:r w:rsidRPr="0060384B">
        <w:rPr>
          <w:rFonts w:ascii="Lato" w:hAnsi="Lato"/>
          <w:color w:val="000000" w:themeColor="text1"/>
          <w:sz w:val="24"/>
          <w:szCs w:val="24"/>
        </w:rPr>
        <w:t>’s and related dementias. This is particularly true as an individual</w:t>
      </w:r>
      <w:r w:rsidRPr="0060384B">
        <w:rPr>
          <w:rFonts w:ascii="Lato" w:hAnsi="Lato"/>
          <w:color w:val="000000" w:themeColor="text1"/>
          <w:sz w:val="24"/>
          <w:szCs w:val="24"/>
        </w:rPr>
        <w:t>’s cognitive decli</w:t>
      </w:r>
      <w:r w:rsidRPr="0060384B">
        <w:rPr>
          <w:rFonts w:ascii="Lato" w:hAnsi="Lato"/>
          <w:color w:val="000000" w:themeColor="text1"/>
          <w:sz w:val="24"/>
          <w:szCs w:val="24"/>
        </w:rPr>
        <w:t>ne progresses over time. In communities across America, informal and formal caregivers provide varying levels of help, sometimes 24/7. Primary care clinicians and specialists attend to the medical needs of people with cognitive decline, who are among the m</w:t>
      </w:r>
      <w:r w:rsidRPr="0060384B">
        <w:rPr>
          <w:rFonts w:ascii="Lato" w:hAnsi="Lato"/>
          <w:color w:val="000000" w:themeColor="text1"/>
          <w:sz w:val="24"/>
          <w:szCs w:val="24"/>
        </w:rPr>
        <w:t>ost complex patients to treat due to multiple comorbidities and special challenges.</w:t>
      </w:r>
    </w:p>
    <w:p w14:paraId="526AAB8E" w14:textId="69332B9F" w:rsidR="00000000" w:rsidRPr="0060384B" w:rsidRDefault="00FB45BD">
      <w:pPr>
        <w:spacing w:line="20" w:lineRule="exact"/>
        <w:rPr>
          <w:rFonts w:ascii="Lato" w:eastAsia="Times New Roman" w:hAnsi="Lato"/>
          <w:color w:val="000000" w:themeColor="text1"/>
          <w:sz w:val="24"/>
          <w:szCs w:val="24"/>
        </w:rPr>
      </w:pPr>
      <w:r w:rsidRPr="0060384B">
        <w:rPr>
          <w:rFonts w:ascii="Lato" w:hAnsi="Lato"/>
          <w:noProof/>
          <w:color w:val="000000" w:themeColor="text1"/>
          <w:sz w:val="24"/>
          <w:szCs w:val="24"/>
        </w:rPr>
        <w:drawing>
          <wp:anchor distT="0" distB="0" distL="114300" distR="114300" simplePos="0" relativeHeight="251666944" behindDoc="1" locked="0" layoutInCell="1" allowOverlap="1" wp14:anchorId="1BA5A2EF" wp14:editId="45E1241C">
            <wp:simplePos x="0" y="0"/>
            <wp:positionH relativeFrom="column">
              <wp:posOffset>3000375</wp:posOffset>
            </wp:positionH>
            <wp:positionV relativeFrom="paragraph">
              <wp:posOffset>-2235835</wp:posOffset>
            </wp:positionV>
            <wp:extent cx="3195955" cy="213931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195955" cy="2139315"/>
                    </a:xfrm>
                    <a:prstGeom prst="rect">
                      <a:avLst/>
                    </a:prstGeom>
                    <a:noFill/>
                  </pic:spPr>
                </pic:pic>
              </a:graphicData>
            </a:graphic>
            <wp14:sizeRelH relativeFrom="page">
              <wp14:pctWidth>0</wp14:pctWidth>
            </wp14:sizeRelH>
            <wp14:sizeRelV relativeFrom="page">
              <wp14:pctHeight>0</wp14:pctHeight>
            </wp14:sizeRelV>
          </wp:anchor>
        </w:drawing>
      </w:r>
    </w:p>
    <w:p w14:paraId="6144437F" w14:textId="77777777" w:rsidR="00000000" w:rsidRPr="0060384B" w:rsidRDefault="00CA5F6F">
      <w:pPr>
        <w:spacing w:line="232" w:lineRule="exact"/>
        <w:rPr>
          <w:rFonts w:ascii="Lato" w:eastAsia="Times New Roman" w:hAnsi="Lato"/>
          <w:color w:val="000000" w:themeColor="text1"/>
          <w:sz w:val="24"/>
          <w:szCs w:val="24"/>
        </w:rPr>
      </w:pPr>
    </w:p>
    <w:p w14:paraId="12DE41F8" w14:textId="77777777" w:rsidR="00000000" w:rsidRPr="0060384B" w:rsidRDefault="00CA5F6F">
      <w:pPr>
        <w:spacing w:line="243" w:lineRule="auto"/>
        <w:ind w:right="20"/>
        <w:rPr>
          <w:rFonts w:ascii="Lato" w:hAnsi="Lato"/>
          <w:color w:val="000000" w:themeColor="text1"/>
          <w:sz w:val="24"/>
          <w:szCs w:val="24"/>
        </w:rPr>
      </w:pPr>
      <w:r w:rsidRPr="0060384B">
        <w:rPr>
          <w:rFonts w:ascii="Lato" w:hAnsi="Lato"/>
          <w:color w:val="000000" w:themeColor="text1"/>
          <w:sz w:val="24"/>
          <w:szCs w:val="24"/>
        </w:rPr>
        <w:t>The National Institutes of Health (NIH) has supported research on care for many years. Studies continue to focus on optimizing long-term care and support services and in</w:t>
      </w:r>
      <w:r w:rsidRPr="0060384B">
        <w:rPr>
          <w:rFonts w:ascii="Lato" w:hAnsi="Lato"/>
          <w:color w:val="000000" w:themeColor="text1"/>
          <w:sz w:val="24"/>
          <w:szCs w:val="24"/>
        </w:rPr>
        <w:t>forming how clinical care can be best delivered to people living with dementia. Research findings in this area are being examined to see how they might effectively be translated into practice. At the same time, NIH-supported researchers are pursuing comple</w:t>
      </w:r>
      <w:r w:rsidRPr="0060384B">
        <w:rPr>
          <w:rFonts w:ascii="Lato" w:hAnsi="Lato"/>
          <w:color w:val="000000" w:themeColor="text1"/>
          <w:sz w:val="24"/>
          <w:szCs w:val="24"/>
        </w:rPr>
        <w:t>tely new avenues of study</w:t>
      </w:r>
      <w:r w:rsidRPr="0060384B">
        <w:rPr>
          <w:rFonts w:ascii="Lato" w:hAnsi="Lato"/>
          <w:color w:val="000000" w:themeColor="text1"/>
          <w:sz w:val="24"/>
          <w:szCs w:val="24"/>
        </w:rPr>
        <w:t>—for example, testing how state- of-the-art technologies might be used in homes or by health care systems to serve people with Alzheimer</w:t>
      </w:r>
      <w:r w:rsidRPr="0060384B">
        <w:rPr>
          <w:rFonts w:ascii="Lato" w:hAnsi="Lato"/>
          <w:color w:val="000000" w:themeColor="text1"/>
          <w:sz w:val="24"/>
          <w:szCs w:val="24"/>
        </w:rPr>
        <w:t>’s and their families.</w:t>
      </w:r>
    </w:p>
    <w:p w14:paraId="739590F8" w14:textId="77777777" w:rsidR="00000000" w:rsidRPr="0060384B" w:rsidRDefault="00CA5F6F">
      <w:pPr>
        <w:spacing w:line="254" w:lineRule="exact"/>
        <w:rPr>
          <w:rFonts w:ascii="Lato" w:eastAsia="Times New Roman" w:hAnsi="Lato"/>
          <w:color w:val="000000" w:themeColor="text1"/>
          <w:sz w:val="24"/>
          <w:szCs w:val="24"/>
        </w:rPr>
      </w:pPr>
    </w:p>
    <w:p w14:paraId="4BE77E0B"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Major efforts in these areas include:</w:t>
      </w:r>
    </w:p>
    <w:p w14:paraId="0ADB40E5" w14:textId="77777777" w:rsidR="00000000" w:rsidRPr="0060384B" w:rsidRDefault="00CA5F6F">
      <w:pPr>
        <w:spacing w:line="278" w:lineRule="exact"/>
        <w:rPr>
          <w:rFonts w:ascii="Lato" w:eastAsia="Times New Roman" w:hAnsi="Lato"/>
          <w:color w:val="000000" w:themeColor="text1"/>
          <w:sz w:val="24"/>
          <w:szCs w:val="24"/>
        </w:rPr>
      </w:pPr>
    </w:p>
    <w:p w14:paraId="18553CF4" w14:textId="77777777" w:rsidR="00000000" w:rsidRPr="0060384B" w:rsidRDefault="00CA5F6F">
      <w:pPr>
        <w:spacing w:line="242" w:lineRule="auto"/>
        <w:ind w:right="40"/>
        <w:rPr>
          <w:rFonts w:ascii="Lato" w:hAnsi="Lato"/>
          <w:color w:val="000000" w:themeColor="text1"/>
          <w:sz w:val="24"/>
          <w:szCs w:val="24"/>
        </w:rPr>
      </w:pPr>
      <w:r w:rsidRPr="0060384B">
        <w:rPr>
          <w:rFonts w:ascii="Lato" w:hAnsi="Lato"/>
          <w:b/>
          <w:color w:val="000000" w:themeColor="text1"/>
          <w:sz w:val="24"/>
          <w:szCs w:val="24"/>
        </w:rPr>
        <w:t>Supporting crucial evidence revi</w:t>
      </w:r>
      <w:r w:rsidRPr="0060384B">
        <w:rPr>
          <w:rFonts w:ascii="Lato" w:hAnsi="Lato"/>
          <w:b/>
          <w:color w:val="000000" w:themeColor="text1"/>
          <w:sz w:val="24"/>
          <w:szCs w:val="24"/>
        </w:rPr>
        <w:t xml:space="preserve">ews. </w:t>
      </w:r>
      <w:r w:rsidRPr="0060384B">
        <w:rPr>
          <w:rFonts w:ascii="Lato" w:hAnsi="Lato"/>
          <w:color w:val="000000" w:themeColor="text1"/>
          <w:sz w:val="24"/>
          <w:szCs w:val="24"/>
        </w:rPr>
        <w:t>The National Institute on Aging (NIA) in 2018</w:t>
      </w:r>
      <w:r w:rsidRPr="0060384B">
        <w:rPr>
          <w:rFonts w:ascii="Lato" w:hAnsi="Lato"/>
          <w:b/>
          <w:color w:val="000000" w:themeColor="text1"/>
          <w:sz w:val="24"/>
          <w:szCs w:val="24"/>
        </w:rPr>
        <w:t xml:space="preserve"> </w:t>
      </w:r>
      <w:r w:rsidRPr="0060384B">
        <w:rPr>
          <w:rFonts w:ascii="Lato" w:hAnsi="Lato"/>
          <w:color w:val="000000" w:themeColor="text1"/>
          <w:sz w:val="24"/>
          <w:szCs w:val="24"/>
        </w:rPr>
        <w:t xml:space="preserve">commissioned a </w:t>
      </w:r>
      <w:hyperlink r:id="rId235" w:history="1">
        <w:r w:rsidRPr="0060384B">
          <w:rPr>
            <w:rFonts w:ascii="Lato" w:hAnsi="Lato"/>
            <w:color w:val="000000" w:themeColor="text1"/>
            <w:sz w:val="24"/>
            <w:szCs w:val="24"/>
          </w:rPr>
          <w:t>two-part, evidence-based review</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to help identify demo</w:t>
      </w:r>
      <w:r w:rsidRPr="0060384B">
        <w:rPr>
          <w:rFonts w:ascii="Lato" w:hAnsi="Lato"/>
          <w:color w:val="000000" w:themeColor="text1"/>
          <w:sz w:val="24"/>
          <w:szCs w:val="24"/>
        </w:rPr>
        <w:t>nstrated strategies, interventions, and services for people living with dementia and their caregivers. This endeavor is being conducted by the Agency for Healthcare Research and Quality and the National Academies of Sciences, Engineering, and Medicine. Tod</w:t>
      </w:r>
      <w:r w:rsidRPr="0060384B">
        <w:rPr>
          <w:rFonts w:ascii="Lato" w:hAnsi="Lato"/>
          <w:color w:val="000000" w:themeColor="text1"/>
          <w:sz w:val="24"/>
          <w:szCs w:val="24"/>
        </w:rPr>
        <w:t>ay</w:t>
      </w:r>
      <w:r w:rsidRPr="0060384B">
        <w:rPr>
          <w:rFonts w:ascii="Lato" w:hAnsi="Lato"/>
          <w:color w:val="000000" w:themeColor="text1"/>
          <w:sz w:val="24"/>
          <w:szCs w:val="24"/>
        </w:rPr>
        <w:t>’s care programs are offered based on varying levels of evidence, and important gaps remain in our understanding of what works best and for whom. This review will take stock of current knowledge and evaluate which care interventions are ready for dissemi</w:t>
      </w:r>
      <w:r w:rsidRPr="0060384B">
        <w:rPr>
          <w:rFonts w:ascii="Lato" w:hAnsi="Lato"/>
          <w:color w:val="000000" w:themeColor="text1"/>
          <w:sz w:val="24"/>
          <w:szCs w:val="24"/>
        </w:rPr>
        <w:t>nation and scaling up. The public will be asked to comment at various points in the review and recommendations process.</w:t>
      </w:r>
    </w:p>
    <w:p w14:paraId="1910131E" w14:textId="77777777" w:rsidR="00000000" w:rsidRPr="0060384B" w:rsidRDefault="00CA5F6F">
      <w:pPr>
        <w:spacing w:line="257" w:lineRule="exact"/>
        <w:rPr>
          <w:rFonts w:ascii="Lato" w:eastAsia="Times New Roman" w:hAnsi="Lato"/>
          <w:color w:val="000000" w:themeColor="text1"/>
          <w:sz w:val="24"/>
          <w:szCs w:val="24"/>
        </w:rPr>
      </w:pPr>
    </w:p>
    <w:p w14:paraId="18BA1B66" w14:textId="77777777" w:rsidR="00000000" w:rsidRPr="0060384B" w:rsidRDefault="00CA5F6F">
      <w:pPr>
        <w:spacing w:line="244" w:lineRule="auto"/>
        <w:ind w:right="80"/>
        <w:rPr>
          <w:rFonts w:ascii="Lato" w:hAnsi="Lato"/>
          <w:color w:val="000000" w:themeColor="text1"/>
          <w:sz w:val="24"/>
          <w:szCs w:val="24"/>
        </w:rPr>
      </w:pPr>
      <w:r w:rsidRPr="0060384B">
        <w:rPr>
          <w:rFonts w:ascii="Lato" w:hAnsi="Lato"/>
          <w:b/>
          <w:color w:val="000000" w:themeColor="text1"/>
          <w:sz w:val="24"/>
          <w:szCs w:val="24"/>
        </w:rPr>
        <w:t xml:space="preserve">Dementia Care Summit helps set research agenda. </w:t>
      </w:r>
      <w:r w:rsidRPr="0060384B">
        <w:rPr>
          <w:rFonts w:ascii="Lato" w:hAnsi="Lato"/>
          <w:color w:val="000000" w:themeColor="text1"/>
          <w:sz w:val="24"/>
          <w:szCs w:val="24"/>
        </w:rPr>
        <w:t>A groundbreaking</w:t>
      </w:r>
      <w:r w:rsidRPr="0060384B">
        <w:rPr>
          <w:rFonts w:ascii="Lato" w:hAnsi="Lato"/>
          <w:b/>
          <w:color w:val="000000" w:themeColor="text1"/>
          <w:sz w:val="24"/>
          <w:szCs w:val="24"/>
        </w:rPr>
        <w:t xml:space="preserve"> </w:t>
      </w:r>
      <w:hyperlink r:id="rId236" w:history="1">
        <w:r w:rsidRPr="0060384B">
          <w:rPr>
            <w:rFonts w:ascii="Lato" w:hAnsi="Lato"/>
            <w:color w:val="000000" w:themeColor="text1"/>
            <w:sz w:val="24"/>
            <w:szCs w:val="24"/>
          </w:rPr>
          <w:t>National Research</w:t>
        </w:r>
      </w:hyperlink>
      <w:r w:rsidRPr="0060384B">
        <w:rPr>
          <w:rFonts w:ascii="Lato" w:hAnsi="Lato"/>
          <w:b/>
          <w:color w:val="000000" w:themeColor="text1"/>
          <w:sz w:val="24"/>
          <w:szCs w:val="24"/>
        </w:rPr>
        <w:t xml:space="preserve"> </w:t>
      </w:r>
      <w:hyperlink r:id="rId237" w:history="1">
        <w:r w:rsidRPr="0060384B">
          <w:rPr>
            <w:rFonts w:ascii="Lato" w:hAnsi="Lato"/>
            <w:color w:val="000000" w:themeColor="text1"/>
            <w:sz w:val="24"/>
            <w:szCs w:val="24"/>
          </w:rPr>
          <w:t>Summit on Care, Services, and Supports for Persons with</w:t>
        </w:r>
        <w:r w:rsidRPr="0060384B">
          <w:rPr>
            <w:rFonts w:ascii="Lato" w:hAnsi="Lato"/>
            <w:color w:val="000000" w:themeColor="text1"/>
            <w:sz w:val="24"/>
            <w:szCs w:val="24"/>
          </w:rPr>
          <w:t xml:space="preserve"> Dementia and Their Caregivers</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took</w:t>
      </w:r>
      <w:r w:rsidRPr="0060384B">
        <w:rPr>
          <w:rFonts w:ascii="Lato" w:hAnsi="Lato"/>
          <w:color w:val="000000" w:themeColor="text1"/>
          <w:sz w:val="24"/>
          <w:szCs w:val="24"/>
        </w:rPr>
        <w:t xml:space="preserve"> </w:t>
      </w:r>
      <w:r w:rsidRPr="0060384B">
        <w:rPr>
          <w:rFonts w:ascii="Lato" w:hAnsi="Lato"/>
          <w:color w:val="000000" w:themeColor="text1"/>
          <w:sz w:val="24"/>
          <w:szCs w:val="24"/>
        </w:rPr>
        <w:t>place in October 2017. Hosted by NIH and led by the Office of the Assistant Secretary for Planning and Evaluation of the U.S. Department of Health and Human Services and the Secretary</w:t>
      </w:r>
      <w:r w:rsidRPr="0060384B">
        <w:rPr>
          <w:rFonts w:ascii="Lato" w:hAnsi="Lato"/>
          <w:color w:val="000000" w:themeColor="text1"/>
          <w:sz w:val="24"/>
          <w:szCs w:val="24"/>
        </w:rPr>
        <w:t>’s Advisory Council on Alzheimer</w:t>
      </w:r>
      <w:r w:rsidRPr="0060384B">
        <w:rPr>
          <w:rFonts w:ascii="Lato" w:hAnsi="Lato"/>
          <w:color w:val="000000" w:themeColor="text1"/>
          <w:sz w:val="24"/>
          <w:szCs w:val="24"/>
        </w:rPr>
        <w:t>’s R</w:t>
      </w:r>
      <w:r w:rsidRPr="0060384B">
        <w:rPr>
          <w:rFonts w:ascii="Lato" w:hAnsi="Lato"/>
          <w:color w:val="000000" w:themeColor="text1"/>
          <w:sz w:val="24"/>
          <w:szCs w:val="24"/>
        </w:rPr>
        <w:t>esearch, Care, and Services, the summit and the months-long outreach leading up it galvanized a deep and ongoing national conversation about dementia care and services.</w:t>
      </w:r>
    </w:p>
    <w:p w14:paraId="36B9E60E" w14:textId="77777777" w:rsidR="00000000" w:rsidRPr="0060384B" w:rsidRDefault="00CA5F6F">
      <w:pPr>
        <w:spacing w:line="249" w:lineRule="exact"/>
        <w:rPr>
          <w:rFonts w:ascii="Lato" w:eastAsia="Times New Roman" w:hAnsi="Lato"/>
          <w:color w:val="000000" w:themeColor="text1"/>
          <w:sz w:val="24"/>
          <w:szCs w:val="24"/>
        </w:rPr>
      </w:pPr>
    </w:p>
    <w:p w14:paraId="14BB844D" w14:textId="77777777" w:rsidR="00000000" w:rsidRPr="0060384B" w:rsidRDefault="00CA5F6F">
      <w:pPr>
        <w:spacing w:line="251" w:lineRule="auto"/>
        <w:ind w:right="140"/>
        <w:jc w:val="both"/>
        <w:rPr>
          <w:rFonts w:ascii="Lato" w:hAnsi="Lato"/>
          <w:color w:val="000000" w:themeColor="text1"/>
          <w:sz w:val="24"/>
          <w:szCs w:val="24"/>
        </w:rPr>
      </w:pPr>
      <w:r w:rsidRPr="0060384B">
        <w:rPr>
          <w:rFonts w:ascii="Lato" w:hAnsi="Lato"/>
          <w:color w:val="000000" w:themeColor="text1"/>
          <w:sz w:val="24"/>
          <w:szCs w:val="24"/>
        </w:rPr>
        <w:t xml:space="preserve">The </w:t>
      </w:r>
      <w:hyperlink r:id="rId238" w:history="1">
        <w:r w:rsidRPr="0060384B">
          <w:rPr>
            <w:rFonts w:ascii="Lato" w:hAnsi="Lato"/>
            <w:color w:val="000000" w:themeColor="text1"/>
            <w:sz w:val="24"/>
            <w:szCs w:val="24"/>
          </w:rPr>
          <w:t>summit community</w:t>
        </w:r>
        <w:r w:rsidRPr="0060384B">
          <w:rPr>
            <w:rFonts w:ascii="Lato" w:hAnsi="Lato"/>
            <w:color w:val="000000" w:themeColor="text1"/>
            <w:sz w:val="24"/>
            <w:szCs w:val="24"/>
          </w:rPr>
          <w:t>’s final report</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xml:space="preserve">issued in April 2018, distilled 694 recommendations into 58 main items in 12 categories, ranging from research methods and models for dementia care to engagement </w:t>
      </w:r>
      <w:r w:rsidRPr="0060384B">
        <w:rPr>
          <w:rFonts w:ascii="Lato" w:hAnsi="Lato"/>
          <w:color w:val="000000" w:themeColor="text1"/>
          <w:sz w:val="24"/>
          <w:szCs w:val="24"/>
        </w:rPr>
        <w:t>of people living with dementia and their caregivers to help guide and</w:t>
      </w:r>
    </w:p>
    <w:p w14:paraId="78CF2FF2" w14:textId="77777777" w:rsidR="00000000" w:rsidRPr="0060384B" w:rsidRDefault="00CA5F6F">
      <w:pPr>
        <w:spacing w:line="251" w:lineRule="auto"/>
        <w:ind w:right="140"/>
        <w:jc w:val="both"/>
        <w:rPr>
          <w:rFonts w:ascii="Lato" w:hAnsi="Lato"/>
          <w:color w:val="000000" w:themeColor="text1"/>
          <w:sz w:val="24"/>
          <w:szCs w:val="24"/>
        </w:rPr>
        <w:sectPr w:rsidR="00000000" w:rsidRPr="0060384B">
          <w:pgSz w:w="12240" w:h="15840"/>
          <w:pgMar w:top="1125" w:right="1440" w:bottom="0" w:left="1440" w:header="0" w:footer="0" w:gutter="0"/>
          <w:cols w:space="0" w:equalWidth="0">
            <w:col w:w="9360"/>
          </w:cols>
          <w:docGrid w:linePitch="360"/>
        </w:sectPr>
      </w:pPr>
    </w:p>
    <w:p w14:paraId="3F6F5D09" w14:textId="77777777" w:rsidR="00000000" w:rsidRPr="0060384B" w:rsidRDefault="00CA5F6F">
      <w:pPr>
        <w:spacing w:line="236"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263CF2FD" w14:textId="77777777">
        <w:trPr>
          <w:trHeight w:val="245"/>
        </w:trPr>
        <w:tc>
          <w:tcPr>
            <w:tcW w:w="6540" w:type="dxa"/>
            <w:shd w:val="clear" w:color="auto" w:fill="auto"/>
            <w:vAlign w:val="bottom"/>
          </w:tcPr>
          <w:p w14:paraId="2E510181"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TOGETHER WE SUCCEED</w:t>
            </w:r>
          </w:p>
        </w:tc>
        <w:tc>
          <w:tcPr>
            <w:tcW w:w="2820" w:type="dxa"/>
            <w:shd w:val="clear" w:color="auto" w:fill="auto"/>
            <w:vAlign w:val="bottom"/>
          </w:tcPr>
          <w:p w14:paraId="74B38688"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65</w:t>
            </w:r>
          </w:p>
        </w:tc>
      </w:tr>
      <w:tr w:rsidR="00000000" w:rsidRPr="0060384B" w14:paraId="798B2614" w14:textId="77777777">
        <w:trPr>
          <w:trHeight w:val="258"/>
        </w:trPr>
        <w:tc>
          <w:tcPr>
            <w:tcW w:w="6540" w:type="dxa"/>
            <w:shd w:val="clear" w:color="auto" w:fill="auto"/>
            <w:vAlign w:val="bottom"/>
          </w:tcPr>
          <w:p w14:paraId="0B4296D3"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14A0D800" w14:textId="77777777" w:rsidR="00000000" w:rsidRPr="0060384B" w:rsidRDefault="00CA5F6F">
            <w:pPr>
              <w:spacing w:line="0" w:lineRule="atLeast"/>
              <w:rPr>
                <w:rFonts w:ascii="Lato" w:eastAsia="Times New Roman" w:hAnsi="Lato"/>
                <w:color w:val="000000" w:themeColor="text1"/>
                <w:sz w:val="24"/>
                <w:szCs w:val="24"/>
              </w:rPr>
            </w:pPr>
          </w:p>
        </w:tc>
      </w:tr>
    </w:tbl>
    <w:p w14:paraId="6A40C24D"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25" w:right="1440" w:bottom="0" w:left="1440" w:header="0" w:footer="0" w:gutter="0"/>
          <w:cols w:space="0" w:equalWidth="0">
            <w:col w:w="9360"/>
          </w:cols>
          <w:docGrid w:linePitch="360"/>
        </w:sectPr>
      </w:pPr>
    </w:p>
    <w:p w14:paraId="516AF9AF" w14:textId="77777777" w:rsidR="00000000" w:rsidRPr="0060384B" w:rsidRDefault="00CA5F6F">
      <w:pPr>
        <w:spacing w:line="244" w:lineRule="auto"/>
        <w:rPr>
          <w:rFonts w:ascii="Lato" w:hAnsi="Lato"/>
          <w:color w:val="000000" w:themeColor="text1"/>
          <w:sz w:val="24"/>
          <w:szCs w:val="24"/>
        </w:rPr>
      </w:pPr>
      <w:bookmarkStart w:id="68" w:name="page69"/>
      <w:bookmarkEnd w:id="68"/>
      <w:r w:rsidRPr="0060384B">
        <w:rPr>
          <w:rFonts w:ascii="Lato" w:hAnsi="Lato"/>
          <w:color w:val="000000" w:themeColor="text1"/>
          <w:sz w:val="24"/>
          <w:szCs w:val="24"/>
        </w:rPr>
        <w:lastRenderedPageBreak/>
        <w:t>participate in research. Stimulated by the summit discussions and recommendations, NIA continues to encourage</w:t>
      </w:r>
      <w:r w:rsidRPr="0060384B">
        <w:rPr>
          <w:rFonts w:ascii="Lato" w:hAnsi="Lato"/>
          <w:color w:val="000000" w:themeColor="text1"/>
          <w:sz w:val="24"/>
          <w:szCs w:val="24"/>
        </w:rPr>
        <w:t xml:space="preserve"> and fund behavioral and social science research in dementia care and caregiving. Most recently, two notices were posted: Behavioral and Social Science Priority Areas in Dementia Care Research: Programs and Services for Persons with Dementia </w:t>
      </w:r>
      <w:hyperlink r:id="rId239" w:history="1">
        <w:r w:rsidRPr="0060384B">
          <w:rPr>
            <w:rFonts w:ascii="Lato" w:hAnsi="Lato"/>
            <w:color w:val="000000" w:themeColor="text1"/>
            <w:sz w:val="24"/>
            <w:szCs w:val="24"/>
          </w:rPr>
          <w:t>(</w:t>
        </w:r>
        <w:r w:rsidRPr="0060384B">
          <w:rPr>
            <w:rFonts w:ascii="Lato" w:hAnsi="Lato"/>
            <w:color w:val="000000" w:themeColor="text1"/>
            <w:sz w:val="24"/>
            <w:szCs w:val="24"/>
          </w:rPr>
          <w:t>NOT-AG-18-056</w:t>
        </w:r>
      </w:hyperlink>
      <w:r w:rsidRPr="0060384B">
        <w:rPr>
          <w:rFonts w:ascii="Lato" w:hAnsi="Lato"/>
          <w:color w:val="000000" w:themeColor="text1"/>
          <w:sz w:val="24"/>
          <w:szCs w:val="24"/>
        </w:rPr>
        <w:t xml:space="preserve">) and Behavioral and Social Science Priority Areas in Dementia Caregiver Research </w:t>
      </w:r>
      <w:hyperlink r:id="rId240" w:history="1">
        <w:r w:rsidRPr="0060384B">
          <w:rPr>
            <w:rFonts w:ascii="Lato" w:hAnsi="Lato"/>
            <w:color w:val="000000" w:themeColor="text1"/>
            <w:sz w:val="24"/>
            <w:szCs w:val="24"/>
          </w:rPr>
          <w:t>(</w:t>
        </w:r>
        <w:r w:rsidRPr="0060384B">
          <w:rPr>
            <w:rFonts w:ascii="Lato" w:hAnsi="Lato"/>
            <w:color w:val="000000" w:themeColor="text1"/>
            <w:sz w:val="24"/>
            <w:szCs w:val="24"/>
          </w:rPr>
          <w:t>NOT-AG</w:t>
        </w:r>
        <w:r w:rsidRPr="0060384B">
          <w:rPr>
            <w:rFonts w:ascii="Lato" w:hAnsi="Lato"/>
            <w:color w:val="000000" w:themeColor="text1"/>
            <w:sz w:val="24"/>
            <w:szCs w:val="24"/>
          </w:rPr>
          <w:t>-18-</w:t>
        </w:r>
      </w:hyperlink>
      <w:hyperlink r:id="rId241" w:history="1">
        <w:r w:rsidRPr="0060384B">
          <w:rPr>
            <w:rFonts w:ascii="Lato" w:hAnsi="Lato"/>
            <w:color w:val="000000" w:themeColor="text1"/>
            <w:sz w:val="24"/>
            <w:szCs w:val="24"/>
          </w:rPr>
          <w:t>057</w:t>
        </w:r>
      </w:hyperlink>
      <w:r w:rsidRPr="0060384B">
        <w:rPr>
          <w:rFonts w:ascii="Lato" w:hAnsi="Lato"/>
          <w:color w:val="000000" w:themeColor="text1"/>
          <w:sz w:val="24"/>
          <w:szCs w:val="24"/>
        </w:rPr>
        <w:t>)</w:t>
      </w:r>
      <w:r w:rsidRPr="0060384B">
        <w:rPr>
          <w:rFonts w:ascii="Lato" w:hAnsi="Lato"/>
          <w:color w:val="000000" w:themeColor="text1"/>
          <w:sz w:val="24"/>
          <w:szCs w:val="24"/>
        </w:rPr>
        <w:t>.</w:t>
      </w:r>
    </w:p>
    <w:p w14:paraId="0FF99621" w14:textId="77777777" w:rsidR="00000000" w:rsidRPr="0060384B" w:rsidRDefault="00CA5F6F">
      <w:pPr>
        <w:spacing w:line="250" w:lineRule="exact"/>
        <w:rPr>
          <w:rFonts w:ascii="Lato" w:hAnsi="Lato"/>
          <w:color w:val="000000" w:themeColor="text1"/>
          <w:sz w:val="24"/>
          <w:szCs w:val="24"/>
        </w:rPr>
      </w:pPr>
    </w:p>
    <w:p w14:paraId="75012483" w14:textId="77777777" w:rsidR="00000000" w:rsidRPr="0060384B" w:rsidRDefault="00CA5F6F">
      <w:pPr>
        <w:spacing w:line="251" w:lineRule="auto"/>
        <w:ind w:right="380"/>
        <w:rPr>
          <w:rFonts w:ascii="Lato" w:hAnsi="Lato"/>
          <w:color w:val="000000" w:themeColor="text1"/>
          <w:sz w:val="24"/>
          <w:szCs w:val="24"/>
        </w:rPr>
      </w:pPr>
      <w:r w:rsidRPr="0060384B">
        <w:rPr>
          <w:rFonts w:ascii="Lato" w:hAnsi="Lato"/>
          <w:color w:val="000000" w:themeColor="text1"/>
          <w:sz w:val="24"/>
          <w:szCs w:val="24"/>
        </w:rPr>
        <w:t>Preparation for the next Dementia Care and Services Summit, to be held in March 2020, is underway, with plans to hold subsequent care summits every 3 years to a</w:t>
      </w:r>
      <w:r w:rsidRPr="0060384B">
        <w:rPr>
          <w:rFonts w:ascii="Lato" w:hAnsi="Lato"/>
          <w:color w:val="000000" w:themeColor="text1"/>
          <w:sz w:val="24"/>
          <w:szCs w:val="24"/>
        </w:rPr>
        <w:t>ssess progress and update research directions.</w:t>
      </w:r>
    </w:p>
    <w:p w14:paraId="47E29C17" w14:textId="77777777" w:rsidR="00000000" w:rsidRPr="0060384B" w:rsidRDefault="00CA5F6F">
      <w:pPr>
        <w:spacing w:line="237" w:lineRule="exact"/>
        <w:rPr>
          <w:rFonts w:ascii="Lato" w:hAnsi="Lato"/>
          <w:color w:val="000000" w:themeColor="text1"/>
          <w:sz w:val="24"/>
          <w:szCs w:val="24"/>
        </w:rPr>
      </w:pPr>
    </w:p>
    <w:p w14:paraId="5B8B0AC6" w14:textId="77777777" w:rsidR="00000000" w:rsidRPr="0060384B" w:rsidRDefault="00CA5F6F">
      <w:pPr>
        <w:spacing w:line="242" w:lineRule="auto"/>
        <w:ind w:right="100"/>
        <w:rPr>
          <w:rFonts w:ascii="Lato" w:hAnsi="Lato"/>
          <w:color w:val="000000" w:themeColor="text1"/>
          <w:sz w:val="24"/>
          <w:szCs w:val="24"/>
        </w:rPr>
      </w:pPr>
      <w:r w:rsidRPr="0060384B">
        <w:rPr>
          <w:rFonts w:ascii="Lato" w:hAnsi="Lato"/>
          <w:b/>
          <w:color w:val="000000" w:themeColor="text1"/>
          <w:sz w:val="24"/>
          <w:szCs w:val="24"/>
        </w:rPr>
        <w:t xml:space="preserve">Emphasizing care research at new centers. </w:t>
      </w:r>
      <w:r w:rsidRPr="0060384B">
        <w:rPr>
          <w:rFonts w:ascii="Lato" w:hAnsi="Lato"/>
          <w:color w:val="000000" w:themeColor="text1"/>
          <w:sz w:val="24"/>
          <w:szCs w:val="24"/>
        </w:rPr>
        <w:t>NIH in 2018 expanded efforts through several of its</w:t>
      </w:r>
      <w:r w:rsidRPr="0060384B">
        <w:rPr>
          <w:rFonts w:ascii="Lato" w:hAnsi="Lato"/>
          <w:b/>
          <w:color w:val="000000" w:themeColor="text1"/>
          <w:sz w:val="24"/>
          <w:szCs w:val="24"/>
        </w:rPr>
        <w:t xml:space="preserve"> </w:t>
      </w:r>
      <w:r w:rsidRPr="0060384B">
        <w:rPr>
          <w:rFonts w:ascii="Lato" w:hAnsi="Lato"/>
          <w:color w:val="000000" w:themeColor="text1"/>
          <w:sz w:val="24"/>
          <w:szCs w:val="24"/>
        </w:rPr>
        <w:t>Center programs to focus on dementia care. The new Edward R. Roybal Centers for Translational Research on Dementia</w:t>
      </w:r>
      <w:r w:rsidRPr="0060384B">
        <w:rPr>
          <w:rFonts w:ascii="Lato" w:hAnsi="Lato"/>
          <w:color w:val="000000" w:themeColor="text1"/>
          <w:sz w:val="24"/>
          <w:szCs w:val="24"/>
        </w:rPr>
        <w:t xml:space="preserve"> Care Provider Support are being planned, with the goal of developing behavioral interventions that improve the health, well-being, and capacity of systems or people who provide care for people with Alzheimer</w:t>
      </w:r>
      <w:r w:rsidRPr="0060384B">
        <w:rPr>
          <w:rFonts w:ascii="Lato" w:hAnsi="Lato"/>
          <w:color w:val="000000" w:themeColor="text1"/>
          <w:sz w:val="24"/>
          <w:szCs w:val="24"/>
        </w:rPr>
        <w:t xml:space="preserve">’s disease and related dementias. Recently, NIH </w:t>
      </w:r>
      <w:r w:rsidRPr="0060384B">
        <w:rPr>
          <w:rFonts w:ascii="Lato" w:hAnsi="Lato"/>
          <w:color w:val="000000" w:themeColor="text1"/>
          <w:sz w:val="24"/>
          <w:szCs w:val="24"/>
        </w:rPr>
        <w:t>expanded its Resource Centers for Minority Aging Research program to include a subset of Centers that focus on the behavioral and social science research of Alzheimer</w:t>
      </w:r>
      <w:r w:rsidRPr="0060384B">
        <w:rPr>
          <w:rFonts w:ascii="Lato" w:hAnsi="Lato"/>
          <w:color w:val="000000" w:themeColor="text1"/>
          <w:sz w:val="24"/>
          <w:szCs w:val="24"/>
        </w:rPr>
        <w:t xml:space="preserve">’s disease and related dementias. Topics include the epidemiology and prevention of these </w:t>
      </w:r>
      <w:r w:rsidRPr="0060384B">
        <w:rPr>
          <w:rFonts w:ascii="Lato" w:hAnsi="Lato"/>
          <w:color w:val="000000" w:themeColor="text1"/>
          <w:sz w:val="24"/>
          <w:szCs w:val="24"/>
        </w:rPr>
        <w:t>diseases, as well as the formal and informal care challenges of people with Alzheimer</w:t>
      </w:r>
      <w:r w:rsidRPr="0060384B">
        <w:rPr>
          <w:rFonts w:ascii="Lato" w:hAnsi="Lato"/>
          <w:color w:val="000000" w:themeColor="text1"/>
          <w:sz w:val="24"/>
          <w:szCs w:val="24"/>
        </w:rPr>
        <w:t>’s and related dementias and their caregivers.</w:t>
      </w:r>
    </w:p>
    <w:p w14:paraId="002947C4" w14:textId="77777777" w:rsidR="00000000" w:rsidRPr="0060384B" w:rsidRDefault="00CA5F6F">
      <w:pPr>
        <w:spacing w:line="255" w:lineRule="exact"/>
        <w:rPr>
          <w:rFonts w:ascii="Lato" w:hAnsi="Lato"/>
          <w:color w:val="000000" w:themeColor="text1"/>
          <w:sz w:val="24"/>
          <w:szCs w:val="24"/>
        </w:rPr>
      </w:pPr>
    </w:p>
    <w:p w14:paraId="4AB2EB04" w14:textId="77777777" w:rsidR="00000000" w:rsidRPr="0060384B" w:rsidRDefault="00CA5F6F">
      <w:pPr>
        <w:spacing w:line="243" w:lineRule="auto"/>
        <w:ind w:right="200"/>
        <w:rPr>
          <w:rFonts w:ascii="Lato" w:hAnsi="Lato"/>
          <w:color w:val="000000" w:themeColor="text1"/>
          <w:sz w:val="24"/>
          <w:szCs w:val="24"/>
        </w:rPr>
      </w:pPr>
      <w:r w:rsidRPr="0060384B">
        <w:rPr>
          <w:rFonts w:ascii="Lato" w:hAnsi="Lato"/>
          <w:b/>
          <w:color w:val="000000" w:themeColor="text1"/>
          <w:sz w:val="24"/>
          <w:szCs w:val="24"/>
        </w:rPr>
        <w:t xml:space="preserve">High-priority behavioral and social research networks. </w:t>
      </w:r>
      <w:r w:rsidRPr="0060384B">
        <w:rPr>
          <w:rFonts w:ascii="Lato" w:hAnsi="Lato"/>
          <w:color w:val="000000" w:themeColor="text1"/>
          <w:sz w:val="24"/>
          <w:szCs w:val="24"/>
        </w:rPr>
        <w:t>A funding opportunity announcement</w:t>
      </w:r>
      <w:r w:rsidRPr="0060384B">
        <w:rPr>
          <w:rFonts w:ascii="Lato" w:hAnsi="Lato"/>
          <w:b/>
          <w:color w:val="000000" w:themeColor="text1"/>
          <w:sz w:val="24"/>
          <w:szCs w:val="24"/>
        </w:rPr>
        <w:t xml:space="preserve"> </w:t>
      </w:r>
      <w:r w:rsidRPr="0060384B">
        <w:rPr>
          <w:rFonts w:ascii="Lato" w:hAnsi="Lato"/>
          <w:color w:val="000000" w:themeColor="text1"/>
          <w:sz w:val="24"/>
          <w:szCs w:val="24"/>
        </w:rPr>
        <w:t>released in 2018 invited applicat</w:t>
      </w:r>
      <w:r w:rsidRPr="0060384B">
        <w:rPr>
          <w:rFonts w:ascii="Lato" w:hAnsi="Lato"/>
          <w:color w:val="000000" w:themeColor="text1"/>
          <w:sz w:val="24"/>
          <w:szCs w:val="24"/>
        </w:rPr>
        <w:t>ions to establish research networks that would foster the development of priority areas of behavioral and social research on Alzheimer</w:t>
      </w:r>
      <w:r w:rsidRPr="0060384B">
        <w:rPr>
          <w:rFonts w:ascii="Lato" w:hAnsi="Lato"/>
          <w:color w:val="000000" w:themeColor="text1"/>
          <w:sz w:val="24"/>
          <w:szCs w:val="24"/>
        </w:rPr>
        <w:t>’s disease and related dementias. These networks would focus on topics such as disparities in quality and access to dement</w:t>
      </w:r>
      <w:r w:rsidRPr="0060384B">
        <w:rPr>
          <w:rFonts w:ascii="Lato" w:hAnsi="Lato"/>
          <w:color w:val="000000" w:themeColor="text1"/>
          <w:sz w:val="24"/>
          <w:szCs w:val="24"/>
        </w:rPr>
        <w:t>ia care; the effectiveness of models and programs of nonresidential and residential care for people with dementia; the impact of a dementia diagnosis on individuals, families, and caregivers; and the coordination of international studies conducting the Har</w:t>
      </w:r>
      <w:r w:rsidRPr="0060384B">
        <w:rPr>
          <w:rFonts w:ascii="Lato" w:hAnsi="Lato"/>
          <w:color w:val="000000" w:themeColor="text1"/>
          <w:sz w:val="24"/>
          <w:szCs w:val="24"/>
        </w:rPr>
        <w:t>monized Cognitive Assessment Protocol.</w:t>
      </w:r>
    </w:p>
    <w:p w14:paraId="4CEED6DD" w14:textId="77777777" w:rsidR="00000000" w:rsidRPr="0060384B" w:rsidRDefault="00CA5F6F">
      <w:pPr>
        <w:spacing w:line="249" w:lineRule="exact"/>
        <w:rPr>
          <w:rFonts w:ascii="Lato" w:hAnsi="Lato"/>
          <w:color w:val="000000" w:themeColor="text1"/>
          <w:sz w:val="24"/>
          <w:szCs w:val="24"/>
        </w:rPr>
      </w:pPr>
    </w:p>
    <w:p w14:paraId="01B5BF6B"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Expanding Research on Care</w:t>
      </w:r>
    </w:p>
    <w:p w14:paraId="347D2B43" w14:textId="77777777" w:rsidR="00000000" w:rsidRPr="0060384B" w:rsidRDefault="00CA5F6F">
      <w:pPr>
        <w:spacing w:line="287" w:lineRule="exact"/>
        <w:rPr>
          <w:rFonts w:ascii="Lato" w:hAnsi="Lato"/>
          <w:color w:val="000000" w:themeColor="text1"/>
          <w:sz w:val="24"/>
          <w:szCs w:val="24"/>
        </w:rPr>
      </w:pPr>
    </w:p>
    <w:p w14:paraId="40F17672" w14:textId="77777777" w:rsidR="00000000" w:rsidRPr="0060384B" w:rsidRDefault="00CA5F6F">
      <w:pPr>
        <w:spacing w:line="243" w:lineRule="auto"/>
        <w:rPr>
          <w:rFonts w:ascii="Lato" w:hAnsi="Lato"/>
          <w:color w:val="000000" w:themeColor="text1"/>
          <w:sz w:val="24"/>
          <w:szCs w:val="24"/>
        </w:rPr>
      </w:pPr>
      <w:r w:rsidRPr="0060384B">
        <w:rPr>
          <w:rFonts w:ascii="Lato" w:hAnsi="Lato"/>
          <w:color w:val="000000" w:themeColor="text1"/>
          <w:sz w:val="24"/>
          <w:szCs w:val="24"/>
        </w:rPr>
        <w:t>Thanks to increased Federal funding for Alzheimer</w:t>
      </w:r>
      <w:r w:rsidRPr="0060384B">
        <w:rPr>
          <w:rFonts w:ascii="Lato" w:hAnsi="Lato"/>
          <w:color w:val="000000" w:themeColor="text1"/>
          <w:sz w:val="24"/>
          <w:szCs w:val="24"/>
        </w:rPr>
        <w:t>’s and related dementias, NIH wasted no time in addressing critical research needs highlighted by the 2017 Dementia Care and Services Summi</w:t>
      </w:r>
      <w:r w:rsidRPr="0060384B">
        <w:rPr>
          <w:rFonts w:ascii="Lato" w:hAnsi="Lato"/>
          <w:color w:val="000000" w:themeColor="text1"/>
          <w:sz w:val="24"/>
          <w:szCs w:val="24"/>
        </w:rPr>
        <w:t>t and in other summits, workshops, and venues. New funding opportunities highlighting specific areas of interest have been announced, with projects expeditiously reviewed and funded. In a creative approach to spark research in care and caregiving, NIA is s</w:t>
      </w:r>
      <w:r w:rsidRPr="0060384B">
        <w:rPr>
          <w:rFonts w:ascii="Lato" w:hAnsi="Lato"/>
          <w:color w:val="000000" w:themeColor="text1"/>
          <w:sz w:val="24"/>
          <w:szCs w:val="24"/>
        </w:rPr>
        <w:t>ponsoring a prize competition for the development of technology- based applications to improve dementia care coordination and care navigation (see below). At the same time, NIH remains interested in original proposals submitted independently by investigato</w:t>
      </w:r>
      <w:r w:rsidRPr="0060384B">
        <w:rPr>
          <w:rFonts w:ascii="Lato" w:hAnsi="Lato"/>
          <w:color w:val="000000" w:themeColor="text1"/>
          <w:sz w:val="24"/>
          <w:szCs w:val="24"/>
        </w:rPr>
        <w:t>rs.</w:t>
      </w:r>
    </w:p>
    <w:p w14:paraId="0A59BA60" w14:textId="77777777" w:rsidR="00000000" w:rsidRPr="0060384B" w:rsidRDefault="00CA5F6F">
      <w:pPr>
        <w:spacing w:line="250" w:lineRule="exact"/>
        <w:rPr>
          <w:rFonts w:ascii="Lato" w:hAnsi="Lato"/>
          <w:color w:val="000000" w:themeColor="text1"/>
          <w:sz w:val="24"/>
          <w:szCs w:val="24"/>
        </w:rPr>
      </w:pPr>
    </w:p>
    <w:p w14:paraId="2F4FA8E0"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New or expanded studies supported in 2018 and 2019 will investigate:</w:t>
      </w:r>
    </w:p>
    <w:p w14:paraId="1E0E7577" w14:textId="77777777" w:rsidR="00000000" w:rsidRPr="0060384B" w:rsidRDefault="00CA5F6F">
      <w:pPr>
        <w:spacing w:line="278" w:lineRule="exact"/>
        <w:rPr>
          <w:rFonts w:ascii="Lato" w:hAnsi="Lato"/>
          <w:color w:val="000000" w:themeColor="text1"/>
          <w:sz w:val="24"/>
          <w:szCs w:val="24"/>
        </w:rPr>
      </w:pPr>
    </w:p>
    <w:p w14:paraId="2BBD12C6" w14:textId="77777777" w:rsidR="00000000" w:rsidRPr="0060384B" w:rsidRDefault="00CA5F6F">
      <w:pPr>
        <w:spacing w:line="264" w:lineRule="auto"/>
        <w:ind w:right="160"/>
        <w:rPr>
          <w:rFonts w:ascii="Lato" w:hAnsi="Lato"/>
          <w:color w:val="000000" w:themeColor="text1"/>
          <w:sz w:val="24"/>
          <w:szCs w:val="24"/>
        </w:rPr>
      </w:pPr>
      <w:r w:rsidRPr="0060384B">
        <w:rPr>
          <w:rFonts w:ascii="Lato" w:hAnsi="Lato"/>
          <w:b/>
          <w:color w:val="000000" w:themeColor="text1"/>
          <w:sz w:val="24"/>
          <w:szCs w:val="24"/>
        </w:rPr>
        <w:t xml:space="preserve">Dementia care pragmatic trials. </w:t>
      </w:r>
      <w:r w:rsidRPr="0060384B">
        <w:rPr>
          <w:rFonts w:ascii="Lato" w:hAnsi="Lato"/>
          <w:color w:val="000000" w:themeColor="text1"/>
          <w:sz w:val="24"/>
          <w:szCs w:val="24"/>
        </w:rPr>
        <w:t>NIA in 2018 announced a funding opportunity for projects</w:t>
      </w:r>
      <w:r w:rsidRPr="0060384B">
        <w:rPr>
          <w:rFonts w:ascii="Lato" w:hAnsi="Lato"/>
          <w:b/>
          <w:color w:val="000000" w:themeColor="text1"/>
          <w:sz w:val="24"/>
          <w:szCs w:val="24"/>
        </w:rPr>
        <w:t xml:space="preserve"> </w:t>
      </w:r>
      <w:r w:rsidRPr="0060384B">
        <w:rPr>
          <w:rFonts w:ascii="Lato" w:hAnsi="Lato"/>
          <w:color w:val="000000" w:themeColor="text1"/>
          <w:sz w:val="24"/>
          <w:szCs w:val="24"/>
        </w:rPr>
        <w:t xml:space="preserve">establishing a </w:t>
      </w:r>
      <w:hyperlink r:id="rId242" w:history="1">
        <w:r w:rsidRPr="0060384B">
          <w:rPr>
            <w:rFonts w:ascii="Lato" w:hAnsi="Lato"/>
            <w:color w:val="000000" w:themeColor="text1"/>
            <w:sz w:val="24"/>
            <w:szCs w:val="24"/>
          </w:rPr>
          <w:t>Health Care Systems Research Collaboratory</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for Alzheimer</w:t>
      </w:r>
      <w:r w:rsidRPr="0060384B">
        <w:rPr>
          <w:rFonts w:ascii="Lato" w:hAnsi="Lato"/>
          <w:color w:val="000000" w:themeColor="text1"/>
          <w:sz w:val="24"/>
          <w:szCs w:val="24"/>
        </w:rPr>
        <w:t>’s disease and related</w:t>
      </w:r>
    </w:p>
    <w:p w14:paraId="0F8606C8" w14:textId="77777777" w:rsidR="00000000" w:rsidRPr="0060384B" w:rsidRDefault="00CA5F6F">
      <w:pPr>
        <w:spacing w:line="264" w:lineRule="auto"/>
        <w:ind w:right="16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23BED9C2" w14:textId="77777777" w:rsidR="00000000" w:rsidRPr="0060384B" w:rsidRDefault="00CA5F6F">
      <w:pPr>
        <w:spacing w:line="281" w:lineRule="exact"/>
        <w:rPr>
          <w:rFonts w:ascii="Lato"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74DA7D3F" w14:textId="77777777">
        <w:trPr>
          <w:trHeight w:val="245"/>
        </w:trPr>
        <w:tc>
          <w:tcPr>
            <w:tcW w:w="6540" w:type="dxa"/>
            <w:shd w:val="clear" w:color="auto" w:fill="auto"/>
            <w:vAlign w:val="bottom"/>
          </w:tcPr>
          <w:p w14:paraId="6BB4BCAB"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TOGETHER WE SUCCEED</w:t>
            </w:r>
          </w:p>
        </w:tc>
        <w:tc>
          <w:tcPr>
            <w:tcW w:w="2820" w:type="dxa"/>
            <w:shd w:val="clear" w:color="auto" w:fill="auto"/>
            <w:vAlign w:val="bottom"/>
          </w:tcPr>
          <w:p w14:paraId="0FB6DA1E"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66</w:t>
            </w:r>
          </w:p>
        </w:tc>
      </w:tr>
      <w:tr w:rsidR="00000000" w:rsidRPr="0060384B" w14:paraId="3EF9F49C" w14:textId="77777777">
        <w:trPr>
          <w:trHeight w:val="258"/>
        </w:trPr>
        <w:tc>
          <w:tcPr>
            <w:tcW w:w="6540" w:type="dxa"/>
            <w:shd w:val="clear" w:color="auto" w:fill="auto"/>
            <w:vAlign w:val="bottom"/>
          </w:tcPr>
          <w:p w14:paraId="7D03DD9B"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1859901A" w14:textId="77777777" w:rsidR="00000000" w:rsidRPr="0060384B" w:rsidRDefault="00CA5F6F">
            <w:pPr>
              <w:spacing w:line="0" w:lineRule="atLeast"/>
              <w:rPr>
                <w:rFonts w:ascii="Lato" w:eastAsia="Times New Roman" w:hAnsi="Lato"/>
                <w:color w:val="000000" w:themeColor="text1"/>
                <w:sz w:val="24"/>
                <w:szCs w:val="24"/>
              </w:rPr>
            </w:pPr>
          </w:p>
        </w:tc>
      </w:tr>
    </w:tbl>
    <w:p w14:paraId="1629E33C"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5FFF311D" w14:textId="77777777" w:rsidR="00000000" w:rsidRPr="0060384B" w:rsidRDefault="00CA5F6F">
      <w:pPr>
        <w:spacing w:line="247" w:lineRule="auto"/>
        <w:ind w:right="80"/>
        <w:rPr>
          <w:rFonts w:ascii="Lato" w:hAnsi="Lato"/>
          <w:color w:val="000000" w:themeColor="text1"/>
          <w:sz w:val="24"/>
          <w:szCs w:val="24"/>
        </w:rPr>
      </w:pPr>
      <w:bookmarkStart w:id="69" w:name="page70"/>
      <w:bookmarkEnd w:id="69"/>
      <w:r w:rsidRPr="0060384B">
        <w:rPr>
          <w:rFonts w:ascii="Lato" w:hAnsi="Lato"/>
          <w:color w:val="000000" w:themeColor="text1"/>
          <w:sz w:val="24"/>
          <w:szCs w:val="24"/>
        </w:rPr>
        <w:lastRenderedPageBreak/>
        <w:t>dementias. The effort is directed at improving the quality of clinical and long-term care for pe</w:t>
      </w:r>
      <w:r w:rsidRPr="0060384B">
        <w:rPr>
          <w:rFonts w:ascii="Lato" w:hAnsi="Lato"/>
          <w:color w:val="000000" w:themeColor="text1"/>
          <w:sz w:val="24"/>
          <w:szCs w:val="24"/>
        </w:rPr>
        <w:t>ople with dementia and their caregivers, who face a lack of continuity of care, late diagnoses of dementia, problems in coordination of care, and burdensome transitions between care settings for people with late-stage dementia.</w:t>
      </w:r>
    </w:p>
    <w:p w14:paraId="5C0C07D7" w14:textId="77777777" w:rsidR="00000000" w:rsidRPr="0060384B" w:rsidRDefault="00CA5F6F">
      <w:pPr>
        <w:spacing w:line="243" w:lineRule="exact"/>
        <w:rPr>
          <w:rFonts w:ascii="Lato" w:eastAsia="Times New Roman" w:hAnsi="Lato"/>
          <w:color w:val="000000" w:themeColor="text1"/>
          <w:sz w:val="24"/>
          <w:szCs w:val="24"/>
        </w:rPr>
      </w:pPr>
    </w:p>
    <w:p w14:paraId="5495A8EF" w14:textId="77777777" w:rsidR="00000000" w:rsidRPr="0060384B" w:rsidRDefault="00CA5F6F">
      <w:pPr>
        <w:spacing w:line="244" w:lineRule="auto"/>
        <w:ind w:right="60"/>
        <w:rPr>
          <w:rFonts w:ascii="Lato" w:hAnsi="Lato"/>
          <w:color w:val="000000" w:themeColor="text1"/>
          <w:sz w:val="24"/>
          <w:szCs w:val="24"/>
        </w:rPr>
      </w:pPr>
      <w:r w:rsidRPr="0060384B">
        <w:rPr>
          <w:rFonts w:ascii="Lato" w:hAnsi="Lato"/>
          <w:b/>
          <w:color w:val="000000" w:themeColor="text1"/>
          <w:sz w:val="24"/>
          <w:szCs w:val="24"/>
        </w:rPr>
        <w:t>National Study of Caregivin</w:t>
      </w:r>
      <w:r w:rsidRPr="0060384B">
        <w:rPr>
          <w:rFonts w:ascii="Lato" w:hAnsi="Lato"/>
          <w:b/>
          <w:color w:val="000000" w:themeColor="text1"/>
          <w:sz w:val="24"/>
          <w:szCs w:val="24"/>
        </w:rPr>
        <w:t>g (NSOC)</w:t>
      </w:r>
      <w:r w:rsidRPr="0060384B">
        <w:rPr>
          <w:rFonts w:ascii="Lato" w:hAnsi="Lato"/>
          <w:color w:val="000000" w:themeColor="text1"/>
          <w:sz w:val="24"/>
          <w:szCs w:val="24"/>
        </w:rPr>
        <w:t>. NSOC and its parent study, the</w:t>
      </w:r>
      <w:r w:rsidRPr="0060384B">
        <w:rPr>
          <w:rFonts w:ascii="Lato" w:hAnsi="Lato"/>
          <w:b/>
          <w:color w:val="000000" w:themeColor="text1"/>
          <w:sz w:val="24"/>
          <w:szCs w:val="24"/>
        </w:rPr>
        <w:t xml:space="preserve"> </w:t>
      </w:r>
      <w:hyperlink r:id="rId243" w:history="1">
        <w:r w:rsidRPr="0060384B">
          <w:rPr>
            <w:rFonts w:ascii="Lato" w:hAnsi="Lato"/>
            <w:color w:val="000000" w:themeColor="text1"/>
            <w:sz w:val="24"/>
            <w:szCs w:val="24"/>
          </w:rPr>
          <w:t>National Health and Aging</w:t>
        </w:r>
      </w:hyperlink>
      <w:r w:rsidRPr="0060384B">
        <w:rPr>
          <w:rFonts w:ascii="Lato" w:hAnsi="Lato"/>
          <w:b/>
          <w:color w:val="000000" w:themeColor="text1"/>
          <w:sz w:val="24"/>
          <w:szCs w:val="24"/>
        </w:rPr>
        <w:t xml:space="preserve"> </w:t>
      </w:r>
      <w:hyperlink r:id="rId244" w:history="1">
        <w:r w:rsidRPr="0060384B">
          <w:rPr>
            <w:rFonts w:ascii="Lato" w:hAnsi="Lato"/>
            <w:color w:val="000000" w:themeColor="text1"/>
            <w:sz w:val="24"/>
            <w:szCs w:val="24"/>
          </w:rPr>
          <w:t>Trends Study</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xml:space="preserve">with </w:t>
      </w:r>
      <w:r w:rsidRPr="0060384B">
        <w:rPr>
          <w:rFonts w:ascii="Lato" w:hAnsi="Lato"/>
          <w:color w:val="000000" w:themeColor="text1"/>
          <w:sz w:val="24"/>
          <w:szCs w:val="24"/>
        </w:rPr>
        <w:t>continued NIA support in fiscal year 2018, are the only national, population-</w:t>
      </w:r>
      <w:r w:rsidRPr="0060384B">
        <w:rPr>
          <w:rFonts w:ascii="Lato" w:hAnsi="Lato"/>
          <w:color w:val="000000" w:themeColor="text1"/>
          <w:sz w:val="24"/>
          <w:szCs w:val="24"/>
        </w:rPr>
        <w:t>based surveys that provide insights on a well- characterized population of older adults and the informal caregivers who assist them in health and funct</w:t>
      </w:r>
      <w:r w:rsidRPr="0060384B">
        <w:rPr>
          <w:rFonts w:ascii="Lato" w:hAnsi="Lato"/>
          <w:color w:val="000000" w:themeColor="text1"/>
          <w:sz w:val="24"/>
          <w:szCs w:val="24"/>
        </w:rPr>
        <w:t>ioning. The database is being made widely available to the research community in easy-to-use longitudinal files. The data allow assessment of care needs and challenges, including comparisons between caregivers of older adults with and without Alzheimer</w:t>
      </w:r>
      <w:r w:rsidRPr="0060384B">
        <w:rPr>
          <w:rFonts w:ascii="Lato" w:hAnsi="Lato"/>
          <w:color w:val="000000" w:themeColor="text1"/>
          <w:sz w:val="24"/>
          <w:szCs w:val="24"/>
        </w:rPr>
        <w:t>’s d</w:t>
      </w:r>
      <w:r w:rsidRPr="0060384B">
        <w:rPr>
          <w:rFonts w:ascii="Lato" w:hAnsi="Lato"/>
          <w:color w:val="000000" w:themeColor="text1"/>
          <w:sz w:val="24"/>
          <w:szCs w:val="24"/>
        </w:rPr>
        <w:t>isease and related dementias.</w:t>
      </w:r>
    </w:p>
    <w:p w14:paraId="0C7EACE6" w14:textId="77777777" w:rsidR="00000000" w:rsidRPr="0060384B" w:rsidRDefault="00CA5F6F">
      <w:pPr>
        <w:spacing w:line="245" w:lineRule="exact"/>
        <w:rPr>
          <w:rFonts w:ascii="Lato" w:eastAsia="Times New Roman" w:hAnsi="Lato"/>
          <w:color w:val="000000" w:themeColor="text1"/>
          <w:sz w:val="24"/>
          <w:szCs w:val="24"/>
        </w:rPr>
      </w:pPr>
    </w:p>
    <w:p w14:paraId="72BB9F63" w14:textId="77777777" w:rsidR="00000000" w:rsidRPr="0060384B" w:rsidRDefault="00CA5F6F">
      <w:pPr>
        <w:spacing w:line="243" w:lineRule="auto"/>
        <w:ind w:right="160"/>
        <w:rPr>
          <w:rFonts w:ascii="Lato" w:hAnsi="Lato"/>
          <w:color w:val="000000" w:themeColor="text1"/>
          <w:sz w:val="24"/>
          <w:szCs w:val="24"/>
        </w:rPr>
      </w:pPr>
      <w:r w:rsidRPr="0060384B">
        <w:rPr>
          <w:rFonts w:ascii="Lato" w:hAnsi="Lato"/>
          <w:b/>
          <w:color w:val="000000" w:themeColor="text1"/>
          <w:sz w:val="24"/>
          <w:szCs w:val="24"/>
        </w:rPr>
        <w:t>The future availability of family care for Alzheimer</w:t>
      </w:r>
      <w:r w:rsidRPr="0060384B">
        <w:rPr>
          <w:rFonts w:ascii="Lato" w:hAnsi="Lato"/>
          <w:b/>
          <w:color w:val="000000" w:themeColor="text1"/>
          <w:sz w:val="24"/>
          <w:szCs w:val="24"/>
        </w:rPr>
        <w:t xml:space="preserve">’s. </w:t>
      </w:r>
      <w:r w:rsidRPr="0060384B">
        <w:rPr>
          <w:rFonts w:ascii="Lato" w:hAnsi="Lato"/>
          <w:color w:val="000000" w:themeColor="text1"/>
          <w:sz w:val="24"/>
          <w:szCs w:val="24"/>
        </w:rPr>
        <w:t>As the NSOC looks at current trends and</w:t>
      </w:r>
      <w:r w:rsidRPr="0060384B">
        <w:rPr>
          <w:rFonts w:ascii="Lato" w:hAnsi="Lato"/>
          <w:b/>
          <w:color w:val="000000" w:themeColor="text1"/>
          <w:sz w:val="24"/>
          <w:szCs w:val="24"/>
        </w:rPr>
        <w:t xml:space="preserve"> </w:t>
      </w:r>
      <w:r w:rsidRPr="0060384B">
        <w:rPr>
          <w:rFonts w:ascii="Lato" w:hAnsi="Lato"/>
          <w:color w:val="000000" w:themeColor="text1"/>
          <w:sz w:val="24"/>
          <w:szCs w:val="24"/>
        </w:rPr>
        <w:t xml:space="preserve">issues in caregiving, a new NIA-supported initiative attempts to project </w:t>
      </w:r>
      <w:hyperlink r:id="rId245" w:history="1">
        <w:r w:rsidRPr="0060384B">
          <w:rPr>
            <w:rFonts w:ascii="Lato" w:hAnsi="Lato"/>
            <w:color w:val="000000" w:themeColor="text1"/>
            <w:sz w:val="24"/>
            <w:szCs w:val="24"/>
          </w:rPr>
          <w:t>future supply and</w:t>
        </w:r>
      </w:hyperlink>
      <w:r w:rsidRPr="0060384B">
        <w:rPr>
          <w:rFonts w:ascii="Lato" w:hAnsi="Lato"/>
          <w:color w:val="000000" w:themeColor="text1"/>
          <w:sz w:val="24"/>
          <w:szCs w:val="24"/>
        </w:rPr>
        <w:t xml:space="preserve"> </w:t>
      </w:r>
      <w:hyperlink r:id="rId246" w:history="1">
        <w:r w:rsidRPr="0060384B">
          <w:rPr>
            <w:rFonts w:ascii="Lato" w:hAnsi="Lato"/>
            <w:color w:val="000000" w:themeColor="text1"/>
            <w:sz w:val="24"/>
            <w:szCs w:val="24"/>
          </w:rPr>
          <w:t>demand for U.S. family care for Alzheimer</w:t>
        </w:r>
        <w:r w:rsidRPr="0060384B">
          <w:rPr>
            <w:rFonts w:ascii="Lato" w:hAnsi="Lato"/>
            <w:color w:val="000000" w:themeColor="text1"/>
            <w:sz w:val="24"/>
            <w:szCs w:val="24"/>
          </w:rPr>
          <w:t>’s disease and related dementias</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 xml:space="preserve">For </w:t>
      </w:r>
      <w:r w:rsidRPr="0060384B">
        <w:rPr>
          <w:rFonts w:ascii="Lato" w:hAnsi="Lato"/>
          <w:color w:val="000000" w:themeColor="text1"/>
          <w:sz w:val="24"/>
          <w:szCs w:val="24"/>
        </w:rPr>
        <w:t>the first</w:t>
      </w:r>
      <w:r w:rsidRPr="0060384B">
        <w:rPr>
          <w:rFonts w:ascii="Lato" w:hAnsi="Lato"/>
          <w:color w:val="000000" w:themeColor="text1"/>
          <w:sz w:val="24"/>
          <w:szCs w:val="24"/>
        </w:rPr>
        <w:t xml:space="preserve"> time,</w:t>
      </w:r>
      <w:r w:rsidRPr="0060384B">
        <w:rPr>
          <w:rFonts w:ascii="Lato" w:hAnsi="Lato"/>
          <w:color w:val="000000" w:themeColor="text1"/>
          <w:sz w:val="24"/>
          <w:szCs w:val="24"/>
        </w:rPr>
        <w:t xml:space="preserve"> </w:t>
      </w:r>
      <w:r w:rsidRPr="0060384B">
        <w:rPr>
          <w:rFonts w:ascii="Lato" w:hAnsi="Lato"/>
          <w:color w:val="000000" w:themeColor="text1"/>
          <w:sz w:val="24"/>
          <w:szCs w:val="24"/>
        </w:rPr>
        <w:t>data from the nationally representative Health and Retirement Study will be linked to a model of kinship networks to project future availability of family care for dementia and the burden of care to individual family members. The work should provide</w:t>
      </w:r>
      <w:r w:rsidRPr="0060384B">
        <w:rPr>
          <w:rFonts w:ascii="Lato" w:hAnsi="Lato"/>
          <w:color w:val="000000" w:themeColor="text1"/>
          <w:sz w:val="24"/>
          <w:szCs w:val="24"/>
        </w:rPr>
        <w:t xml:space="preserve"> a better understanding of how current sociodemographic trends</w:t>
      </w:r>
      <w:r w:rsidRPr="0060384B">
        <w:rPr>
          <w:rFonts w:ascii="Lato" w:hAnsi="Lato"/>
          <w:color w:val="000000" w:themeColor="text1"/>
          <w:sz w:val="24"/>
          <w:szCs w:val="24"/>
        </w:rPr>
        <w:t>—smaller family sizes, increased longevity, and changes in marital patterns</w:t>
      </w:r>
      <w:r w:rsidRPr="0060384B">
        <w:rPr>
          <w:rFonts w:ascii="Lato" w:hAnsi="Lato"/>
          <w:color w:val="000000" w:themeColor="text1"/>
          <w:sz w:val="24"/>
          <w:szCs w:val="24"/>
        </w:rPr>
        <w:t>—could affect family care for dementia and the burden of care on individual caregivers over the next 50 years, as the N</w:t>
      </w:r>
      <w:r w:rsidRPr="0060384B">
        <w:rPr>
          <w:rFonts w:ascii="Lato" w:hAnsi="Lato"/>
          <w:color w:val="000000" w:themeColor="text1"/>
          <w:sz w:val="24"/>
          <w:szCs w:val="24"/>
        </w:rPr>
        <w:t>ation plans for future needs.</w:t>
      </w:r>
    </w:p>
    <w:p w14:paraId="22DE7CC5" w14:textId="77777777" w:rsidR="00000000" w:rsidRPr="0060384B" w:rsidRDefault="00CA5F6F">
      <w:pPr>
        <w:spacing w:line="246" w:lineRule="exact"/>
        <w:rPr>
          <w:rFonts w:ascii="Lato" w:eastAsia="Times New Roman" w:hAnsi="Lato"/>
          <w:color w:val="000000" w:themeColor="text1"/>
          <w:sz w:val="24"/>
          <w:szCs w:val="24"/>
        </w:rPr>
      </w:pPr>
    </w:p>
    <w:p w14:paraId="4C65694F" w14:textId="77777777" w:rsidR="00000000" w:rsidRPr="0060384B" w:rsidRDefault="00CA5F6F">
      <w:pPr>
        <w:numPr>
          <w:ilvl w:val="0"/>
          <w:numId w:val="19"/>
        </w:numPr>
        <w:tabs>
          <w:tab w:val="left" w:pos="202"/>
        </w:tabs>
        <w:spacing w:line="244" w:lineRule="auto"/>
        <w:ind w:right="340"/>
        <w:rPr>
          <w:rFonts w:ascii="Lato" w:hAnsi="Lato"/>
          <w:b/>
          <w:color w:val="000000" w:themeColor="text1"/>
          <w:sz w:val="24"/>
          <w:szCs w:val="24"/>
        </w:rPr>
      </w:pPr>
      <w:r w:rsidRPr="0060384B">
        <w:rPr>
          <w:rFonts w:ascii="Lato" w:hAnsi="Lato"/>
          <w:b/>
          <w:color w:val="000000" w:themeColor="text1"/>
          <w:sz w:val="24"/>
          <w:szCs w:val="24"/>
        </w:rPr>
        <w:t xml:space="preserve">tablet-based nonpharmacological intervention. </w:t>
      </w:r>
      <w:hyperlink r:id="rId247" w:history="1">
        <w:r w:rsidRPr="0060384B">
          <w:rPr>
            <w:rFonts w:ascii="Lato" w:hAnsi="Lato"/>
            <w:color w:val="000000" w:themeColor="text1"/>
            <w:sz w:val="24"/>
            <w:szCs w:val="24"/>
          </w:rPr>
          <w:t>This study</w:t>
        </w:r>
        <w:r w:rsidRPr="0060384B">
          <w:rPr>
            <w:rFonts w:ascii="Lato" w:hAnsi="Lato"/>
            <w:b/>
            <w:color w:val="000000" w:themeColor="text1"/>
            <w:sz w:val="24"/>
            <w:szCs w:val="24"/>
          </w:rPr>
          <w:t xml:space="preserve"> </w:t>
        </w:r>
      </w:hyperlink>
      <w:r w:rsidRPr="0060384B">
        <w:rPr>
          <w:rFonts w:ascii="Lato" w:hAnsi="Lato"/>
          <w:color w:val="000000" w:themeColor="text1"/>
          <w:sz w:val="24"/>
          <w:szCs w:val="24"/>
        </w:rPr>
        <w:t>will</w:t>
      </w:r>
      <w:r w:rsidRPr="0060384B">
        <w:rPr>
          <w:rFonts w:ascii="Lato" w:hAnsi="Lato"/>
          <w:b/>
          <w:color w:val="000000" w:themeColor="text1"/>
          <w:sz w:val="24"/>
          <w:szCs w:val="24"/>
        </w:rPr>
        <w:t xml:space="preserve"> </w:t>
      </w:r>
      <w:r w:rsidRPr="0060384B">
        <w:rPr>
          <w:rFonts w:ascii="Lato" w:hAnsi="Lato"/>
          <w:color w:val="000000" w:themeColor="text1"/>
          <w:sz w:val="24"/>
          <w:szCs w:val="24"/>
        </w:rPr>
        <w:t>examine an intervention</w:t>
      </w:r>
      <w:r w:rsidRPr="0060384B">
        <w:rPr>
          <w:rFonts w:ascii="Lato" w:hAnsi="Lato"/>
          <w:b/>
          <w:color w:val="000000" w:themeColor="text1"/>
          <w:sz w:val="24"/>
          <w:szCs w:val="24"/>
        </w:rPr>
        <w:t xml:space="preserve"> </w:t>
      </w:r>
      <w:r w:rsidRPr="0060384B">
        <w:rPr>
          <w:rFonts w:ascii="Lato" w:hAnsi="Lato"/>
          <w:color w:val="000000" w:themeColor="text1"/>
          <w:sz w:val="24"/>
          <w:szCs w:val="24"/>
        </w:rPr>
        <w:t>program, delivered through state-of-</w:t>
      </w:r>
      <w:r w:rsidRPr="0060384B">
        <w:rPr>
          <w:rFonts w:ascii="Lato" w:hAnsi="Lato"/>
          <w:color w:val="000000" w:themeColor="text1"/>
          <w:sz w:val="24"/>
          <w:szCs w:val="24"/>
        </w:rPr>
        <w:t>the art computer tablet technology, in a group of ethnically/culturally diverse people with Alzheimer</w:t>
      </w:r>
      <w:r w:rsidRPr="0060384B">
        <w:rPr>
          <w:rFonts w:ascii="Lato" w:hAnsi="Lato"/>
          <w:color w:val="000000" w:themeColor="text1"/>
          <w:sz w:val="24"/>
          <w:szCs w:val="24"/>
        </w:rPr>
        <w:t>’s disease and their family caregivers. By using the technology to augment interventions underway for caregivers and people with dementia, researchers will</w:t>
      </w:r>
      <w:r w:rsidRPr="0060384B">
        <w:rPr>
          <w:rFonts w:ascii="Lato" w:hAnsi="Lato"/>
          <w:color w:val="000000" w:themeColor="text1"/>
          <w:sz w:val="24"/>
          <w:szCs w:val="24"/>
        </w:rPr>
        <w:t xml:space="preserve"> examine whether the lives of family caregivers and their ability to provide care can be improved, if the well-being of people with Alzheimer</w:t>
      </w:r>
      <w:r w:rsidRPr="0060384B">
        <w:rPr>
          <w:rFonts w:ascii="Lato" w:hAnsi="Lato"/>
          <w:color w:val="000000" w:themeColor="text1"/>
          <w:sz w:val="24"/>
          <w:szCs w:val="24"/>
        </w:rPr>
        <w:t>’s can be improved, and if disparities in access to services and support can be reduced.</w:t>
      </w:r>
    </w:p>
    <w:p w14:paraId="6985CA12" w14:textId="77777777" w:rsidR="00000000" w:rsidRPr="0060384B" w:rsidRDefault="00CA5F6F">
      <w:pPr>
        <w:spacing w:line="248" w:lineRule="exact"/>
        <w:rPr>
          <w:rFonts w:ascii="Lato" w:eastAsia="Times New Roman" w:hAnsi="Lato"/>
          <w:color w:val="000000" w:themeColor="text1"/>
          <w:sz w:val="24"/>
          <w:szCs w:val="24"/>
        </w:rPr>
      </w:pPr>
    </w:p>
    <w:p w14:paraId="4CA61497" w14:textId="77777777" w:rsidR="00000000" w:rsidRPr="0060384B" w:rsidRDefault="00CA5F6F">
      <w:pPr>
        <w:spacing w:line="242" w:lineRule="auto"/>
        <w:ind w:right="120"/>
        <w:rPr>
          <w:rFonts w:ascii="Lato" w:hAnsi="Lato"/>
          <w:color w:val="000000" w:themeColor="text1"/>
          <w:sz w:val="24"/>
          <w:szCs w:val="24"/>
        </w:rPr>
      </w:pPr>
      <w:r w:rsidRPr="0060384B">
        <w:rPr>
          <w:rFonts w:ascii="Lato" w:hAnsi="Lato"/>
          <w:b/>
          <w:color w:val="000000" w:themeColor="text1"/>
          <w:sz w:val="24"/>
          <w:szCs w:val="24"/>
        </w:rPr>
        <w:t>Breast cancer screening i</w:t>
      </w:r>
      <w:r w:rsidRPr="0060384B">
        <w:rPr>
          <w:rFonts w:ascii="Lato" w:hAnsi="Lato"/>
          <w:b/>
          <w:color w:val="000000" w:themeColor="text1"/>
          <w:sz w:val="24"/>
          <w:szCs w:val="24"/>
        </w:rPr>
        <w:t>n women with Alzheimer</w:t>
      </w:r>
      <w:r w:rsidRPr="0060384B">
        <w:rPr>
          <w:rFonts w:ascii="Lato" w:hAnsi="Lato"/>
          <w:b/>
          <w:color w:val="000000" w:themeColor="text1"/>
          <w:sz w:val="24"/>
          <w:szCs w:val="24"/>
        </w:rPr>
        <w:t xml:space="preserve">’s and related dementias. </w:t>
      </w:r>
      <w:r w:rsidRPr="0060384B">
        <w:rPr>
          <w:rFonts w:ascii="Lato" w:hAnsi="Lato"/>
          <w:color w:val="000000" w:themeColor="text1"/>
          <w:sz w:val="24"/>
          <w:szCs w:val="24"/>
        </w:rPr>
        <w:t>As women age,</w:t>
      </w:r>
      <w:r w:rsidRPr="0060384B">
        <w:rPr>
          <w:rFonts w:ascii="Lato" w:hAnsi="Lato"/>
          <w:b/>
          <w:color w:val="000000" w:themeColor="text1"/>
          <w:sz w:val="24"/>
          <w:szCs w:val="24"/>
        </w:rPr>
        <w:t xml:space="preserve"> </w:t>
      </w:r>
      <w:r w:rsidRPr="0060384B">
        <w:rPr>
          <w:rFonts w:ascii="Lato" w:hAnsi="Lato"/>
          <w:color w:val="000000" w:themeColor="text1"/>
          <w:sz w:val="24"/>
          <w:szCs w:val="24"/>
        </w:rPr>
        <w:t>their risk increases for developing both Alzheimer</w:t>
      </w:r>
      <w:r w:rsidRPr="0060384B">
        <w:rPr>
          <w:rFonts w:ascii="Lato" w:hAnsi="Lato"/>
          <w:color w:val="000000" w:themeColor="text1"/>
          <w:sz w:val="24"/>
          <w:szCs w:val="24"/>
        </w:rPr>
        <w:t xml:space="preserve">’s disease and related dementias and breast cancer. Women with their doctors determine how to proceed with breast cancer screening as they age. </w:t>
      </w:r>
      <w:r w:rsidRPr="0060384B">
        <w:rPr>
          <w:rFonts w:ascii="Lato" w:hAnsi="Lato"/>
          <w:color w:val="000000" w:themeColor="text1"/>
          <w:sz w:val="24"/>
          <w:szCs w:val="24"/>
        </w:rPr>
        <w:t>But with dementia, a woman</w:t>
      </w:r>
      <w:r w:rsidRPr="0060384B">
        <w:rPr>
          <w:rFonts w:ascii="Lato" w:hAnsi="Lato"/>
          <w:color w:val="000000" w:themeColor="text1"/>
          <w:sz w:val="24"/>
          <w:szCs w:val="24"/>
        </w:rPr>
        <w:t>’s ability to participate in her medical decision making can be significantly impaired, and many dementia caregivers find themselves making decisions for their loved ones they may not have anticipated. They have reported that thei</w:t>
      </w:r>
      <w:r w:rsidRPr="0060384B">
        <w:rPr>
          <w:rFonts w:ascii="Lato" w:hAnsi="Lato"/>
          <w:color w:val="000000" w:themeColor="text1"/>
          <w:sz w:val="24"/>
          <w:szCs w:val="24"/>
        </w:rPr>
        <w:t>r new role can be difficult, as the burdens and risks of having a mammogram and undergoing follow-up tests and treatment are significantly greater for older women with Alzheimer</w:t>
      </w:r>
      <w:r w:rsidRPr="0060384B">
        <w:rPr>
          <w:rFonts w:ascii="Lato" w:hAnsi="Lato"/>
          <w:color w:val="000000" w:themeColor="text1"/>
          <w:sz w:val="24"/>
          <w:szCs w:val="24"/>
        </w:rPr>
        <w:t xml:space="preserve">’s. The </w:t>
      </w:r>
      <w:hyperlink r:id="rId248" w:history="1">
        <w:r w:rsidRPr="0060384B">
          <w:rPr>
            <w:rFonts w:ascii="Lato" w:hAnsi="Lato"/>
            <w:color w:val="000000" w:themeColor="text1"/>
            <w:sz w:val="24"/>
            <w:szCs w:val="24"/>
          </w:rPr>
          <w:t>Decisions About</w:t>
        </w:r>
      </w:hyperlink>
      <w:r w:rsidRPr="0060384B">
        <w:rPr>
          <w:rFonts w:ascii="Lato" w:hAnsi="Lato"/>
          <w:color w:val="000000" w:themeColor="text1"/>
          <w:sz w:val="24"/>
          <w:szCs w:val="24"/>
        </w:rPr>
        <w:t xml:space="preserve"> </w:t>
      </w:r>
      <w:hyperlink r:id="rId249" w:history="1">
        <w:r w:rsidRPr="0060384B">
          <w:rPr>
            <w:rFonts w:ascii="Lato" w:hAnsi="Lato"/>
            <w:color w:val="000000" w:themeColor="text1"/>
            <w:sz w:val="24"/>
            <w:szCs w:val="24"/>
          </w:rPr>
          <w:t>Cancer Screening in Alzheimer</w:t>
        </w:r>
        <w:r w:rsidRPr="0060384B">
          <w:rPr>
            <w:rFonts w:ascii="Lato" w:hAnsi="Lato"/>
            <w:color w:val="000000" w:themeColor="text1"/>
            <w:sz w:val="24"/>
            <w:szCs w:val="24"/>
          </w:rPr>
          <w:t>’s Disease</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study</w:t>
      </w:r>
      <w:r w:rsidRPr="0060384B">
        <w:rPr>
          <w:rFonts w:ascii="Lato" w:hAnsi="Lato"/>
          <w:color w:val="000000" w:themeColor="text1"/>
          <w:sz w:val="24"/>
          <w:szCs w:val="24"/>
        </w:rPr>
        <w:t xml:space="preserve"> </w:t>
      </w:r>
      <w:r w:rsidRPr="0060384B">
        <w:rPr>
          <w:rFonts w:ascii="Lato" w:hAnsi="Lato"/>
          <w:color w:val="000000" w:themeColor="text1"/>
          <w:sz w:val="24"/>
          <w:szCs w:val="24"/>
        </w:rPr>
        <w:t>will look at whether an evidence-based decision</w:t>
      </w:r>
      <w:r w:rsidRPr="0060384B">
        <w:rPr>
          <w:rFonts w:ascii="Lato" w:hAnsi="Lato"/>
          <w:color w:val="000000" w:themeColor="text1"/>
          <w:sz w:val="24"/>
          <w:szCs w:val="24"/>
        </w:rPr>
        <w:t xml:space="preserve"> </w:t>
      </w:r>
      <w:r w:rsidRPr="0060384B">
        <w:rPr>
          <w:rFonts w:ascii="Lato" w:hAnsi="Lato"/>
          <w:color w:val="000000" w:themeColor="text1"/>
          <w:sz w:val="24"/>
          <w:szCs w:val="24"/>
        </w:rPr>
        <w:t>aid about m</w:t>
      </w:r>
      <w:r w:rsidRPr="0060384B">
        <w:rPr>
          <w:rFonts w:ascii="Lato" w:hAnsi="Lato"/>
          <w:color w:val="000000" w:themeColor="text1"/>
          <w:sz w:val="24"/>
          <w:szCs w:val="24"/>
        </w:rPr>
        <w:t>ammography screening can improve the quality of caregivers</w:t>
      </w:r>
      <w:r w:rsidRPr="0060384B">
        <w:rPr>
          <w:rFonts w:ascii="Lato" w:hAnsi="Lato"/>
          <w:color w:val="000000" w:themeColor="text1"/>
          <w:sz w:val="24"/>
          <w:szCs w:val="24"/>
        </w:rPr>
        <w:t>’ medical decision making about mammograms for older women.</w:t>
      </w:r>
    </w:p>
    <w:p w14:paraId="1A70CEF5" w14:textId="77777777" w:rsidR="00000000" w:rsidRPr="0060384B" w:rsidRDefault="00CA5F6F">
      <w:pPr>
        <w:spacing w:line="252" w:lineRule="exact"/>
        <w:rPr>
          <w:rFonts w:ascii="Lato" w:eastAsia="Times New Roman" w:hAnsi="Lato"/>
          <w:color w:val="000000" w:themeColor="text1"/>
          <w:sz w:val="24"/>
          <w:szCs w:val="24"/>
        </w:rPr>
      </w:pPr>
    </w:p>
    <w:p w14:paraId="74C04845"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Using music to reduce behavioral and psychological symptoms in nursing home residents.</w:t>
      </w:r>
    </w:p>
    <w:p w14:paraId="0FA172E9" w14:textId="77777777" w:rsidR="00000000" w:rsidRPr="0060384B" w:rsidRDefault="00CA5F6F">
      <w:pPr>
        <w:spacing w:line="3" w:lineRule="exact"/>
        <w:rPr>
          <w:rFonts w:ascii="Lato" w:eastAsia="Times New Roman" w:hAnsi="Lato"/>
          <w:color w:val="000000" w:themeColor="text1"/>
          <w:sz w:val="24"/>
          <w:szCs w:val="24"/>
        </w:rPr>
      </w:pPr>
    </w:p>
    <w:p w14:paraId="3FC2013A"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 xml:space="preserve">Research on </w:t>
      </w:r>
      <w:hyperlink r:id="rId250" w:history="1">
        <w:r w:rsidRPr="0060384B">
          <w:rPr>
            <w:rFonts w:ascii="Lato" w:hAnsi="Lato"/>
            <w:color w:val="000000" w:themeColor="text1"/>
            <w:sz w:val="24"/>
            <w:szCs w:val="24"/>
          </w:rPr>
          <w:t>music and its impact on people with Alzheimer</w:t>
        </w:r>
        <w:r w:rsidRPr="0060384B">
          <w:rPr>
            <w:rFonts w:ascii="Lato" w:hAnsi="Lato"/>
            <w:color w:val="000000" w:themeColor="text1"/>
            <w:sz w:val="24"/>
            <w:szCs w:val="24"/>
          </w:rPr>
          <w:t xml:space="preserve">’s disease </w:t>
        </w:r>
      </w:hyperlink>
      <w:r w:rsidRPr="0060384B">
        <w:rPr>
          <w:rFonts w:ascii="Lato" w:hAnsi="Lato"/>
          <w:color w:val="000000" w:themeColor="text1"/>
          <w:sz w:val="24"/>
          <w:szCs w:val="24"/>
        </w:rPr>
        <w:t>is a particular area of</w:t>
      </w:r>
    </w:p>
    <w:p w14:paraId="10B5EAD6"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interest. In a clinical trial in four nursing homes, NIH-funded researchers will see if a specific</w:t>
      </w:r>
    </w:p>
    <w:p w14:paraId="2DFEC246" w14:textId="77777777" w:rsidR="00000000" w:rsidRPr="0060384B" w:rsidRDefault="00CA5F6F">
      <w:pPr>
        <w:spacing w:line="0" w:lineRule="atLeast"/>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216FC98E" w14:textId="77777777" w:rsidR="00000000" w:rsidRPr="0060384B" w:rsidRDefault="00CA5F6F">
      <w:pPr>
        <w:spacing w:line="361"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3D04F510" w14:textId="77777777">
        <w:trPr>
          <w:trHeight w:val="245"/>
        </w:trPr>
        <w:tc>
          <w:tcPr>
            <w:tcW w:w="6540" w:type="dxa"/>
            <w:shd w:val="clear" w:color="auto" w:fill="auto"/>
            <w:vAlign w:val="bottom"/>
          </w:tcPr>
          <w:p w14:paraId="5894030F"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 xml:space="preserve">TOGETHER </w:t>
            </w:r>
            <w:r w:rsidRPr="0060384B">
              <w:rPr>
                <w:rFonts w:ascii="Lato" w:hAnsi="Lato"/>
                <w:color w:val="000000" w:themeColor="text1"/>
                <w:sz w:val="24"/>
                <w:szCs w:val="24"/>
              </w:rPr>
              <w:t>WE SUCCEED</w:t>
            </w:r>
          </w:p>
        </w:tc>
        <w:tc>
          <w:tcPr>
            <w:tcW w:w="2820" w:type="dxa"/>
            <w:shd w:val="clear" w:color="auto" w:fill="auto"/>
            <w:vAlign w:val="bottom"/>
          </w:tcPr>
          <w:p w14:paraId="41463250"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67</w:t>
            </w:r>
          </w:p>
        </w:tc>
      </w:tr>
      <w:tr w:rsidR="00000000" w:rsidRPr="0060384B" w14:paraId="79463813" w14:textId="77777777">
        <w:trPr>
          <w:trHeight w:val="258"/>
        </w:trPr>
        <w:tc>
          <w:tcPr>
            <w:tcW w:w="6540" w:type="dxa"/>
            <w:shd w:val="clear" w:color="auto" w:fill="auto"/>
            <w:vAlign w:val="bottom"/>
          </w:tcPr>
          <w:p w14:paraId="023A4407"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10507286" w14:textId="77777777" w:rsidR="00000000" w:rsidRPr="0060384B" w:rsidRDefault="00CA5F6F">
            <w:pPr>
              <w:spacing w:line="0" w:lineRule="atLeast"/>
              <w:rPr>
                <w:rFonts w:ascii="Lato" w:eastAsia="Times New Roman" w:hAnsi="Lato"/>
                <w:color w:val="000000" w:themeColor="text1"/>
                <w:sz w:val="24"/>
                <w:szCs w:val="24"/>
              </w:rPr>
            </w:pPr>
          </w:p>
        </w:tc>
      </w:tr>
    </w:tbl>
    <w:p w14:paraId="15E226FE"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1FFE9BF1" w14:textId="77777777" w:rsidR="00000000" w:rsidRPr="0060384B" w:rsidRDefault="00CA5F6F">
      <w:pPr>
        <w:spacing w:line="247" w:lineRule="auto"/>
        <w:ind w:right="300"/>
        <w:rPr>
          <w:rFonts w:ascii="Lato" w:hAnsi="Lato"/>
          <w:color w:val="000000" w:themeColor="text1"/>
          <w:sz w:val="24"/>
          <w:szCs w:val="24"/>
        </w:rPr>
      </w:pPr>
      <w:bookmarkStart w:id="70" w:name="page71"/>
      <w:bookmarkEnd w:id="70"/>
      <w:r w:rsidRPr="0060384B">
        <w:rPr>
          <w:rFonts w:ascii="Lato" w:hAnsi="Lato"/>
          <w:color w:val="000000" w:themeColor="text1"/>
          <w:sz w:val="24"/>
          <w:szCs w:val="24"/>
        </w:rPr>
        <w:lastRenderedPageBreak/>
        <w:t>music and memory program can be standardized and its impact measured for improving behavioral and psychological symptoms. This type of nonpharmacological approach might be able to reduce sym</w:t>
      </w:r>
      <w:r w:rsidRPr="0060384B">
        <w:rPr>
          <w:rFonts w:ascii="Lato" w:hAnsi="Lato"/>
          <w:color w:val="000000" w:themeColor="text1"/>
          <w:sz w:val="24"/>
          <w:szCs w:val="24"/>
        </w:rPr>
        <w:t>ptoms and help avoid use of some antipsychotic medications, which carry significant risks and are not advised for use in older people with dementia.</w:t>
      </w:r>
    </w:p>
    <w:p w14:paraId="05B132D6" w14:textId="43624603" w:rsidR="00000000" w:rsidRPr="0060384B" w:rsidRDefault="00FB45BD">
      <w:pPr>
        <w:spacing w:line="20" w:lineRule="exact"/>
        <w:rPr>
          <w:rFonts w:ascii="Lato" w:eastAsia="Times New Roman" w:hAnsi="Lato"/>
          <w:color w:val="000000" w:themeColor="text1"/>
          <w:sz w:val="24"/>
          <w:szCs w:val="24"/>
        </w:rPr>
      </w:pPr>
      <w:r w:rsidRPr="0060384B">
        <w:rPr>
          <w:rFonts w:ascii="Lato" w:hAnsi="Lato"/>
          <w:noProof/>
          <w:color w:val="000000" w:themeColor="text1"/>
          <w:sz w:val="24"/>
          <w:szCs w:val="24"/>
        </w:rPr>
        <mc:AlternateContent>
          <mc:Choice Requires="wps">
            <w:drawing>
              <wp:anchor distT="0" distB="0" distL="114300" distR="114300" simplePos="0" relativeHeight="251667968" behindDoc="1" locked="0" layoutInCell="1" allowOverlap="1" wp14:anchorId="3C6873E1" wp14:editId="180643C3">
                <wp:simplePos x="0" y="0"/>
                <wp:positionH relativeFrom="column">
                  <wp:posOffset>-4445</wp:posOffset>
                </wp:positionH>
                <wp:positionV relativeFrom="paragraph">
                  <wp:posOffset>240030</wp:posOffset>
                </wp:positionV>
                <wp:extent cx="5657215" cy="0"/>
                <wp:effectExtent l="5080" t="11430" r="5080" b="7620"/>
                <wp:wrapNone/>
                <wp:docPr id="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2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6D6DA" id="Line 2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8.9pt" to="445.1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"/>
            </w:pict>
          </mc:Fallback>
        </mc:AlternateContent>
      </w:r>
      <w:r w:rsidRPr="0060384B">
        <w:rPr>
          <w:rFonts w:ascii="Lato" w:hAnsi="Lato"/>
          <w:noProof/>
          <w:color w:val="000000" w:themeColor="text1"/>
          <w:sz w:val="24"/>
          <w:szCs w:val="24"/>
        </w:rPr>
        <mc:AlternateContent>
          <mc:Choice Requires="wps">
            <w:drawing>
              <wp:anchor distT="0" distB="0" distL="114300" distR="114300" simplePos="0" relativeHeight="251668992" behindDoc="1" locked="0" layoutInCell="1" allowOverlap="1" wp14:anchorId="0E325C67" wp14:editId="0C95A70B">
                <wp:simplePos x="0" y="0"/>
                <wp:positionH relativeFrom="column">
                  <wp:posOffset>5648325</wp:posOffset>
                </wp:positionH>
                <wp:positionV relativeFrom="paragraph">
                  <wp:posOffset>234950</wp:posOffset>
                </wp:positionV>
                <wp:extent cx="0" cy="5248275"/>
                <wp:effectExtent l="9525" t="6350" r="9525" b="12700"/>
                <wp:wrapNone/>
                <wp:docPr id="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482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8FBF0" id="Line 26"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75pt,18.5pt" to="444.75pt,4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"/>
            </w:pict>
          </mc:Fallback>
        </mc:AlternateContent>
      </w:r>
      <w:r w:rsidRPr="0060384B">
        <w:rPr>
          <w:rFonts w:ascii="Lato" w:hAnsi="Lato"/>
          <w:noProof/>
          <w:color w:val="000000" w:themeColor="text1"/>
          <w:sz w:val="24"/>
          <w:szCs w:val="24"/>
        </w:rPr>
        <mc:AlternateContent>
          <mc:Choice Requires="wps">
            <w:drawing>
              <wp:anchor distT="0" distB="0" distL="114300" distR="114300" simplePos="0" relativeHeight="251670016" behindDoc="1" locked="0" layoutInCell="1" allowOverlap="1" wp14:anchorId="3D0F90D8" wp14:editId="1AF7853F">
                <wp:simplePos x="0" y="0"/>
                <wp:positionH relativeFrom="column">
                  <wp:posOffset>0</wp:posOffset>
                </wp:positionH>
                <wp:positionV relativeFrom="paragraph">
                  <wp:posOffset>234950</wp:posOffset>
                </wp:positionV>
                <wp:extent cx="0" cy="5248275"/>
                <wp:effectExtent l="9525" t="6350" r="9525" b="12700"/>
                <wp:wrapNone/>
                <wp:docPr id="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482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E621D" id="Line 27"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5pt" to="0,4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"/>
            </w:pict>
          </mc:Fallback>
        </mc:AlternateContent>
      </w:r>
      <w:r w:rsidRPr="0060384B">
        <w:rPr>
          <w:rFonts w:ascii="Lato" w:hAnsi="Lato"/>
          <w:noProof/>
          <w:color w:val="000000" w:themeColor="text1"/>
          <w:sz w:val="24"/>
          <w:szCs w:val="24"/>
        </w:rPr>
        <mc:AlternateContent>
          <mc:Choice Requires="wps">
            <w:drawing>
              <wp:anchor distT="0" distB="0" distL="114300" distR="114300" simplePos="0" relativeHeight="251671040" behindDoc="1" locked="0" layoutInCell="1" allowOverlap="1" wp14:anchorId="19347581" wp14:editId="651F26F7">
                <wp:simplePos x="0" y="0"/>
                <wp:positionH relativeFrom="column">
                  <wp:posOffset>-4445</wp:posOffset>
                </wp:positionH>
                <wp:positionV relativeFrom="paragraph">
                  <wp:posOffset>5478780</wp:posOffset>
                </wp:positionV>
                <wp:extent cx="5657215" cy="0"/>
                <wp:effectExtent l="5080" t="11430" r="5080" b="7620"/>
                <wp:wrapNone/>
                <wp:docPr id="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2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E37F5" id="Line 2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31.4pt" to="445.1pt,4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"/>
            </w:pict>
          </mc:Fallback>
        </mc:AlternateContent>
      </w:r>
    </w:p>
    <w:p w14:paraId="79F7FDC0" w14:textId="77777777" w:rsidR="00000000" w:rsidRPr="0060384B" w:rsidRDefault="00CA5F6F">
      <w:pPr>
        <w:spacing w:line="200" w:lineRule="exact"/>
        <w:rPr>
          <w:rFonts w:ascii="Lato" w:eastAsia="Times New Roman" w:hAnsi="Lato"/>
          <w:color w:val="000000" w:themeColor="text1"/>
          <w:sz w:val="24"/>
          <w:szCs w:val="24"/>
        </w:rPr>
      </w:pPr>
    </w:p>
    <w:p w14:paraId="39CEAFED" w14:textId="77777777" w:rsidR="00000000" w:rsidRPr="0060384B" w:rsidRDefault="00CA5F6F">
      <w:pPr>
        <w:spacing w:line="256" w:lineRule="exact"/>
        <w:rPr>
          <w:rFonts w:ascii="Lato" w:eastAsia="Times New Roman" w:hAnsi="Lato"/>
          <w:color w:val="000000" w:themeColor="text1"/>
          <w:sz w:val="24"/>
          <w:szCs w:val="24"/>
        </w:rPr>
      </w:pPr>
    </w:p>
    <w:p w14:paraId="493FF6A2" w14:textId="77777777" w:rsidR="00000000" w:rsidRPr="0060384B" w:rsidRDefault="00CA5F6F">
      <w:pPr>
        <w:spacing w:line="0" w:lineRule="atLeast"/>
        <w:ind w:left="160"/>
        <w:rPr>
          <w:rFonts w:ascii="Lato" w:hAnsi="Lato"/>
          <w:b/>
          <w:color w:val="000000" w:themeColor="text1"/>
          <w:sz w:val="24"/>
          <w:szCs w:val="24"/>
        </w:rPr>
      </w:pPr>
      <w:r w:rsidRPr="0060384B">
        <w:rPr>
          <w:rFonts w:ascii="Lato" w:hAnsi="Lato"/>
          <w:b/>
          <w:color w:val="000000" w:themeColor="text1"/>
          <w:sz w:val="24"/>
          <w:szCs w:val="24"/>
        </w:rPr>
        <w:t>iCare-AD/ADRD: A Eureka Prize Competition</w:t>
      </w:r>
    </w:p>
    <w:p w14:paraId="35E56F08" w14:textId="77777777" w:rsidR="00000000" w:rsidRPr="0060384B" w:rsidRDefault="00CA5F6F">
      <w:pPr>
        <w:spacing w:line="284" w:lineRule="exact"/>
        <w:rPr>
          <w:rFonts w:ascii="Lato" w:eastAsia="Times New Roman" w:hAnsi="Lato"/>
          <w:color w:val="000000" w:themeColor="text1"/>
          <w:sz w:val="24"/>
          <w:szCs w:val="24"/>
        </w:rPr>
      </w:pPr>
    </w:p>
    <w:p w14:paraId="3DE15901" w14:textId="77777777" w:rsidR="00000000" w:rsidRPr="0060384B" w:rsidRDefault="00CA5F6F">
      <w:pPr>
        <w:spacing w:line="242" w:lineRule="auto"/>
        <w:ind w:left="160" w:right="720"/>
        <w:rPr>
          <w:rFonts w:ascii="Lato" w:hAnsi="Lato"/>
          <w:color w:val="000000" w:themeColor="text1"/>
          <w:sz w:val="24"/>
          <w:szCs w:val="24"/>
        </w:rPr>
      </w:pPr>
      <w:r w:rsidRPr="0060384B">
        <w:rPr>
          <w:rFonts w:ascii="Lato" w:hAnsi="Lato"/>
          <w:color w:val="000000" w:themeColor="text1"/>
          <w:sz w:val="24"/>
          <w:szCs w:val="24"/>
        </w:rPr>
        <w:t>Navigating the complex U.S. health care system can be cha</w:t>
      </w:r>
      <w:r w:rsidRPr="0060384B">
        <w:rPr>
          <w:rFonts w:ascii="Lato" w:hAnsi="Lato"/>
          <w:color w:val="000000" w:themeColor="text1"/>
          <w:sz w:val="24"/>
          <w:szCs w:val="24"/>
        </w:rPr>
        <w:t>llenging for people with dementia and their caregivers. The course of care is uncertain, of unknown duration, takes place across different care settings, and involves many different types of care providers and interventions. Models of dementia care have ev</w:t>
      </w:r>
      <w:r w:rsidRPr="0060384B">
        <w:rPr>
          <w:rFonts w:ascii="Lato" w:hAnsi="Lato"/>
          <w:color w:val="000000" w:themeColor="text1"/>
          <w:sz w:val="24"/>
          <w:szCs w:val="24"/>
        </w:rPr>
        <w:t xml:space="preserve">olved in recent years, with the potential to improve outcomes, such as reducing behavioral and psychological symptoms of dementia and lowering health care costs, by decreasing emergency department visits, inpatient hospitalizations, and some readmissions. </w:t>
      </w:r>
      <w:r w:rsidRPr="0060384B">
        <w:rPr>
          <w:rFonts w:ascii="Lato" w:hAnsi="Lato"/>
          <w:color w:val="000000" w:themeColor="text1"/>
          <w:sz w:val="24"/>
          <w:szCs w:val="24"/>
        </w:rPr>
        <w:t>But there are barriers to adoption, including workforce limitations, the cost of practice redesign, and limited uptake by insurers and health systems.</w:t>
      </w:r>
    </w:p>
    <w:p w14:paraId="09203FB4" w14:textId="77777777" w:rsidR="00000000" w:rsidRPr="0060384B" w:rsidRDefault="00CA5F6F">
      <w:pPr>
        <w:spacing w:line="257" w:lineRule="exact"/>
        <w:rPr>
          <w:rFonts w:ascii="Lato" w:eastAsia="Times New Roman" w:hAnsi="Lato"/>
          <w:color w:val="000000" w:themeColor="text1"/>
          <w:sz w:val="24"/>
          <w:szCs w:val="24"/>
        </w:rPr>
      </w:pPr>
    </w:p>
    <w:p w14:paraId="353882AE" w14:textId="77777777" w:rsidR="00000000" w:rsidRPr="0060384B" w:rsidRDefault="00CA5F6F">
      <w:pPr>
        <w:spacing w:line="242" w:lineRule="auto"/>
        <w:ind w:left="160" w:right="620"/>
        <w:rPr>
          <w:rFonts w:ascii="Lato" w:hAnsi="Lato"/>
          <w:color w:val="000000" w:themeColor="text1"/>
          <w:sz w:val="24"/>
          <w:szCs w:val="24"/>
        </w:rPr>
      </w:pPr>
      <w:r w:rsidRPr="0060384B">
        <w:rPr>
          <w:rFonts w:ascii="Lato" w:hAnsi="Lato"/>
          <w:color w:val="000000" w:themeColor="text1"/>
          <w:sz w:val="24"/>
          <w:szCs w:val="24"/>
        </w:rPr>
        <w:t>The Improving Care for People with Alzheimer</w:t>
      </w:r>
      <w:r w:rsidRPr="0060384B">
        <w:rPr>
          <w:rFonts w:ascii="Lato" w:hAnsi="Lato"/>
          <w:color w:val="000000" w:themeColor="text1"/>
          <w:sz w:val="24"/>
          <w:szCs w:val="24"/>
        </w:rPr>
        <w:t>’s Disease and Related Dementias Using Technology (iCare-AD/</w:t>
      </w:r>
      <w:r w:rsidRPr="0060384B">
        <w:rPr>
          <w:rFonts w:ascii="Lato" w:hAnsi="Lato"/>
          <w:color w:val="000000" w:themeColor="text1"/>
          <w:sz w:val="24"/>
          <w:szCs w:val="24"/>
        </w:rPr>
        <w:t>ADRD) Challenge is a Eureka prize competition seeking to use technology to improve coordination and/or navigation of dementia care. NIA, which is sponsoring the prize competition, plans to spur and reward the development of solutions for a technology-based</w:t>
      </w:r>
      <w:r w:rsidRPr="0060384B">
        <w:rPr>
          <w:rFonts w:ascii="Lato" w:hAnsi="Lato"/>
          <w:color w:val="000000" w:themeColor="text1"/>
          <w:sz w:val="24"/>
          <w:szCs w:val="24"/>
        </w:rPr>
        <w:t xml:space="preserve"> application that can foster connections between relevant stakeholders to use technology or to develop new technology applications. The application can be aimed at people with dementia and their caregivers; health care providers; health care service organi</w:t>
      </w:r>
      <w:r w:rsidRPr="0060384B">
        <w:rPr>
          <w:rFonts w:ascii="Lato" w:hAnsi="Lato"/>
          <w:color w:val="000000" w:themeColor="text1"/>
          <w:sz w:val="24"/>
          <w:szCs w:val="24"/>
        </w:rPr>
        <w:t>zations; and/or community, local, or state governments. NIA is not only seeking ideas, it is also asking entrants to demonstrate that the product would work and to discuss how they would promote its use.</w:t>
      </w:r>
    </w:p>
    <w:p w14:paraId="53FA2015" w14:textId="77777777" w:rsidR="00000000" w:rsidRPr="0060384B" w:rsidRDefault="00CA5F6F">
      <w:pPr>
        <w:spacing w:line="255" w:lineRule="exact"/>
        <w:rPr>
          <w:rFonts w:ascii="Lato" w:eastAsia="Times New Roman" w:hAnsi="Lato"/>
          <w:color w:val="000000" w:themeColor="text1"/>
          <w:sz w:val="24"/>
          <w:szCs w:val="24"/>
        </w:rPr>
      </w:pPr>
    </w:p>
    <w:p w14:paraId="3DAD9B6C" w14:textId="77777777" w:rsidR="00000000" w:rsidRPr="0060384B" w:rsidRDefault="00CA5F6F">
      <w:pPr>
        <w:spacing w:line="247" w:lineRule="auto"/>
        <w:ind w:left="160" w:right="660"/>
        <w:rPr>
          <w:rFonts w:ascii="Lato" w:hAnsi="Lato"/>
          <w:color w:val="000000" w:themeColor="text1"/>
          <w:sz w:val="24"/>
          <w:szCs w:val="24"/>
        </w:rPr>
      </w:pPr>
      <w:r w:rsidRPr="0060384B">
        <w:rPr>
          <w:rFonts w:ascii="Lato" w:hAnsi="Lato"/>
          <w:color w:val="000000" w:themeColor="text1"/>
          <w:sz w:val="24"/>
          <w:szCs w:val="24"/>
        </w:rPr>
        <w:t>Up to three winners may be selected to claim the to</w:t>
      </w:r>
      <w:r w:rsidRPr="0060384B">
        <w:rPr>
          <w:rFonts w:ascii="Lato" w:hAnsi="Lato"/>
          <w:color w:val="000000" w:themeColor="text1"/>
          <w:sz w:val="24"/>
          <w:szCs w:val="24"/>
        </w:rPr>
        <w:t>tal prize purse. The first place winner will receive up to $250,000; second place, up to $100,000; and third place, up to $50,000. The deadline for applications was June 30, and the review of submissions is underway, with the goal of announcing the winning</w:t>
      </w:r>
      <w:r w:rsidRPr="0060384B">
        <w:rPr>
          <w:rFonts w:ascii="Lato" w:hAnsi="Lato"/>
          <w:color w:val="000000" w:themeColor="text1"/>
          <w:sz w:val="24"/>
          <w:szCs w:val="24"/>
        </w:rPr>
        <w:t xml:space="preserve"> applications in fall 2019.</w:t>
      </w:r>
    </w:p>
    <w:p w14:paraId="48305740" w14:textId="77777777" w:rsidR="00000000" w:rsidRPr="0060384B" w:rsidRDefault="00CA5F6F">
      <w:pPr>
        <w:spacing w:line="200" w:lineRule="exact"/>
        <w:rPr>
          <w:rFonts w:ascii="Lato" w:eastAsia="Times New Roman" w:hAnsi="Lato"/>
          <w:color w:val="000000" w:themeColor="text1"/>
          <w:sz w:val="24"/>
          <w:szCs w:val="24"/>
        </w:rPr>
      </w:pPr>
    </w:p>
    <w:p w14:paraId="01900400" w14:textId="77777777" w:rsidR="00000000" w:rsidRPr="0060384B" w:rsidRDefault="00CA5F6F">
      <w:pPr>
        <w:spacing w:line="200" w:lineRule="exact"/>
        <w:rPr>
          <w:rFonts w:ascii="Lato" w:eastAsia="Times New Roman" w:hAnsi="Lato"/>
          <w:color w:val="000000" w:themeColor="text1"/>
          <w:sz w:val="24"/>
          <w:szCs w:val="24"/>
        </w:rPr>
      </w:pPr>
    </w:p>
    <w:p w14:paraId="0CF62DFF" w14:textId="77777777" w:rsidR="00000000" w:rsidRPr="0060384B" w:rsidRDefault="00CA5F6F">
      <w:pPr>
        <w:spacing w:line="256" w:lineRule="exact"/>
        <w:rPr>
          <w:rFonts w:ascii="Lato" w:eastAsia="Times New Roman" w:hAnsi="Lato"/>
          <w:color w:val="000000" w:themeColor="text1"/>
          <w:sz w:val="24"/>
          <w:szCs w:val="24"/>
        </w:rPr>
      </w:pPr>
    </w:p>
    <w:p w14:paraId="5B4F59BE" w14:textId="77777777" w:rsidR="00000000" w:rsidRPr="0060384B" w:rsidRDefault="00CA5F6F">
      <w:pPr>
        <w:spacing w:line="0" w:lineRule="atLeast"/>
        <w:rPr>
          <w:rFonts w:ascii="Lato" w:hAnsi="Lato"/>
          <w:b/>
          <w:color w:val="000000" w:themeColor="text1"/>
          <w:sz w:val="24"/>
          <w:szCs w:val="24"/>
        </w:rPr>
      </w:pPr>
      <w:r w:rsidRPr="0060384B">
        <w:rPr>
          <w:rFonts w:ascii="Lato" w:hAnsi="Lato"/>
          <w:b/>
          <w:color w:val="000000" w:themeColor="text1"/>
          <w:sz w:val="24"/>
          <w:szCs w:val="24"/>
        </w:rPr>
        <w:t>Research Advances in Dementia Care and Caregiving</w:t>
      </w:r>
    </w:p>
    <w:p w14:paraId="0E32A5A8" w14:textId="77777777" w:rsidR="00000000" w:rsidRPr="0060384B" w:rsidRDefault="00CA5F6F">
      <w:pPr>
        <w:spacing w:line="285" w:lineRule="exact"/>
        <w:rPr>
          <w:rFonts w:ascii="Lato" w:eastAsia="Times New Roman" w:hAnsi="Lato"/>
          <w:color w:val="000000" w:themeColor="text1"/>
          <w:sz w:val="24"/>
          <w:szCs w:val="24"/>
        </w:rPr>
      </w:pPr>
    </w:p>
    <w:p w14:paraId="4809CEBC" w14:textId="77777777" w:rsidR="00000000" w:rsidRPr="0060384B" w:rsidRDefault="00CA5F6F">
      <w:pPr>
        <w:spacing w:line="244" w:lineRule="auto"/>
        <w:ind w:right="120"/>
        <w:rPr>
          <w:rFonts w:ascii="Lato" w:hAnsi="Lato"/>
          <w:color w:val="000000" w:themeColor="text1"/>
          <w:sz w:val="24"/>
          <w:szCs w:val="24"/>
        </w:rPr>
      </w:pPr>
      <w:r w:rsidRPr="0060384B">
        <w:rPr>
          <w:rFonts w:ascii="Lato" w:hAnsi="Lato"/>
          <w:color w:val="000000" w:themeColor="text1"/>
          <w:sz w:val="24"/>
          <w:szCs w:val="24"/>
        </w:rPr>
        <w:t xml:space="preserve">Caregiving can be deeply rewarding. But it also comes with physical, emotional, and financial demands that intensify with advancing disease. Family caregivers are at risk of </w:t>
      </w:r>
      <w:r w:rsidRPr="0060384B">
        <w:rPr>
          <w:rFonts w:ascii="Lato" w:hAnsi="Lato"/>
          <w:color w:val="000000" w:themeColor="text1"/>
          <w:sz w:val="24"/>
          <w:szCs w:val="24"/>
        </w:rPr>
        <w:t>disrupted sleep, anxiety, depression, and immune system effects, according to studies. In addition, when caregivers turn to more formal care options, costs can be significant, often unsupported by insurance, and how well that care is managed can affect the</w:t>
      </w:r>
      <w:r w:rsidRPr="0060384B">
        <w:rPr>
          <w:rFonts w:ascii="Lato" w:hAnsi="Lato"/>
          <w:color w:val="000000" w:themeColor="text1"/>
          <w:sz w:val="24"/>
          <w:szCs w:val="24"/>
        </w:rPr>
        <w:t xml:space="preserve"> health and well-being of both the person receiving care and the caregiver.</w:t>
      </w:r>
    </w:p>
    <w:p w14:paraId="3B4CDEAF" w14:textId="77777777" w:rsidR="00000000" w:rsidRPr="0060384B" w:rsidRDefault="00CA5F6F">
      <w:pPr>
        <w:spacing w:line="250" w:lineRule="exact"/>
        <w:rPr>
          <w:rFonts w:ascii="Lato" w:eastAsia="Times New Roman" w:hAnsi="Lato"/>
          <w:color w:val="000000" w:themeColor="text1"/>
          <w:sz w:val="24"/>
          <w:szCs w:val="24"/>
        </w:rPr>
      </w:pPr>
    </w:p>
    <w:p w14:paraId="0F07B7FE" w14:textId="77777777" w:rsidR="00000000" w:rsidRPr="0060384B" w:rsidRDefault="00CA5F6F">
      <w:pPr>
        <w:spacing w:line="284" w:lineRule="auto"/>
        <w:ind w:right="200"/>
        <w:rPr>
          <w:rFonts w:ascii="Lato" w:hAnsi="Lato"/>
          <w:color w:val="000000" w:themeColor="text1"/>
          <w:sz w:val="24"/>
          <w:szCs w:val="24"/>
        </w:rPr>
      </w:pPr>
      <w:r w:rsidRPr="0060384B">
        <w:rPr>
          <w:rFonts w:ascii="Lato" w:hAnsi="Lato"/>
          <w:color w:val="000000" w:themeColor="text1"/>
          <w:sz w:val="24"/>
          <w:szCs w:val="24"/>
        </w:rPr>
        <w:lastRenderedPageBreak/>
        <w:t xml:space="preserve">Recently reported research findings provide insights into ways that care might be made easier or more efficient for caregivers and for people with dementia, as well as clinicians </w:t>
      </w:r>
      <w:r w:rsidRPr="0060384B">
        <w:rPr>
          <w:rFonts w:ascii="Lato" w:hAnsi="Lato"/>
          <w:color w:val="000000" w:themeColor="text1"/>
          <w:sz w:val="24"/>
          <w:szCs w:val="24"/>
        </w:rPr>
        <w:t>and health</w:t>
      </w:r>
    </w:p>
    <w:p w14:paraId="362A4BA3" w14:textId="77777777" w:rsidR="00000000" w:rsidRPr="0060384B" w:rsidRDefault="00CA5F6F">
      <w:pPr>
        <w:spacing w:line="284" w:lineRule="auto"/>
        <w:ind w:right="20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0FA4872E" w14:textId="77777777" w:rsidR="00000000" w:rsidRPr="0060384B" w:rsidRDefault="00CA5F6F">
      <w:pPr>
        <w:spacing w:line="198"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04217CEB" w14:textId="77777777">
        <w:trPr>
          <w:trHeight w:val="245"/>
        </w:trPr>
        <w:tc>
          <w:tcPr>
            <w:tcW w:w="6540" w:type="dxa"/>
            <w:shd w:val="clear" w:color="auto" w:fill="auto"/>
            <w:vAlign w:val="bottom"/>
          </w:tcPr>
          <w:p w14:paraId="35E2B6D2"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558C583A"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68</w:t>
            </w:r>
          </w:p>
        </w:tc>
      </w:tr>
      <w:tr w:rsidR="00000000" w:rsidRPr="0060384B" w14:paraId="634CC1EE" w14:textId="77777777">
        <w:trPr>
          <w:trHeight w:val="258"/>
        </w:trPr>
        <w:tc>
          <w:tcPr>
            <w:tcW w:w="6540" w:type="dxa"/>
            <w:shd w:val="clear" w:color="auto" w:fill="auto"/>
            <w:vAlign w:val="bottom"/>
          </w:tcPr>
          <w:p w14:paraId="13C200AA"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14A04391" w14:textId="77777777" w:rsidR="00000000" w:rsidRPr="0060384B" w:rsidRDefault="00CA5F6F">
            <w:pPr>
              <w:spacing w:line="0" w:lineRule="atLeast"/>
              <w:rPr>
                <w:rFonts w:ascii="Lato" w:eastAsia="Times New Roman" w:hAnsi="Lato"/>
                <w:color w:val="000000" w:themeColor="text1"/>
                <w:sz w:val="24"/>
                <w:szCs w:val="24"/>
              </w:rPr>
            </w:pPr>
          </w:p>
        </w:tc>
      </w:tr>
    </w:tbl>
    <w:p w14:paraId="12B8A067"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4FEE5A32" w14:textId="77777777" w:rsidR="00000000" w:rsidRPr="0060384B" w:rsidRDefault="00CA5F6F">
      <w:pPr>
        <w:spacing w:line="251" w:lineRule="auto"/>
        <w:ind w:right="60"/>
        <w:rPr>
          <w:rFonts w:ascii="Lato" w:hAnsi="Lato"/>
          <w:color w:val="000000" w:themeColor="text1"/>
          <w:sz w:val="24"/>
          <w:szCs w:val="24"/>
        </w:rPr>
      </w:pPr>
      <w:bookmarkStart w:id="71" w:name="page72"/>
      <w:bookmarkEnd w:id="71"/>
      <w:r w:rsidRPr="0060384B">
        <w:rPr>
          <w:rFonts w:ascii="Lato" w:hAnsi="Lato"/>
          <w:color w:val="000000" w:themeColor="text1"/>
          <w:sz w:val="24"/>
          <w:szCs w:val="24"/>
        </w:rPr>
        <w:lastRenderedPageBreak/>
        <w:t>care systems. Advances reported over the last year show progress in new approaches, from the advent of simple paper-and-pencil checklists enhancing doctor visits to new</w:t>
      </w:r>
      <w:r w:rsidRPr="0060384B">
        <w:rPr>
          <w:rFonts w:ascii="Lato" w:hAnsi="Lato"/>
          <w:color w:val="000000" w:themeColor="text1"/>
          <w:sz w:val="24"/>
          <w:szCs w:val="24"/>
        </w:rPr>
        <w:t>er video technologies supporting patient-centered care:</w:t>
      </w:r>
    </w:p>
    <w:p w14:paraId="060714A6" w14:textId="77777777" w:rsidR="00000000" w:rsidRPr="0060384B" w:rsidRDefault="00CA5F6F">
      <w:pPr>
        <w:spacing w:line="237" w:lineRule="exact"/>
        <w:rPr>
          <w:rFonts w:ascii="Lato" w:eastAsia="Times New Roman" w:hAnsi="Lato"/>
          <w:color w:val="000000" w:themeColor="text1"/>
          <w:sz w:val="24"/>
          <w:szCs w:val="24"/>
        </w:rPr>
      </w:pPr>
    </w:p>
    <w:p w14:paraId="58AFC7AB" w14:textId="77777777" w:rsidR="00000000" w:rsidRPr="0060384B" w:rsidRDefault="00CA5F6F">
      <w:pPr>
        <w:spacing w:line="242" w:lineRule="auto"/>
        <w:rPr>
          <w:rFonts w:ascii="Lato" w:hAnsi="Lato"/>
          <w:color w:val="000000" w:themeColor="text1"/>
          <w:sz w:val="24"/>
          <w:szCs w:val="24"/>
        </w:rPr>
      </w:pPr>
      <w:r w:rsidRPr="0060384B">
        <w:rPr>
          <w:rFonts w:ascii="Lato" w:hAnsi="Lato"/>
          <w:b/>
          <w:color w:val="000000" w:themeColor="text1"/>
          <w:sz w:val="24"/>
          <w:szCs w:val="24"/>
        </w:rPr>
        <w:t xml:space="preserve">Use of video decision support tool. </w:t>
      </w:r>
      <w:r w:rsidRPr="0060384B">
        <w:rPr>
          <w:rFonts w:ascii="Lato" w:hAnsi="Lato"/>
          <w:color w:val="000000" w:themeColor="text1"/>
          <w:sz w:val="24"/>
          <w:szCs w:val="24"/>
        </w:rPr>
        <w:t xml:space="preserve">Researchers </w:t>
      </w:r>
      <w:hyperlink r:id="rId251" w:history="1">
        <w:r w:rsidRPr="0060384B">
          <w:rPr>
            <w:rFonts w:ascii="Lato" w:hAnsi="Lato"/>
            <w:color w:val="000000" w:themeColor="text1"/>
            <w:sz w:val="24"/>
            <w:szCs w:val="24"/>
          </w:rPr>
          <w:t>(</w:t>
        </w:r>
        <w:r w:rsidRPr="0060384B">
          <w:rPr>
            <w:rFonts w:ascii="Lato" w:hAnsi="Lato"/>
            <w:color w:val="000000" w:themeColor="text1"/>
            <w:sz w:val="24"/>
            <w:szCs w:val="24"/>
          </w:rPr>
          <w:t>Mitchell et al., 2018</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w:t>
      </w:r>
      <w:r w:rsidRPr="0060384B">
        <w:rPr>
          <w:rFonts w:ascii="Lato" w:hAnsi="Lato"/>
          <w:color w:val="000000" w:themeColor="text1"/>
          <w:sz w:val="24"/>
          <w:szCs w:val="24"/>
        </w:rPr>
        <w:t xml:space="preserve"> </w:t>
      </w:r>
      <w:r w:rsidRPr="0060384B">
        <w:rPr>
          <w:rFonts w:ascii="Lato" w:hAnsi="Lato"/>
          <w:color w:val="000000" w:themeColor="text1"/>
          <w:sz w:val="24"/>
          <w:szCs w:val="24"/>
        </w:rPr>
        <w:t>conducting the Advance</w:t>
      </w:r>
      <w:r w:rsidRPr="0060384B">
        <w:rPr>
          <w:rFonts w:ascii="Lato" w:hAnsi="Lato"/>
          <w:color w:val="000000" w:themeColor="text1"/>
          <w:sz w:val="24"/>
          <w:szCs w:val="24"/>
        </w:rPr>
        <w:t xml:space="preserve"> </w:t>
      </w:r>
      <w:r w:rsidRPr="0060384B">
        <w:rPr>
          <w:rFonts w:ascii="Lato" w:hAnsi="Lato"/>
          <w:color w:val="000000" w:themeColor="text1"/>
          <w:sz w:val="24"/>
          <w:szCs w:val="24"/>
        </w:rPr>
        <w:t>Care Planning trial looked at whether a 12</w:t>
      </w:r>
      <w:r w:rsidRPr="0060384B">
        <w:rPr>
          <w:rFonts w:ascii="Lato" w:hAnsi="Lato"/>
          <w:color w:val="000000" w:themeColor="text1"/>
          <w:sz w:val="24"/>
          <w:szCs w:val="24"/>
        </w:rPr>
        <w:t xml:space="preserve">-minute </w:t>
      </w:r>
      <w:r w:rsidRPr="0060384B">
        <w:rPr>
          <w:rFonts w:ascii="Lato" w:hAnsi="Lato"/>
          <w:color w:val="000000" w:themeColor="text1"/>
          <w:sz w:val="24"/>
          <w:szCs w:val="24"/>
        </w:rPr>
        <w:t>“decision support</w:t>
      </w:r>
      <w:r w:rsidRPr="0060384B">
        <w:rPr>
          <w:rFonts w:ascii="Lato" w:hAnsi="Lato"/>
          <w:color w:val="000000" w:themeColor="text1"/>
          <w:sz w:val="24"/>
          <w:szCs w:val="24"/>
        </w:rPr>
        <w:t>” video might help establish care preferences. The effects of the video</w:t>
      </w:r>
      <w:r w:rsidRPr="0060384B">
        <w:rPr>
          <w:rFonts w:ascii="Lato" w:hAnsi="Lato"/>
          <w:color w:val="000000" w:themeColor="text1"/>
          <w:sz w:val="24"/>
          <w:szCs w:val="24"/>
        </w:rPr>
        <w:t>—focused on do-not-hospitalize directives, burdensome treatments, and goals of care</w:t>
      </w:r>
      <w:r w:rsidRPr="0060384B">
        <w:rPr>
          <w:rFonts w:ascii="Lato" w:hAnsi="Lato"/>
          <w:color w:val="000000" w:themeColor="text1"/>
          <w:sz w:val="24"/>
          <w:szCs w:val="24"/>
        </w:rPr>
        <w:t>—were evaluated for 402 nursing home residents with advanced dementia and the</w:t>
      </w:r>
      <w:r w:rsidRPr="0060384B">
        <w:rPr>
          <w:rFonts w:ascii="Lato" w:hAnsi="Lato"/>
          <w:color w:val="000000" w:themeColor="text1"/>
          <w:sz w:val="24"/>
          <w:szCs w:val="24"/>
        </w:rPr>
        <w:t xml:space="preserve">ir proxies in 64 nursing homes. Results were mixed. There was no difference between the video intervention and a control group on the do-not-hospitalize directives and other preferences, but the study did find that the intervention helped align goals with </w:t>
      </w:r>
      <w:r w:rsidRPr="0060384B">
        <w:rPr>
          <w:rFonts w:ascii="Lato" w:hAnsi="Lato"/>
          <w:color w:val="000000" w:themeColor="text1"/>
          <w:sz w:val="24"/>
          <w:szCs w:val="24"/>
        </w:rPr>
        <w:t>care in specific areas. For example, residents in the intervention facilities whose proxies preferred comfort care were more likely to have do -not-hospitalize and no-tube-feeding directives compared with those in facilities without the intervention.</w:t>
      </w:r>
    </w:p>
    <w:p w14:paraId="6A8BE122" w14:textId="77777777" w:rsidR="00000000" w:rsidRPr="0060384B" w:rsidRDefault="00CA5F6F">
      <w:pPr>
        <w:spacing w:line="255" w:lineRule="exact"/>
        <w:rPr>
          <w:rFonts w:ascii="Lato" w:eastAsia="Times New Roman" w:hAnsi="Lato"/>
          <w:color w:val="000000" w:themeColor="text1"/>
          <w:sz w:val="24"/>
          <w:szCs w:val="24"/>
        </w:rPr>
      </w:pPr>
    </w:p>
    <w:p w14:paraId="1348B26A" w14:textId="77777777" w:rsidR="00000000" w:rsidRPr="0060384B" w:rsidRDefault="00CA5F6F">
      <w:pPr>
        <w:spacing w:line="242" w:lineRule="auto"/>
        <w:ind w:right="40"/>
        <w:rPr>
          <w:rFonts w:ascii="Lato" w:hAnsi="Lato"/>
          <w:color w:val="000000" w:themeColor="text1"/>
          <w:sz w:val="24"/>
          <w:szCs w:val="24"/>
        </w:rPr>
      </w:pPr>
      <w:r w:rsidRPr="0060384B">
        <w:rPr>
          <w:rFonts w:ascii="Lato" w:hAnsi="Lato"/>
          <w:b/>
          <w:color w:val="000000" w:themeColor="text1"/>
          <w:sz w:val="24"/>
          <w:szCs w:val="24"/>
        </w:rPr>
        <w:t>Opti</w:t>
      </w:r>
      <w:r w:rsidRPr="0060384B">
        <w:rPr>
          <w:rFonts w:ascii="Lato" w:hAnsi="Lato"/>
          <w:b/>
          <w:color w:val="000000" w:themeColor="text1"/>
          <w:sz w:val="24"/>
          <w:szCs w:val="24"/>
        </w:rPr>
        <w:t xml:space="preserve">mizing clinical, primary care. </w:t>
      </w:r>
      <w:r w:rsidRPr="0060384B">
        <w:rPr>
          <w:rFonts w:ascii="Lato" w:hAnsi="Lato"/>
          <w:color w:val="000000" w:themeColor="text1"/>
          <w:sz w:val="24"/>
          <w:szCs w:val="24"/>
        </w:rPr>
        <w:t>Most medical care for people with dementia is provided by</w:t>
      </w:r>
      <w:r w:rsidRPr="0060384B">
        <w:rPr>
          <w:rFonts w:ascii="Lato" w:hAnsi="Lato"/>
          <w:b/>
          <w:color w:val="000000" w:themeColor="text1"/>
          <w:sz w:val="24"/>
          <w:szCs w:val="24"/>
        </w:rPr>
        <w:t xml:space="preserve"> </w:t>
      </w:r>
      <w:r w:rsidRPr="0060384B">
        <w:rPr>
          <w:rFonts w:ascii="Lato" w:hAnsi="Lato"/>
          <w:color w:val="000000" w:themeColor="text1"/>
          <w:sz w:val="24"/>
          <w:szCs w:val="24"/>
        </w:rPr>
        <w:t>primary care physicians in the community. But time and reimbursement issues, some doctors</w:t>
      </w:r>
      <w:r w:rsidRPr="0060384B">
        <w:rPr>
          <w:rFonts w:ascii="Lato" w:hAnsi="Lato"/>
          <w:color w:val="000000" w:themeColor="text1"/>
          <w:sz w:val="24"/>
          <w:szCs w:val="24"/>
        </w:rPr>
        <w:t xml:space="preserve">’ lack of experience with cognitive impairment and appropriate resources, and </w:t>
      </w:r>
      <w:r w:rsidRPr="0060384B">
        <w:rPr>
          <w:rFonts w:ascii="Lato" w:hAnsi="Lato"/>
          <w:color w:val="000000" w:themeColor="text1"/>
          <w:sz w:val="24"/>
          <w:szCs w:val="24"/>
        </w:rPr>
        <w:t>challenges associated with the presence of family members or caregivers, can hinder the effectiveness and efficiency of an office visit. In the SAME Page Trial, investigators (</w:t>
      </w:r>
      <w:hyperlink r:id="rId252" w:history="1">
        <w:r w:rsidRPr="0060384B">
          <w:rPr>
            <w:rFonts w:ascii="Lato" w:hAnsi="Lato"/>
            <w:color w:val="000000" w:themeColor="text1"/>
            <w:sz w:val="24"/>
            <w:szCs w:val="24"/>
          </w:rPr>
          <w:t>Wolff et al., 2018</w:t>
        </w:r>
      </w:hyperlink>
      <w:r w:rsidRPr="0060384B">
        <w:rPr>
          <w:rFonts w:ascii="Lato" w:hAnsi="Lato"/>
          <w:color w:val="000000" w:themeColor="text1"/>
          <w:sz w:val="24"/>
          <w:szCs w:val="24"/>
        </w:rPr>
        <w:t>)</w:t>
      </w:r>
      <w:r w:rsidRPr="0060384B">
        <w:rPr>
          <w:rFonts w:ascii="Lato" w:hAnsi="Lato"/>
          <w:color w:val="000000" w:themeColor="text1"/>
          <w:sz w:val="24"/>
          <w:szCs w:val="24"/>
        </w:rPr>
        <w:t xml:space="preserve"> tested a self-administered, agenda-setting checklist. The checklist, which could be completed in the doctor</w:t>
      </w:r>
      <w:r w:rsidRPr="0060384B">
        <w:rPr>
          <w:rFonts w:ascii="Lato" w:hAnsi="Lato"/>
          <w:color w:val="000000" w:themeColor="text1"/>
          <w:sz w:val="24"/>
          <w:szCs w:val="24"/>
        </w:rPr>
        <w:t>’s office waiting room, was designed to establish expectations and set priorities for the visit. Data from the lists showed that for people with dem</w:t>
      </w:r>
      <w:r w:rsidRPr="0060384B">
        <w:rPr>
          <w:rFonts w:ascii="Lato" w:hAnsi="Lato"/>
          <w:color w:val="000000" w:themeColor="text1"/>
          <w:sz w:val="24"/>
          <w:szCs w:val="24"/>
        </w:rPr>
        <w:t>entia, their priorities for visits tended to focus on memory and mood issues, while caregivers were interested in safety and behavior changes. Tuning into the list of concerns from people with dementia, the researchers found, resulted in significantly more</w:t>
      </w:r>
      <w:r w:rsidRPr="0060384B">
        <w:rPr>
          <w:rFonts w:ascii="Lato" w:hAnsi="Lato"/>
          <w:color w:val="000000" w:themeColor="text1"/>
          <w:sz w:val="24"/>
          <w:szCs w:val="24"/>
        </w:rPr>
        <w:t xml:space="preserve"> patient-centered communications in visits using the tool. The researchers concluded that patient-family agenda setting may improve communication during primary care visits for people with cognitive impairment.</w:t>
      </w:r>
    </w:p>
    <w:p w14:paraId="66F156E9" w14:textId="77777777" w:rsidR="00000000" w:rsidRPr="0060384B" w:rsidRDefault="00CA5F6F">
      <w:pPr>
        <w:spacing w:line="249" w:lineRule="exact"/>
        <w:rPr>
          <w:rFonts w:ascii="Lato" w:eastAsia="Times New Roman" w:hAnsi="Lato"/>
          <w:color w:val="000000" w:themeColor="text1"/>
          <w:sz w:val="24"/>
          <w:szCs w:val="24"/>
        </w:rPr>
      </w:pPr>
    </w:p>
    <w:p w14:paraId="53A010A5" w14:textId="77777777" w:rsidR="00000000" w:rsidRPr="0060384B" w:rsidRDefault="00CA5F6F">
      <w:pPr>
        <w:spacing w:line="242" w:lineRule="auto"/>
        <w:ind w:right="100"/>
        <w:rPr>
          <w:rFonts w:ascii="Lato" w:hAnsi="Lato"/>
          <w:color w:val="000000" w:themeColor="text1"/>
          <w:sz w:val="24"/>
          <w:szCs w:val="24"/>
        </w:rPr>
      </w:pPr>
      <w:r w:rsidRPr="0060384B">
        <w:rPr>
          <w:rFonts w:ascii="Lato" w:hAnsi="Lato"/>
          <w:b/>
          <w:color w:val="000000" w:themeColor="text1"/>
          <w:sz w:val="24"/>
          <w:szCs w:val="24"/>
        </w:rPr>
        <w:t xml:space="preserve">Use of health care services in older adults </w:t>
      </w:r>
      <w:r w:rsidRPr="0060384B">
        <w:rPr>
          <w:rFonts w:ascii="Lato" w:hAnsi="Lato"/>
          <w:b/>
          <w:color w:val="000000" w:themeColor="text1"/>
          <w:sz w:val="24"/>
          <w:szCs w:val="24"/>
        </w:rPr>
        <w:t xml:space="preserve">with undiagnosed dementia. </w:t>
      </w:r>
      <w:r w:rsidRPr="0060384B">
        <w:rPr>
          <w:rFonts w:ascii="Lato" w:hAnsi="Lato"/>
          <w:color w:val="000000" w:themeColor="text1"/>
          <w:sz w:val="24"/>
          <w:szCs w:val="24"/>
        </w:rPr>
        <w:t>How can the medical</w:t>
      </w:r>
      <w:r w:rsidRPr="0060384B">
        <w:rPr>
          <w:rFonts w:ascii="Lato" w:hAnsi="Lato"/>
          <w:b/>
          <w:color w:val="000000" w:themeColor="text1"/>
          <w:sz w:val="24"/>
          <w:szCs w:val="24"/>
        </w:rPr>
        <w:t xml:space="preserve"> </w:t>
      </w:r>
      <w:r w:rsidRPr="0060384B">
        <w:rPr>
          <w:rFonts w:ascii="Lato" w:hAnsi="Lato"/>
          <w:color w:val="000000" w:themeColor="text1"/>
          <w:sz w:val="24"/>
          <w:szCs w:val="24"/>
        </w:rPr>
        <w:t>community and health care systems better respond to dementia patients and their caregivers? Scientists (</w:t>
      </w:r>
      <w:hyperlink r:id="rId253" w:history="1">
        <w:r w:rsidRPr="0060384B">
          <w:rPr>
            <w:rFonts w:ascii="Lato" w:hAnsi="Lato"/>
            <w:color w:val="000000" w:themeColor="text1"/>
            <w:sz w:val="24"/>
            <w:szCs w:val="24"/>
          </w:rPr>
          <w:t>Lee et al., 2018</w:t>
        </w:r>
      </w:hyperlink>
      <w:r w:rsidRPr="0060384B">
        <w:rPr>
          <w:rFonts w:ascii="Lato" w:hAnsi="Lato"/>
          <w:color w:val="000000" w:themeColor="text1"/>
          <w:sz w:val="24"/>
          <w:szCs w:val="24"/>
        </w:rPr>
        <w:t>) in one study look</w:t>
      </w:r>
      <w:r w:rsidRPr="0060384B">
        <w:rPr>
          <w:rFonts w:ascii="Lato" w:hAnsi="Lato"/>
          <w:color w:val="000000" w:themeColor="text1"/>
          <w:sz w:val="24"/>
          <w:szCs w:val="24"/>
        </w:rPr>
        <w:t>ed at the experience of people who developed dementia in the Adult Changes in Thought study, a prospective cohort study of older adults. An examination of electronic health data and use of health care services for the 2 years prior to a diagnosis of dement</w:t>
      </w:r>
      <w:r w:rsidRPr="0060384B">
        <w:rPr>
          <w:rFonts w:ascii="Lato" w:hAnsi="Lato"/>
          <w:color w:val="000000" w:themeColor="text1"/>
          <w:sz w:val="24"/>
          <w:szCs w:val="24"/>
        </w:rPr>
        <w:t>ia found that people who were undiagnosed during that period were an intermediate group, between people with diagnosed dementia (having the most health care needs) and no dementia (with the least health care needs). Individuals with undiagnosed dementia ha</w:t>
      </w:r>
      <w:r w:rsidRPr="0060384B">
        <w:rPr>
          <w:rFonts w:ascii="Lato" w:hAnsi="Lato"/>
          <w:color w:val="000000" w:themeColor="text1"/>
          <w:sz w:val="24"/>
          <w:szCs w:val="24"/>
        </w:rPr>
        <w:t>d a more difficult time remembering medical appointments and had more emergency department visits and hospitalizations than those without dementia, but less than those with dementia. The findings suggest that identifying undiagnosed individuals may allow f</w:t>
      </w:r>
      <w:r w:rsidRPr="0060384B">
        <w:rPr>
          <w:rFonts w:ascii="Lato" w:hAnsi="Lato"/>
          <w:color w:val="000000" w:themeColor="text1"/>
          <w:sz w:val="24"/>
          <w:szCs w:val="24"/>
        </w:rPr>
        <w:t xml:space="preserve">or support services to remind them and caregivers about appointments, reducing </w:t>
      </w:r>
      <w:r w:rsidRPr="0060384B">
        <w:rPr>
          <w:rFonts w:ascii="Lato" w:hAnsi="Lato"/>
          <w:color w:val="000000" w:themeColor="text1"/>
          <w:sz w:val="24"/>
          <w:szCs w:val="24"/>
        </w:rPr>
        <w:t>“no shows</w:t>
      </w:r>
      <w:r w:rsidRPr="0060384B">
        <w:rPr>
          <w:rFonts w:ascii="Lato" w:hAnsi="Lato"/>
          <w:color w:val="000000" w:themeColor="text1"/>
          <w:sz w:val="24"/>
          <w:szCs w:val="24"/>
        </w:rPr>
        <w:t>” and leading to fewer emergency department visits and hospitalizations.</w:t>
      </w:r>
    </w:p>
    <w:p w14:paraId="3EAB6847" w14:textId="77777777" w:rsidR="00000000" w:rsidRPr="0060384B" w:rsidRDefault="00CA5F6F">
      <w:pPr>
        <w:spacing w:line="250" w:lineRule="exact"/>
        <w:rPr>
          <w:rFonts w:ascii="Lato" w:eastAsia="Times New Roman" w:hAnsi="Lato"/>
          <w:color w:val="000000" w:themeColor="text1"/>
          <w:sz w:val="24"/>
          <w:szCs w:val="24"/>
        </w:rPr>
      </w:pPr>
    </w:p>
    <w:p w14:paraId="50CC3991" w14:textId="77777777" w:rsidR="00000000" w:rsidRPr="0060384B" w:rsidRDefault="00CA5F6F">
      <w:pPr>
        <w:spacing w:line="262" w:lineRule="auto"/>
        <w:ind w:right="1280"/>
        <w:rPr>
          <w:rFonts w:ascii="Lato" w:hAnsi="Lato"/>
          <w:color w:val="000000" w:themeColor="text1"/>
          <w:sz w:val="24"/>
          <w:szCs w:val="24"/>
        </w:rPr>
      </w:pPr>
      <w:r w:rsidRPr="0060384B">
        <w:rPr>
          <w:rFonts w:ascii="Lato" w:hAnsi="Lato"/>
          <w:color w:val="000000" w:themeColor="text1"/>
          <w:sz w:val="24"/>
          <w:szCs w:val="24"/>
        </w:rPr>
        <w:t xml:space="preserve">Learn more about research implementation milestones and progress in this area at </w:t>
      </w:r>
      <w:hyperlink r:id="rId254" w:history="1">
        <w:r w:rsidRPr="0060384B">
          <w:rPr>
            <w:rFonts w:ascii="Lato" w:hAnsi="Lato"/>
            <w:color w:val="000000" w:themeColor="text1"/>
            <w:sz w:val="24"/>
            <w:szCs w:val="24"/>
          </w:rPr>
          <w:t>www.nia.nih.gov/research/milestones/focus-area/care-caregiver-support</w:t>
        </w:r>
        <w:r w:rsidRPr="0060384B">
          <w:rPr>
            <w:rFonts w:ascii="Lato" w:hAnsi="Lato"/>
            <w:color w:val="000000" w:themeColor="text1"/>
            <w:sz w:val="24"/>
            <w:szCs w:val="24"/>
          </w:rPr>
          <w:t>.</w:t>
        </w:r>
      </w:hyperlink>
    </w:p>
    <w:p w14:paraId="45C95E58" w14:textId="77777777" w:rsidR="00000000" w:rsidRPr="0060384B" w:rsidRDefault="00CA5F6F">
      <w:pPr>
        <w:spacing w:line="262" w:lineRule="auto"/>
        <w:ind w:right="128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59353AAC" w14:textId="77777777" w:rsidR="00000000" w:rsidRPr="0060384B" w:rsidRDefault="00CA5F6F">
      <w:pPr>
        <w:spacing w:line="200" w:lineRule="exact"/>
        <w:rPr>
          <w:rFonts w:ascii="Lato" w:eastAsia="Times New Roman" w:hAnsi="Lato"/>
          <w:color w:val="000000" w:themeColor="text1"/>
          <w:sz w:val="24"/>
          <w:szCs w:val="24"/>
        </w:rPr>
      </w:pPr>
    </w:p>
    <w:p w14:paraId="6A18B71E" w14:textId="77777777" w:rsidR="00000000" w:rsidRPr="0060384B" w:rsidRDefault="00CA5F6F">
      <w:pPr>
        <w:spacing w:line="388"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65769C32" w14:textId="77777777">
        <w:trPr>
          <w:trHeight w:val="245"/>
        </w:trPr>
        <w:tc>
          <w:tcPr>
            <w:tcW w:w="6540" w:type="dxa"/>
            <w:shd w:val="clear" w:color="auto" w:fill="auto"/>
            <w:vAlign w:val="bottom"/>
          </w:tcPr>
          <w:p w14:paraId="5135E38C"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1B67500C"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69</w:t>
            </w:r>
          </w:p>
        </w:tc>
      </w:tr>
      <w:tr w:rsidR="00000000" w:rsidRPr="0060384B" w14:paraId="276EEC3D" w14:textId="77777777">
        <w:trPr>
          <w:trHeight w:val="258"/>
        </w:trPr>
        <w:tc>
          <w:tcPr>
            <w:tcW w:w="6540" w:type="dxa"/>
            <w:shd w:val="clear" w:color="auto" w:fill="auto"/>
            <w:vAlign w:val="bottom"/>
          </w:tcPr>
          <w:p w14:paraId="12532114"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1A28B9DC" w14:textId="77777777" w:rsidR="00000000" w:rsidRPr="0060384B" w:rsidRDefault="00CA5F6F">
            <w:pPr>
              <w:spacing w:line="0" w:lineRule="atLeast"/>
              <w:rPr>
                <w:rFonts w:ascii="Lato" w:eastAsia="Times New Roman" w:hAnsi="Lato"/>
                <w:color w:val="000000" w:themeColor="text1"/>
                <w:sz w:val="24"/>
                <w:szCs w:val="24"/>
              </w:rPr>
            </w:pPr>
          </w:p>
        </w:tc>
      </w:tr>
    </w:tbl>
    <w:p w14:paraId="6569A64B"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211D65B0" w14:textId="77777777" w:rsidR="00000000" w:rsidRPr="0060384B" w:rsidRDefault="00CA5F6F">
      <w:pPr>
        <w:spacing w:line="0" w:lineRule="atLeast"/>
        <w:rPr>
          <w:rFonts w:ascii="Lato" w:hAnsi="Lato"/>
          <w:b/>
          <w:color w:val="000000" w:themeColor="text1"/>
          <w:sz w:val="24"/>
          <w:szCs w:val="24"/>
        </w:rPr>
      </w:pPr>
      <w:bookmarkStart w:id="72" w:name="page73"/>
      <w:bookmarkEnd w:id="72"/>
      <w:r w:rsidRPr="0060384B">
        <w:rPr>
          <w:rFonts w:ascii="Lato" w:hAnsi="Lato"/>
          <w:b/>
          <w:color w:val="000000" w:themeColor="text1"/>
          <w:sz w:val="24"/>
          <w:szCs w:val="24"/>
        </w:rPr>
        <w:lastRenderedPageBreak/>
        <w:t>The Path Forward</w:t>
      </w:r>
    </w:p>
    <w:p w14:paraId="7FD2CDA0" w14:textId="77777777" w:rsidR="00000000" w:rsidRPr="0060384B" w:rsidRDefault="00CA5F6F">
      <w:pPr>
        <w:spacing w:line="287" w:lineRule="exact"/>
        <w:rPr>
          <w:rFonts w:ascii="Lato" w:eastAsia="Times New Roman" w:hAnsi="Lato"/>
          <w:color w:val="000000" w:themeColor="text1"/>
          <w:sz w:val="24"/>
          <w:szCs w:val="24"/>
        </w:rPr>
      </w:pPr>
    </w:p>
    <w:p w14:paraId="55277846" w14:textId="77777777" w:rsidR="00000000" w:rsidRPr="0060384B" w:rsidRDefault="00CA5F6F">
      <w:pPr>
        <w:spacing w:line="244" w:lineRule="auto"/>
        <w:ind w:right="20"/>
        <w:rPr>
          <w:rFonts w:ascii="Lato" w:hAnsi="Lato"/>
          <w:color w:val="000000" w:themeColor="text1"/>
          <w:sz w:val="24"/>
          <w:szCs w:val="24"/>
        </w:rPr>
      </w:pPr>
      <w:r w:rsidRPr="0060384B">
        <w:rPr>
          <w:rFonts w:ascii="Lato" w:hAnsi="Lato"/>
          <w:color w:val="000000" w:themeColor="text1"/>
          <w:sz w:val="24"/>
          <w:szCs w:val="24"/>
        </w:rPr>
        <w:t>Increased</w:t>
      </w:r>
      <w:r w:rsidRPr="0060384B">
        <w:rPr>
          <w:rFonts w:ascii="Lato" w:hAnsi="Lato"/>
          <w:color w:val="000000" w:themeColor="text1"/>
          <w:sz w:val="24"/>
          <w:szCs w:val="24"/>
        </w:rPr>
        <w:t xml:space="preserve"> Federal investment as well as expanded collaborations among scientists, patients, caregivers, and advocates have enabled significant advances in Alzheimer</w:t>
      </w:r>
      <w:r w:rsidRPr="0060384B">
        <w:rPr>
          <w:rFonts w:ascii="Lato" w:hAnsi="Lato"/>
          <w:color w:val="000000" w:themeColor="text1"/>
          <w:sz w:val="24"/>
          <w:szCs w:val="24"/>
        </w:rPr>
        <w:t>’s and related dementias research. Still, in the years to come, these diseases will continue to chall</w:t>
      </w:r>
      <w:r w:rsidRPr="0060384B">
        <w:rPr>
          <w:rFonts w:ascii="Lato" w:hAnsi="Lato"/>
          <w:color w:val="000000" w:themeColor="text1"/>
          <w:sz w:val="24"/>
          <w:szCs w:val="24"/>
        </w:rPr>
        <w:t>enge far too many within our Nation and beyond</w:t>
      </w:r>
      <w:r w:rsidRPr="0060384B">
        <w:rPr>
          <w:rFonts w:ascii="Lato" w:hAnsi="Lato"/>
          <w:color w:val="000000" w:themeColor="text1"/>
          <w:sz w:val="24"/>
          <w:szCs w:val="24"/>
        </w:rPr>
        <w:t>—individuals and society as a whole</w:t>
      </w:r>
      <w:r w:rsidRPr="0060384B">
        <w:rPr>
          <w:rFonts w:ascii="Lato" w:hAnsi="Lato"/>
          <w:color w:val="000000" w:themeColor="text1"/>
          <w:sz w:val="24"/>
          <w:szCs w:val="24"/>
        </w:rPr>
        <w:t>—from access to better diagnostics and treatments to care costs. For those already living with AD/ADRD, improved care and services are crucial endeavors that cannot be met soo</w:t>
      </w:r>
      <w:r w:rsidRPr="0060384B">
        <w:rPr>
          <w:rFonts w:ascii="Lato" w:hAnsi="Lato"/>
          <w:color w:val="000000" w:themeColor="text1"/>
          <w:sz w:val="24"/>
          <w:szCs w:val="24"/>
        </w:rPr>
        <w:t>n enough.</w:t>
      </w:r>
    </w:p>
    <w:p w14:paraId="663DE6BA" w14:textId="77777777" w:rsidR="00000000" w:rsidRPr="0060384B" w:rsidRDefault="00CA5F6F">
      <w:pPr>
        <w:spacing w:line="250" w:lineRule="exact"/>
        <w:rPr>
          <w:rFonts w:ascii="Lato" w:eastAsia="Times New Roman" w:hAnsi="Lato"/>
          <w:color w:val="000000" w:themeColor="text1"/>
          <w:sz w:val="24"/>
          <w:szCs w:val="24"/>
        </w:rPr>
      </w:pPr>
    </w:p>
    <w:p w14:paraId="6FC94A7B" w14:textId="77777777" w:rsidR="00000000" w:rsidRPr="0060384B" w:rsidRDefault="00CA5F6F">
      <w:pPr>
        <w:spacing w:line="247" w:lineRule="auto"/>
        <w:ind w:right="100"/>
        <w:rPr>
          <w:rFonts w:ascii="Lato" w:hAnsi="Lato"/>
          <w:color w:val="000000" w:themeColor="text1"/>
          <w:sz w:val="24"/>
          <w:szCs w:val="24"/>
        </w:rPr>
      </w:pPr>
      <w:r w:rsidRPr="0060384B">
        <w:rPr>
          <w:rFonts w:ascii="Lato" w:hAnsi="Lato"/>
          <w:color w:val="000000" w:themeColor="text1"/>
          <w:sz w:val="24"/>
          <w:szCs w:val="24"/>
        </w:rPr>
        <w:t xml:space="preserve">As described in the earlier pages of this report and as outlined in our </w:t>
      </w:r>
      <w:hyperlink r:id="rId255" w:history="1">
        <w:r w:rsidRPr="0060384B">
          <w:rPr>
            <w:rFonts w:ascii="Lato" w:hAnsi="Lato"/>
            <w:color w:val="000000" w:themeColor="text1"/>
            <w:sz w:val="24"/>
            <w:szCs w:val="24"/>
          </w:rPr>
          <w:t>Research Implementation</w:t>
        </w:r>
      </w:hyperlink>
      <w:r w:rsidRPr="0060384B">
        <w:rPr>
          <w:rFonts w:ascii="Lato" w:hAnsi="Lato"/>
          <w:color w:val="000000" w:themeColor="text1"/>
          <w:sz w:val="24"/>
          <w:szCs w:val="24"/>
        </w:rPr>
        <w:t xml:space="preserve"> </w:t>
      </w:r>
      <w:hyperlink r:id="rId256" w:history="1">
        <w:r w:rsidRPr="0060384B">
          <w:rPr>
            <w:rFonts w:ascii="Lato" w:hAnsi="Lato"/>
            <w:color w:val="000000" w:themeColor="text1"/>
            <w:sz w:val="24"/>
            <w:szCs w:val="24"/>
          </w:rPr>
          <w:t>Milestones</w:t>
        </w:r>
        <w:r w:rsidRPr="0060384B">
          <w:rPr>
            <w:rFonts w:ascii="Lato" w:hAnsi="Lato"/>
            <w:color w:val="000000" w:themeColor="text1"/>
            <w:sz w:val="24"/>
            <w:szCs w:val="24"/>
          </w:rPr>
          <w:t xml:space="preserve"> </w:t>
        </w:r>
      </w:hyperlink>
      <w:r w:rsidRPr="0060384B">
        <w:rPr>
          <w:rFonts w:ascii="Lato" w:hAnsi="Lato"/>
          <w:color w:val="000000" w:themeColor="text1"/>
          <w:sz w:val="24"/>
          <w:szCs w:val="24"/>
        </w:rPr>
        <w:t>research</w:t>
      </w:r>
      <w:r w:rsidRPr="0060384B">
        <w:rPr>
          <w:rFonts w:ascii="Lato" w:hAnsi="Lato"/>
          <w:color w:val="000000" w:themeColor="text1"/>
          <w:sz w:val="24"/>
          <w:szCs w:val="24"/>
        </w:rPr>
        <w:t xml:space="preserve"> </w:t>
      </w:r>
      <w:r w:rsidRPr="0060384B">
        <w:rPr>
          <w:rFonts w:ascii="Lato" w:hAnsi="Lato"/>
          <w:color w:val="000000" w:themeColor="text1"/>
          <w:sz w:val="24"/>
          <w:szCs w:val="24"/>
        </w:rPr>
        <w:t>framework</w:t>
      </w:r>
      <w:r w:rsidRPr="0060384B">
        <w:rPr>
          <w:rFonts w:ascii="Lato" w:hAnsi="Lato"/>
          <w:color w:val="000000" w:themeColor="text1"/>
          <w:sz w:val="24"/>
          <w:szCs w:val="24"/>
        </w:rPr>
        <w:t>, NIH support has led to substantial progress and significant</w:t>
      </w:r>
      <w:r w:rsidRPr="0060384B">
        <w:rPr>
          <w:rFonts w:ascii="Lato" w:hAnsi="Lato"/>
          <w:color w:val="000000" w:themeColor="text1"/>
          <w:sz w:val="24"/>
          <w:szCs w:val="24"/>
        </w:rPr>
        <w:t xml:space="preserve"> </w:t>
      </w:r>
      <w:r w:rsidRPr="0060384B">
        <w:rPr>
          <w:rFonts w:ascii="Lato" w:hAnsi="Lato"/>
          <w:color w:val="000000" w:themeColor="text1"/>
          <w:sz w:val="24"/>
          <w:szCs w:val="24"/>
        </w:rPr>
        <w:t>gains in understanding the complexities of AD/ADRD. Expanded Federal support will enable continued efforts to:</w:t>
      </w:r>
    </w:p>
    <w:p w14:paraId="183B3384" w14:textId="77777777" w:rsidR="00000000" w:rsidRPr="0060384B" w:rsidRDefault="00CA5F6F">
      <w:pPr>
        <w:spacing w:line="260" w:lineRule="exact"/>
        <w:rPr>
          <w:rFonts w:ascii="Lato" w:eastAsia="Times New Roman" w:hAnsi="Lato"/>
          <w:color w:val="000000" w:themeColor="text1"/>
          <w:sz w:val="24"/>
          <w:szCs w:val="24"/>
        </w:rPr>
      </w:pPr>
    </w:p>
    <w:p w14:paraId="323418E9" w14:textId="77777777" w:rsidR="00000000" w:rsidRPr="0060384B" w:rsidRDefault="00CA5F6F">
      <w:pPr>
        <w:numPr>
          <w:ilvl w:val="0"/>
          <w:numId w:val="20"/>
        </w:numPr>
        <w:tabs>
          <w:tab w:val="left" w:pos="540"/>
        </w:tabs>
        <w:spacing w:line="0" w:lineRule="atLeast"/>
        <w:ind w:left="540" w:hanging="360"/>
        <w:rPr>
          <w:rFonts w:ascii="Lato" w:eastAsia="Arial" w:hAnsi="Lato"/>
          <w:color w:val="000000" w:themeColor="text1"/>
          <w:sz w:val="24"/>
          <w:szCs w:val="24"/>
        </w:rPr>
      </w:pPr>
      <w:r w:rsidRPr="0060384B">
        <w:rPr>
          <w:rFonts w:ascii="Lato" w:hAnsi="Lato"/>
          <w:color w:val="000000" w:themeColor="text1"/>
          <w:sz w:val="24"/>
          <w:szCs w:val="24"/>
        </w:rPr>
        <w:t>Better understand risk and protective factors in individuals and across population</w:t>
      </w:r>
      <w:r w:rsidRPr="0060384B">
        <w:rPr>
          <w:rFonts w:ascii="Lato" w:hAnsi="Lato"/>
          <w:color w:val="000000" w:themeColor="text1"/>
          <w:sz w:val="24"/>
          <w:szCs w:val="24"/>
        </w:rPr>
        <w:t>s</w:t>
      </w:r>
    </w:p>
    <w:p w14:paraId="13AC60D7" w14:textId="77777777" w:rsidR="00000000" w:rsidRPr="0060384B" w:rsidRDefault="00CA5F6F">
      <w:pPr>
        <w:spacing w:line="28" w:lineRule="exact"/>
        <w:rPr>
          <w:rFonts w:ascii="Lato" w:eastAsia="Arial" w:hAnsi="Lato"/>
          <w:color w:val="000000" w:themeColor="text1"/>
          <w:sz w:val="24"/>
          <w:szCs w:val="24"/>
        </w:rPr>
      </w:pPr>
    </w:p>
    <w:p w14:paraId="570BC270" w14:textId="77777777" w:rsidR="00000000" w:rsidRPr="0060384B" w:rsidRDefault="00CA5F6F">
      <w:pPr>
        <w:numPr>
          <w:ilvl w:val="0"/>
          <w:numId w:val="20"/>
        </w:numPr>
        <w:tabs>
          <w:tab w:val="left" w:pos="540"/>
        </w:tabs>
        <w:spacing w:line="0" w:lineRule="atLeast"/>
        <w:ind w:left="540" w:hanging="360"/>
        <w:rPr>
          <w:rFonts w:ascii="Lato" w:eastAsia="Arial" w:hAnsi="Lato"/>
          <w:color w:val="000000" w:themeColor="text1"/>
          <w:sz w:val="24"/>
          <w:szCs w:val="24"/>
        </w:rPr>
      </w:pPr>
      <w:r w:rsidRPr="0060384B">
        <w:rPr>
          <w:rFonts w:ascii="Lato" w:hAnsi="Lato"/>
          <w:color w:val="000000" w:themeColor="text1"/>
          <w:sz w:val="24"/>
          <w:szCs w:val="24"/>
        </w:rPr>
        <w:t>Conduct basic science studies in genetics and disease mechanisms</w:t>
      </w:r>
    </w:p>
    <w:p w14:paraId="792F3493" w14:textId="77777777" w:rsidR="00000000" w:rsidRPr="0060384B" w:rsidRDefault="00CA5F6F">
      <w:pPr>
        <w:spacing w:line="26" w:lineRule="exact"/>
        <w:rPr>
          <w:rFonts w:ascii="Lato" w:eastAsia="Arial" w:hAnsi="Lato"/>
          <w:color w:val="000000" w:themeColor="text1"/>
          <w:sz w:val="24"/>
          <w:szCs w:val="24"/>
        </w:rPr>
      </w:pPr>
    </w:p>
    <w:p w14:paraId="2300EF34" w14:textId="77777777" w:rsidR="00000000" w:rsidRPr="0060384B" w:rsidRDefault="00CA5F6F">
      <w:pPr>
        <w:numPr>
          <w:ilvl w:val="0"/>
          <w:numId w:val="20"/>
        </w:numPr>
        <w:tabs>
          <w:tab w:val="left" w:pos="540"/>
        </w:tabs>
        <w:spacing w:line="0" w:lineRule="atLeast"/>
        <w:ind w:left="540" w:hanging="360"/>
        <w:rPr>
          <w:rFonts w:ascii="Lato" w:eastAsia="Arial" w:hAnsi="Lato"/>
          <w:color w:val="000000" w:themeColor="text1"/>
          <w:sz w:val="24"/>
          <w:szCs w:val="24"/>
        </w:rPr>
      </w:pPr>
      <w:r w:rsidRPr="0060384B">
        <w:rPr>
          <w:rFonts w:ascii="Lato" w:hAnsi="Lato"/>
          <w:color w:val="000000" w:themeColor="text1"/>
          <w:sz w:val="24"/>
          <w:szCs w:val="24"/>
        </w:rPr>
        <w:t>Develop biomarkers to detect and diagnose disease and treatments</w:t>
      </w:r>
    </w:p>
    <w:p w14:paraId="75E564D8" w14:textId="77777777" w:rsidR="00000000" w:rsidRPr="0060384B" w:rsidRDefault="00CA5F6F">
      <w:pPr>
        <w:spacing w:line="28" w:lineRule="exact"/>
        <w:rPr>
          <w:rFonts w:ascii="Lato" w:eastAsia="Arial" w:hAnsi="Lato"/>
          <w:color w:val="000000" w:themeColor="text1"/>
          <w:sz w:val="24"/>
          <w:szCs w:val="24"/>
        </w:rPr>
      </w:pPr>
    </w:p>
    <w:p w14:paraId="7C5AB331" w14:textId="77777777" w:rsidR="00000000" w:rsidRPr="0060384B" w:rsidRDefault="00CA5F6F">
      <w:pPr>
        <w:numPr>
          <w:ilvl w:val="0"/>
          <w:numId w:val="20"/>
        </w:numPr>
        <w:tabs>
          <w:tab w:val="left" w:pos="540"/>
        </w:tabs>
        <w:spacing w:line="0" w:lineRule="atLeast"/>
        <w:ind w:left="540" w:hanging="360"/>
        <w:rPr>
          <w:rFonts w:ascii="Lato" w:eastAsia="Arial" w:hAnsi="Lato"/>
          <w:color w:val="000000" w:themeColor="text1"/>
          <w:sz w:val="24"/>
          <w:szCs w:val="24"/>
        </w:rPr>
      </w:pPr>
      <w:r w:rsidRPr="0060384B">
        <w:rPr>
          <w:rFonts w:ascii="Lato" w:hAnsi="Lato"/>
          <w:color w:val="000000" w:themeColor="text1"/>
          <w:sz w:val="24"/>
          <w:szCs w:val="24"/>
        </w:rPr>
        <w:t>Discover, develop, and test promising therapies</w:t>
      </w:r>
    </w:p>
    <w:p w14:paraId="3E996167" w14:textId="77777777" w:rsidR="00000000" w:rsidRPr="0060384B" w:rsidRDefault="00CA5F6F">
      <w:pPr>
        <w:spacing w:line="26" w:lineRule="exact"/>
        <w:rPr>
          <w:rFonts w:ascii="Lato" w:eastAsia="Arial" w:hAnsi="Lato"/>
          <w:color w:val="000000" w:themeColor="text1"/>
          <w:sz w:val="24"/>
          <w:szCs w:val="24"/>
        </w:rPr>
      </w:pPr>
    </w:p>
    <w:p w14:paraId="1D3A76F9" w14:textId="77777777" w:rsidR="00000000" w:rsidRPr="0060384B" w:rsidRDefault="00CA5F6F">
      <w:pPr>
        <w:numPr>
          <w:ilvl w:val="0"/>
          <w:numId w:val="20"/>
        </w:numPr>
        <w:tabs>
          <w:tab w:val="left" w:pos="540"/>
        </w:tabs>
        <w:spacing w:line="0" w:lineRule="atLeast"/>
        <w:ind w:left="540" w:hanging="360"/>
        <w:rPr>
          <w:rFonts w:ascii="Lato" w:eastAsia="Arial" w:hAnsi="Lato"/>
          <w:color w:val="000000" w:themeColor="text1"/>
          <w:sz w:val="24"/>
          <w:szCs w:val="24"/>
        </w:rPr>
      </w:pPr>
      <w:r w:rsidRPr="0060384B">
        <w:rPr>
          <w:rFonts w:ascii="Lato" w:hAnsi="Lato"/>
          <w:color w:val="000000" w:themeColor="text1"/>
          <w:sz w:val="24"/>
          <w:szCs w:val="24"/>
        </w:rPr>
        <w:t>Develop comprehensive models of care for people living with dementia</w:t>
      </w:r>
    </w:p>
    <w:p w14:paraId="66F2FE07" w14:textId="77777777" w:rsidR="00000000" w:rsidRPr="0060384B" w:rsidRDefault="00CA5F6F">
      <w:pPr>
        <w:spacing w:line="28" w:lineRule="exact"/>
        <w:rPr>
          <w:rFonts w:ascii="Lato" w:eastAsia="Arial" w:hAnsi="Lato"/>
          <w:color w:val="000000" w:themeColor="text1"/>
          <w:sz w:val="24"/>
          <w:szCs w:val="24"/>
        </w:rPr>
      </w:pPr>
    </w:p>
    <w:p w14:paraId="13084F00" w14:textId="77777777" w:rsidR="00000000" w:rsidRPr="0060384B" w:rsidRDefault="00CA5F6F">
      <w:pPr>
        <w:numPr>
          <w:ilvl w:val="0"/>
          <w:numId w:val="20"/>
        </w:numPr>
        <w:tabs>
          <w:tab w:val="left" w:pos="540"/>
        </w:tabs>
        <w:spacing w:line="0" w:lineRule="atLeast"/>
        <w:ind w:left="540" w:hanging="360"/>
        <w:rPr>
          <w:rFonts w:ascii="Lato" w:eastAsia="Arial" w:hAnsi="Lato"/>
          <w:color w:val="000000" w:themeColor="text1"/>
          <w:sz w:val="24"/>
          <w:szCs w:val="24"/>
        </w:rPr>
      </w:pPr>
      <w:r w:rsidRPr="0060384B">
        <w:rPr>
          <w:rFonts w:ascii="Lato" w:hAnsi="Lato"/>
          <w:color w:val="000000" w:themeColor="text1"/>
          <w:sz w:val="24"/>
          <w:szCs w:val="24"/>
        </w:rPr>
        <w:t>Le</w:t>
      </w:r>
      <w:r w:rsidRPr="0060384B">
        <w:rPr>
          <w:rFonts w:ascii="Lato" w:hAnsi="Lato"/>
          <w:color w:val="000000" w:themeColor="text1"/>
          <w:sz w:val="24"/>
          <w:szCs w:val="24"/>
        </w:rPr>
        <w:t xml:space="preserve">verage emerging digital technologies and </w:t>
      </w:r>
      <w:r w:rsidRPr="0060384B">
        <w:rPr>
          <w:rFonts w:ascii="Lato" w:hAnsi="Lato"/>
          <w:color w:val="000000" w:themeColor="text1"/>
          <w:sz w:val="24"/>
          <w:szCs w:val="24"/>
        </w:rPr>
        <w:t>“big data</w:t>
      </w:r>
      <w:r w:rsidRPr="0060384B">
        <w:rPr>
          <w:rFonts w:ascii="Lato" w:hAnsi="Lato"/>
          <w:color w:val="000000" w:themeColor="text1"/>
          <w:sz w:val="24"/>
          <w:szCs w:val="24"/>
        </w:rPr>
        <w:t>” to improve discoveries</w:t>
      </w:r>
    </w:p>
    <w:p w14:paraId="40CB8186" w14:textId="77777777" w:rsidR="00000000" w:rsidRPr="0060384B" w:rsidRDefault="00CA5F6F">
      <w:pPr>
        <w:spacing w:line="26" w:lineRule="exact"/>
        <w:rPr>
          <w:rFonts w:ascii="Lato" w:eastAsia="Arial" w:hAnsi="Lato"/>
          <w:color w:val="000000" w:themeColor="text1"/>
          <w:sz w:val="24"/>
          <w:szCs w:val="24"/>
        </w:rPr>
      </w:pPr>
    </w:p>
    <w:p w14:paraId="5A34D94E" w14:textId="77777777" w:rsidR="00000000" w:rsidRPr="0060384B" w:rsidRDefault="00CA5F6F">
      <w:pPr>
        <w:numPr>
          <w:ilvl w:val="0"/>
          <w:numId w:val="20"/>
        </w:numPr>
        <w:tabs>
          <w:tab w:val="left" w:pos="540"/>
        </w:tabs>
        <w:spacing w:line="0" w:lineRule="atLeast"/>
        <w:ind w:left="540" w:hanging="360"/>
        <w:rPr>
          <w:rFonts w:ascii="Lato" w:eastAsia="Arial" w:hAnsi="Lato"/>
          <w:color w:val="000000" w:themeColor="text1"/>
          <w:sz w:val="24"/>
          <w:szCs w:val="24"/>
        </w:rPr>
      </w:pPr>
      <w:r w:rsidRPr="0060384B">
        <w:rPr>
          <w:rFonts w:ascii="Lato" w:hAnsi="Lato"/>
          <w:color w:val="000000" w:themeColor="text1"/>
          <w:sz w:val="24"/>
          <w:szCs w:val="24"/>
        </w:rPr>
        <w:t>Make clinical trials more efficient, practical, and inclusive</w:t>
      </w:r>
    </w:p>
    <w:p w14:paraId="38816731" w14:textId="77777777" w:rsidR="00000000" w:rsidRPr="0060384B" w:rsidRDefault="00CA5F6F">
      <w:pPr>
        <w:spacing w:line="293" w:lineRule="exact"/>
        <w:rPr>
          <w:rFonts w:ascii="Lato" w:eastAsia="Times New Roman" w:hAnsi="Lato"/>
          <w:color w:val="000000" w:themeColor="text1"/>
          <w:sz w:val="24"/>
          <w:szCs w:val="24"/>
        </w:rPr>
      </w:pPr>
    </w:p>
    <w:p w14:paraId="5760A52E" w14:textId="77777777" w:rsidR="00000000" w:rsidRPr="0060384B" w:rsidRDefault="00CA5F6F">
      <w:pPr>
        <w:spacing w:line="247" w:lineRule="auto"/>
        <w:rPr>
          <w:rFonts w:ascii="Lato" w:hAnsi="Lato"/>
          <w:color w:val="000000" w:themeColor="text1"/>
          <w:sz w:val="24"/>
          <w:szCs w:val="24"/>
        </w:rPr>
      </w:pPr>
      <w:r w:rsidRPr="0060384B">
        <w:rPr>
          <w:rFonts w:ascii="Lato" w:hAnsi="Lato"/>
          <w:color w:val="000000" w:themeColor="text1"/>
          <w:sz w:val="24"/>
          <w:szCs w:val="24"/>
        </w:rPr>
        <w:t>NIH looks forward to supporting more AD/ADRD research to advance understanding of how to better reduce risk, delay on</w:t>
      </w:r>
      <w:r w:rsidRPr="0060384B">
        <w:rPr>
          <w:rFonts w:ascii="Lato" w:hAnsi="Lato"/>
          <w:color w:val="000000" w:themeColor="text1"/>
          <w:sz w:val="24"/>
          <w:szCs w:val="24"/>
        </w:rPr>
        <w:t>set when it appears inevitable, and effectively treat these conditions when they occur. Together, we must continue to seek manifold solutions to the multiple causes and effects of these devastating diseases.</w:t>
      </w:r>
    </w:p>
    <w:p w14:paraId="31ADC282" w14:textId="77777777" w:rsidR="00000000" w:rsidRPr="0060384B" w:rsidRDefault="00CA5F6F">
      <w:pPr>
        <w:spacing w:line="247" w:lineRule="auto"/>
        <w:rPr>
          <w:rFonts w:ascii="Lato" w:hAnsi="Lato"/>
          <w:color w:val="000000" w:themeColor="text1"/>
          <w:sz w:val="24"/>
          <w:szCs w:val="24"/>
        </w:rPr>
        <w:sectPr w:rsidR="00000000" w:rsidRPr="0060384B">
          <w:pgSz w:w="12240" w:h="15840"/>
          <w:pgMar w:top="1126" w:right="1440" w:bottom="0" w:left="1440" w:header="0" w:footer="0" w:gutter="0"/>
          <w:cols w:space="0" w:equalWidth="0">
            <w:col w:w="9360"/>
          </w:cols>
          <w:docGrid w:linePitch="360"/>
        </w:sectPr>
      </w:pPr>
    </w:p>
    <w:p w14:paraId="720BC52C" w14:textId="77777777" w:rsidR="00000000" w:rsidRPr="0060384B" w:rsidRDefault="00CA5F6F">
      <w:pPr>
        <w:spacing w:line="200" w:lineRule="exact"/>
        <w:rPr>
          <w:rFonts w:ascii="Lato" w:eastAsia="Times New Roman" w:hAnsi="Lato"/>
          <w:color w:val="000000" w:themeColor="text1"/>
          <w:sz w:val="24"/>
          <w:szCs w:val="24"/>
        </w:rPr>
      </w:pPr>
    </w:p>
    <w:p w14:paraId="489821EB" w14:textId="77777777" w:rsidR="00000000" w:rsidRPr="0060384B" w:rsidRDefault="00CA5F6F">
      <w:pPr>
        <w:spacing w:line="200" w:lineRule="exact"/>
        <w:rPr>
          <w:rFonts w:ascii="Lato" w:eastAsia="Times New Roman" w:hAnsi="Lato"/>
          <w:color w:val="000000" w:themeColor="text1"/>
          <w:sz w:val="24"/>
          <w:szCs w:val="24"/>
        </w:rPr>
      </w:pPr>
    </w:p>
    <w:p w14:paraId="0F5A14CF" w14:textId="77777777" w:rsidR="00000000" w:rsidRPr="0060384B" w:rsidRDefault="00CA5F6F">
      <w:pPr>
        <w:spacing w:line="200" w:lineRule="exact"/>
        <w:rPr>
          <w:rFonts w:ascii="Lato" w:eastAsia="Times New Roman" w:hAnsi="Lato"/>
          <w:color w:val="000000" w:themeColor="text1"/>
          <w:sz w:val="24"/>
          <w:szCs w:val="24"/>
        </w:rPr>
      </w:pPr>
    </w:p>
    <w:p w14:paraId="0DDCF3E9" w14:textId="77777777" w:rsidR="00000000" w:rsidRPr="0060384B" w:rsidRDefault="00CA5F6F">
      <w:pPr>
        <w:spacing w:line="200" w:lineRule="exact"/>
        <w:rPr>
          <w:rFonts w:ascii="Lato" w:eastAsia="Times New Roman" w:hAnsi="Lato"/>
          <w:color w:val="000000" w:themeColor="text1"/>
          <w:sz w:val="24"/>
          <w:szCs w:val="24"/>
        </w:rPr>
      </w:pPr>
    </w:p>
    <w:p w14:paraId="7085F9A6" w14:textId="77777777" w:rsidR="00000000" w:rsidRPr="0060384B" w:rsidRDefault="00CA5F6F">
      <w:pPr>
        <w:spacing w:line="200" w:lineRule="exact"/>
        <w:rPr>
          <w:rFonts w:ascii="Lato" w:eastAsia="Times New Roman" w:hAnsi="Lato"/>
          <w:color w:val="000000" w:themeColor="text1"/>
          <w:sz w:val="24"/>
          <w:szCs w:val="24"/>
        </w:rPr>
      </w:pPr>
    </w:p>
    <w:p w14:paraId="5EC7447F" w14:textId="77777777" w:rsidR="00000000" w:rsidRPr="0060384B" w:rsidRDefault="00CA5F6F">
      <w:pPr>
        <w:spacing w:line="200" w:lineRule="exact"/>
        <w:rPr>
          <w:rFonts w:ascii="Lato" w:eastAsia="Times New Roman" w:hAnsi="Lato"/>
          <w:color w:val="000000" w:themeColor="text1"/>
          <w:sz w:val="24"/>
          <w:szCs w:val="24"/>
        </w:rPr>
      </w:pPr>
    </w:p>
    <w:p w14:paraId="1D9BAB42" w14:textId="77777777" w:rsidR="00000000" w:rsidRPr="0060384B" w:rsidRDefault="00CA5F6F">
      <w:pPr>
        <w:spacing w:line="200" w:lineRule="exact"/>
        <w:rPr>
          <w:rFonts w:ascii="Lato" w:eastAsia="Times New Roman" w:hAnsi="Lato"/>
          <w:color w:val="000000" w:themeColor="text1"/>
          <w:sz w:val="24"/>
          <w:szCs w:val="24"/>
        </w:rPr>
      </w:pPr>
    </w:p>
    <w:p w14:paraId="7805C4C3" w14:textId="77777777" w:rsidR="00000000" w:rsidRPr="0060384B" w:rsidRDefault="00CA5F6F">
      <w:pPr>
        <w:spacing w:line="200" w:lineRule="exact"/>
        <w:rPr>
          <w:rFonts w:ascii="Lato" w:eastAsia="Times New Roman" w:hAnsi="Lato"/>
          <w:color w:val="000000" w:themeColor="text1"/>
          <w:sz w:val="24"/>
          <w:szCs w:val="24"/>
        </w:rPr>
      </w:pPr>
    </w:p>
    <w:p w14:paraId="105A591D" w14:textId="77777777" w:rsidR="00000000" w:rsidRPr="0060384B" w:rsidRDefault="00CA5F6F">
      <w:pPr>
        <w:spacing w:line="200" w:lineRule="exact"/>
        <w:rPr>
          <w:rFonts w:ascii="Lato" w:eastAsia="Times New Roman" w:hAnsi="Lato"/>
          <w:color w:val="000000" w:themeColor="text1"/>
          <w:sz w:val="24"/>
          <w:szCs w:val="24"/>
        </w:rPr>
      </w:pPr>
    </w:p>
    <w:p w14:paraId="75197324" w14:textId="77777777" w:rsidR="00000000" w:rsidRPr="0060384B" w:rsidRDefault="00CA5F6F">
      <w:pPr>
        <w:spacing w:line="200" w:lineRule="exact"/>
        <w:rPr>
          <w:rFonts w:ascii="Lato" w:eastAsia="Times New Roman" w:hAnsi="Lato"/>
          <w:color w:val="000000" w:themeColor="text1"/>
          <w:sz w:val="24"/>
          <w:szCs w:val="24"/>
        </w:rPr>
      </w:pPr>
    </w:p>
    <w:p w14:paraId="6C632276" w14:textId="77777777" w:rsidR="00000000" w:rsidRPr="0060384B" w:rsidRDefault="00CA5F6F">
      <w:pPr>
        <w:spacing w:line="200" w:lineRule="exact"/>
        <w:rPr>
          <w:rFonts w:ascii="Lato" w:eastAsia="Times New Roman" w:hAnsi="Lato"/>
          <w:color w:val="000000" w:themeColor="text1"/>
          <w:sz w:val="24"/>
          <w:szCs w:val="24"/>
        </w:rPr>
      </w:pPr>
    </w:p>
    <w:p w14:paraId="322E08C5" w14:textId="77777777" w:rsidR="00000000" w:rsidRPr="0060384B" w:rsidRDefault="00CA5F6F">
      <w:pPr>
        <w:spacing w:line="200" w:lineRule="exact"/>
        <w:rPr>
          <w:rFonts w:ascii="Lato" w:eastAsia="Times New Roman" w:hAnsi="Lato"/>
          <w:color w:val="000000" w:themeColor="text1"/>
          <w:sz w:val="24"/>
          <w:szCs w:val="24"/>
        </w:rPr>
      </w:pPr>
    </w:p>
    <w:p w14:paraId="2B1349CE" w14:textId="77777777" w:rsidR="00000000" w:rsidRPr="0060384B" w:rsidRDefault="00CA5F6F">
      <w:pPr>
        <w:spacing w:line="200" w:lineRule="exact"/>
        <w:rPr>
          <w:rFonts w:ascii="Lato" w:eastAsia="Times New Roman" w:hAnsi="Lato"/>
          <w:color w:val="000000" w:themeColor="text1"/>
          <w:sz w:val="24"/>
          <w:szCs w:val="24"/>
        </w:rPr>
      </w:pPr>
    </w:p>
    <w:p w14:paraId="1E032E51" w14:textId="77777777" w:rsidR="00000000" w:rsidRPr="0060384B" w:rsidRDefault="00CA5F6F">
      <w:pPr>
        <w:spacing w:line="200" w:lineRule="exact"/>
        <w:rPr>
          <w:rFonts w:ascii="Lato" w:eastAsia="Times New Roman" w:hAnsi="Lato"/>
          <w:color w:val="000000" w:themeColor="text1"/>
          <w:sz w:val="24"/>
          <w:szCs w:val="24"/>
        </w:rPr>
      </w:pPr>
    </w:p>
    <w:p w14:paraId="7B14A207" w14:textId="77777777" w:rsidR="00000000" w:rsidRPr="0060384B" w:rsidRDefault="00CA5F6F">
      <w:pPr>
        <w:spacing w:line="200" w:lineRule="exact"/>
        <w:rPr>
          <w:rFonts w:ascii="Lato" w:eastAsia="Times New Roman" w:hAnsi="Lato"/>
          <w:color w:val="000000" w:themeColor="text1"/>
          <w:sz w:val="24"/>
          <w:szCs w:val="24"/>
        </w:rPr>
      </w:pPr>
    </w:p>
    <w:p w14:paraId="6198E71E" w14:textId="77777777" w:rsidR="00000000" w:rsidRPr="0060384B" w:rsidRDefault="00CA5F6F">
      <w:pPr>
        <w:spacing w:line="200" w:lineRule="exact"/>
        <w:rPr>
          <w:rFonts w:ascii="Lato" w:eastAsia="Times New Roman" w:hAnsi="Lato"/>
          <w:color w:val="000000" w:themeColor="text1"/>
          <w:sz w:val="24"/>
          <w:szCs w:val="24"/>
        </w:rPr>
      </w:pPr>
    </w:p>
    <w:p w14:paraId="41E75E6A" w14:textId="77777777" w:rsidR="00000000" w:rsidRPr="0060384B" w:rsidRDefault="00CA5F6F">
      <w:pPr>
        <w:spacing w:line="200" w:lineRule="exact"/>
        <w:rPr>
          <w:rFonts w:ascii="Lato" w:eastAsia="Times New Roman" w:hAnsi="Lato"/>
          <w:color w:val="000000" w:themeColor="text1"/>
          <w:sz w:val="24"/>
          <w:szCs w:val="24"/>
        </w:rPr>
      </w:pPr>
    </w:p>
    <w:p w14:paraId="641DCD4A" w14:textId="77777777" w:rsidR="00000000" w:rsidRPr="0060384B" w:rsidRDefault="00CA5F6F">
      <w:pPr>
        <w:spacing w:line="200" w:lineRule="exact"/>
        <w:rPr>
          <w:rFonts w:ascii="Lato" w:eastAsia="Times New Roman" w:hAnsi="Lato"/>
          <w:color w:val="000000" w:themeColor="text1"/>
          <w:sz w:val="24"/>
          <w:szCs w:val="24"/>
        </w:rPr>
      </w:pPr>
    </w:p>
    <w:p w14:paraId="66598658" w14:textId="77777777" w:rsidR="00000000" w:rsidRPr="0060384B" w:rsidRDefault="00CA5F6F">
      <w:pPr>
        <w:spacing w:line="200" w:lineRule="exact"/>
        <w:rPr>
          <w:rFonts w:ascii="Lato" w:eastAsia="Times New Roman" w:hAnsi="Lato"/>
          <w:color w:val="000000" w:themeColor="text1"/>
          <w:sz w:val="24"/>
          <w:szCs w:val="24"/>
        </w:rPr>
      </w:pPr>
    </w:p>
    <w:p w14:paraId="1383BE7B" w14:textId="77777777" w:rsidR="00000000" w:rsidRPr="0060384B" w:rsidRDefault="00CA5F6F">
      <w:pPr>
        <w:spacing w:line="200" w:lineRule="exact"/>
        <w:rPr>
          <w:rFonts w:ascii="Lato" w:eastAsia="Times New Roman" w:hAnsi="Lato"/>
          <w:color w:val="000000" w:themeColor="text1"/>
          <w:sz w:val="24"/>
          <w:szCs w:val="24"/>
        </w:rPr>
      </w:pPr>
    </w:p>
    <w:p w14:paraId="402F265D" w14:textId="77777777" w:rsidR="00000000" w:rsidRPr="0060384B" w:rsidRDefault="00CA5F6F">
      <w:pPr>
        <w:spacing w:line="200" w:lineRule="exact"/>
        <w:rPr>
          <w:rFonts w:ascii="Lato" w:eastAsia="Times New Roman" w:hAnsi="Lato"/>
          <w:color w:val="000000" w:themeColor="text1"/>
          <w:sz w:val="24"/>
          <w:szCs w:val="24"/>
        </w:rPr>
      </w:pPr>
    </w:p>
    <w:p w14:paraId="6BDF81AB" w14:textId="77777777" w:rsidR="00000000" w:rsidRPr="0060384B" w:rsidRDefault="00CA5F6F">
      <w:pPr>
        <w:spacing w:line="200" w:lineRule="exact"/>
        <w:rPr>
          <w:rFonts w:ascii="Lato" w:eastAsia="Times New Roman" w:hAnsi="Lato"/>
          <w:color w:val="000000" w:themeColor="text1"/>
          <w:sz w:val="24"/>
          <w:szCs w:val="24"/>
        </w:rPr>
      </w:pPr>
    </w:p>
    <w:p w14:paraId="787E6CB0" w14:textId="77777777" w:rsidR="00000000" w:rsidRPr="0060384B" w:rsidRDefault="00CA5F6F">
      <w:pPr>
        <w:spacing w:line="200" w:lineRule="exact"/>
        <w:rPr>
          <w:rFonts w:ascii="Lato" w:eastAsia="Times New Roman" w:hAnsi="Lato"/>
          <w:color w:val="000000" w:themeColor="text1"/>
          <w:sz w:val="24"/>
          <w:szCs w:val="24"/>
        </w:rPr>
      </w:pPr>
    </w:p>
    <w:p w14:paraId="251C879D" w14:textId="77777777" w:rsidR="00000000" w:rsidRPr="0060384B" w:rsidRDefault="00CA5F6F">
      <w:pPr>
        <w:spacing w:line="200" w:lineRule="exact"/>
        <w:rPr>
          <w:rFonts w:ascii="Lato" w:eastAsia="Times New Roman" w:hAnsi="Lato"/>
          <w:color w:val="000000" w:themeColor="text1"/>
          <w:sz w:val="24"/>
          <w:szCs w:val="24"/>
        </w:rPr>
      </w:pPr>
    </w:p>
    <w:p w14:paraId="528B4642" w14:textId="77777777" w:rsidR="00000000" w:rsidRPr="0060384B" w:rsidRDefault="00CA5F6F">
      <w:pPr>
        <w:spacing w:line="200" w:lineRule="exact"/>
        <w:rPr>
          <w:rFonts w:ascii="Lato" w:eastAsia="Times New Roman" w:hAnsi="Lato"/>
          <w:color w:val="000000" w:themeColor="text1"/>
          <w:sz w:val="24"/>
          <w:szCs w:val="24"/>
        </w:rPr>
      </w:pPr>
    </w:p>
    <w:p w14:paraId="441342F8" w14:textId="77777777" w:rsidR="00000000" w:rsidRPr="0060384B" w:rsidRDefault="00CA5F6F">
      <w:pPr>
        <w:spacing w:line="200" w:lineRule="exact"/>
        <w:rPr>
          <w:rFonts w:ascii="Lato" w:eastAsia="Times New Roman" w:hAnsi="Lato"/>
          <w:color w:val="000000" w:themeColor="text1"/>
          <w:sz w:val="24"/>
          <w:szCs w:val="24"/>
        </w:rPr>
      </w:pPr>
    </w:p>
    <w:p w14:paraId="31FCFAA3" w14:textId="77777777" w:rsidR="00000000" w:rsidRPr="0060384B" w:rsidRDefault="00CA5F6F">
      <w:pPr>
        <w:spacing w:line="200" w:lineRule="exact"/>
        <w:rPr>
          <w:rFonts w:ascii="Lato" w:eastAsia="Times New Roman" w:hAnsi="Lato"/>
          <w:color w:val="000000" w:themeColor="text1"/>
          <w:sz w:val="24"/>
          <w:szCs w:val="24"/>
        </w:rPr>
      </w:pPr>
    </w:p>
    <w:p w14:paraId="51281130" w14:textId="77777777" w:rsidR="00000000" w:rsidRPr="0060384B" w:rsidRDefault="00CA5F6F">
      <w:pPr>
        <w:spacing w:line="200" w:lineRule="exact"/>
        <w:rPr>
          <w:rFonts w:ascii="Lato" w:eastAsia="Times New Roman" w:hAnsi="Lato"/>
          <w:color w:val="000000" w:themeColor="text1"/>
          <w:sz w:val="24"/>
          <w:szCs w:val="24"/>
        </w:rPr>
      </w:pPr>
    </w:p>
    <w:p w14:paraId="09282D57" w14:textId="77777777" w:rsidR="00000000" w:rsidRPr="0060384B" w:rsidRDefault="00CA5F6F">
      <w:pPr>
        <w:spacing w:line="333"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44ED0F62" w14:textId="77777777">
        <w:trPr>
          <w:trHeight w:val="245"/>
        </w:trPr>
        <w:tc>
          <w:tcPr>
            <w:tcW w:w="6540" w:type="dxa"/>
            <w:shd w:val="clear" w:color="auto" w:fill="auto"/>
            <w:vAlign w:val="bottom"/>
          </w:tcPr>
          <w:p w14:paraId="65602058"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w:t>
            </w:r>
            <w:r w:rsidRPr="0060384B">
              <w:rPr>
                <w:rFonts w:ascii="Lato" w:hAnsi="Lato"/>
                <w:color w:val="000000" w:themeColor="text1"/>
                <w:sz w:val="24"/>
                <w:szCs w:val="24"/>
              </w:rPr>
              <w:t>D</w:t>
            </w:r>
          </w:p>
        </w:tc>
        <w:tc>
          <w:tcPr>
            <w:tcW w:w="2820" w:type="dxa"/>
            <w:shd w:val="clear" w:color="auto" w:fill="auto"/>
            <w:vAlign w:val="bottom"/>
          </w:tcPr>
          <w:p w14:paraId="33C5C396"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70</w:t>
            </w:r>
          </w:p>
        </w:tc>
      </w:tr>
      <w:tr w:rsidR="00000000" w:rsidRPr="0060384B" w14:paraId="5D87A0A0" w14:textId="77777777">
        <w:trPr>
          <w:trHeight w:val="258"/>
        </w:trPr>
        <w:tc>
          <w:tcPr>
            <w:tcW w:w="6540" w:type="dxa"/>
            <w:shd w:val="clear" w:color="auto" w:fill="auto"/>
            <w:vAlign w:val="bottom"/>
          </w:tcPr>
          <w:p w14:paraId="5573FDCA"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5DDC0A65" w14:textId="77777777" w:rsidR="00000000" w:rsidRPr="0060384B" w:rsidRDefault="00CA5F6F">
            <w:pPr>
              <w:spacing w:line="0" w:lineRule="atLeast"/>
              <w:rPr>
                <w:rFonts w:ascii="Lato" w:eastAsia="Times New Roman" w:hAnsi="Lato"/>
                <w:color w:val="000000" w:themeColor="text1"/>
                <w:sz w:val="24"/>
                <w:szCs w:val="24"/>
              </w:rPr>
            </w:pPr>
          </w:p>
        </w:tc>
      </w:tr>
    </w:tbl>
    <w:p w14:paraId="372A1575"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26" w:right="1440" w:bottom="0" w:left="1440" w:header="0" w:footer="0" w:gutter="0"/>
          <w:cols w:space="0" w:equalWidth="0">
            <w:col w:w="9360"/>
          </w:cols>
          <w:docGrid w:linePitch="360"/>
        </w:sectPr>
      </w:pPr>
    </w:p>
    <w:p w14:paraId="64860297" w14:textId="77777777" w:rsidR="00000000" w:rsidRPr="0060384B" w:rsidRDefault="00CA5F6F">
      <w:pPr>
        <w:spacing w:line="0" w:lineRule="atLeast"/>
        <w:rPr>
          <w:rFonts w:ascii="Lato" w:hAnsi="Lato"/>
          <w:b/>
          <w:color w:val="000000" w:themeColor="text1"/>
          <w:sz w:val="24"/>
          <w:szCs w:val="24"/>
        </w:rPr>
      </w:pPr>
      <w:bookmarkStart w:id="73" w:name="page74"/>
      <w:bookmarkEnd w:id="73"/>
      <w:r w:rsidRPr="0060384B">
        <w:rPr>
          <w:rFonts w:ascii="Lato" w:hAnsi="Lato"/>
          <w:b/>
          <w:color w:val="000000" w:themeColor="text1"/>
          <w:sz w:val="24"/>
          <w:szCs w:val="24"/>
        </w:rPr>
        <w:lastRenderedPageBreak/>
        <w:t>REFERENCES</w:t>
      </w:r>
    </w:p>
    <w:p w14:paraId="041E59F0" w14:textId="77777777" w:rsidR="00000000" w:rsidRPr="0060384B" w:rsidRDefault="00CA5F6F">
      <w:pPr>
        <w:spacing w:line="288" w:lineRule="exact"/>
        <w:rPr>
          <w:rFonts w:ascii="Lato" w:eastAsia="Times New Roman" w:hAnsi="Lato"/>
          <w:color w:val="000000" w:themeColor="text1"/>
          <w:sz w:val="24"/>
          <w:szCs w:val="24"/>
        </w:rPr>
      </w:pPr>
    </w:p>
    <w:p w14:paraId="1B6D0210" w14:textId="77777777" w:rsidR="00000000" w:rsidRPr="0060384B" w:rsidRDefault="00CA5F6F">
      <w:pPr>
        <w:spacing w:line="252" w:lineRule="auto"/>
        <w:ind w:right="120"/>
        <w:rPr>
          <w:rFonts w:ascii="Lato" w:hAnsi="Lato"/>
          <w:color w:val="000000" w:themeColor="text1"/>
          <w:sz w:val="24"/>
          <w:szCs w:val="24"/>
        </w:rPr>
      </w:pPr>
      <w:r w:rsidRPr="0060384B">
        <w:rPr>
          <w:rFonts w:ascii="Lato" w:hAnsi="Lato"/>
          <w:color w:val="000000" w:themeColor="text1"/>
          <w:sz w:val="24"/>
          <w:szCs w:val="24"/>
        </w:rPr>
        <w:t xml:space="preserve">Armstrong NM, An Y, Beason-Held L, Doshi J, Erus G, Ferrucci L, et al. Predictors of neurodegeneration differ between cognitively normal and subsequently impaired older adults. </w:t>
      </w:r>
      <w:r w:rsidRPr="0060384B">
        <w:rPr>
          <w:rFonts w:ascii="Lato" w:hAnsi="Lato"/>
          <w:color w:val="000000" w:themeColor="text1"/>
          <w:sz w:val="24"/>
          <w:szCs w:val="24"/>
        </w:rPr>
        <w:t>Neurobiolo</w:t>
      </w:r>
      <w:r w:rsidRPr="0060384B">
        <w:rPr>
          <w:rFonts w:ascii="Lato" w:hAnsi="Lato"/>
          <w:color w:val="000000" w:themeColor="text1"/>
          <w:sz w:val="24"/>
          <w:szCs w:val="24"/>
        </w:rPr>
        <w:t xml:space="preserve">gy of Aging </w:t>
      </w:r>
      <w:r w:rsidRPr="0060384B">
        <w:rPr>
          <w:rFonts w:ascii="Lato" w:hAnsi="Lato"/>
          <w:color w:val="000000" w:themeColor="text1"/>
          <w:sz w:val="24"/>
          <w:szCs w:val="24"/>
        </w:rPr>
        <w:t>2019;75:178-186.</w:t>
      </w:r>
      <w:r w:rsidRPr="0060384B">
        <w:rPr>
          <w:rFonts w:ascii="Lato" w:hAnsi="Lato"/>
          <w:color w:val="000000" w:themeColor="text1"/>
          <w:sz w:val="24"/>
          <w:szCs w:val="24"/>
        </w:rPr>
        <w:t xml:space="preserve"> </w:t>
      </w:r>
      <w:hyperlink r:id="rId257" w:history="1">
        <w:r w:rsidRPr="0060384B">
          <w:rPr>
            <w:rFonts w:ascii="Lato" w:hAnsi="Lato"/>
            <w:color w:val="000000" w:themeColor="text1"/>
            <w:sz w:val="24"/>
            <w:szCs w:val="24"/>
          </w:rPr>
          <w:t>https://www.ncbi.nlm.nih.gov/pubmed/30580127</w:t>
        </w:r>
      </w:hyperlink>
    </w:p>
    <w:p w14:paraId="3FF4EA4B" w14:textId="77777777" w:rsidR="00000000" w:rsidRPr="0060384B" w:rsidRDefault="00CA5F6F">
      <w:pPr>
        <w:spacing w:line="236" w:lineRule="exact"/>
        <w:rPr>
          <w:rFonts w:ascii="Lato" w:eastAsia="Times New Roman" w:hAnsi="Lato"/>
          <w:color w:val="000000" w:themeColor="text1"/>
          <w:sz w:val="24"/>
          <w:szCs w:val="24"/>
        </w:rPr>
      </w:pPr>
    </w:p>
    <w:p w14:paraId="31CD07DA" w14:textId="77777777" w:rsidR="00000000" w:rsidRPr="0060384B" w:rsidRDefault="00CA5F6F">
      <w:pPr>
        <w:spacing w:line="251" w:lineRule="auto"/>
        <w:ind w:right="340"/>
        <w:rPr>
          <w:rFonts w:ascii="Lato" w:hAnsi="Lato"/>
          <w:color w:val="000000" w:themeColor="text1"/>
          <w:sz w:val="24"/>
          <w:szCs w:val="24"/>
        </w:rPr>
      </w:pPr>
      <w:r w:rsidRPr="0060384B">
        <w:rPr>
          <w:rFonts w:ascii="Lato" w:hAnsi="Lato"/>
          <w:color w:val="000000" w:themeColor="text1"/>
          <w:sz w:val="24"/>
          <w:szCs w:val="24"/>
        </w:rPr>
        <w:t>Apostolova LG, Shannon L, Risacher SL, Duran T, Stage EC, Goukasian N, et al. Associations of the top 20 Alzheimer disea</w:t>
      </w:r>
      <w:r w:rsidRPr="0060384B">
        <w:rPr>
          <w:rFonts w:ascii="Lato" w:hAnsi="Lato"/>
          <w:color w:val="000000" w:themeColor="text1"/>
          <w:sz w:val="24"/>
          <w:szCs w:val="24"/>
        </w:rPr>
        <w:t xml:space="preserve">se risk variants with brain amyloidosis. </w:t>
      </w:r>
      <w:r w:rsidRPr="0060384B">
        <w:rPr>
          <w:rFonts w:ascii="Lato" w:hAnsi="Lato"/>
          <w:color w:val="000000" w:themeColor="text1"/>
          <w:sz w:val="24"/>
          <w:szCs w:val="24"/>
        </w:rPr>
        <w:t>JAMA Neurology</w:t>
      </w:r>
      <w:r w:rsidRPr="0060384B">
        <w:rPr>
          <w:rFonts w:ascii="Lato" w:hAnsi="Lato"/>
          <w:color w:val="000000" w:themeColor="text1"/>
          <w:sz w:val="24"/>
          <w:szCs w:val="24"/>
        </w:rPr>
        <w:t xml:space="preserve"> 2018;75(3):328-341. </w:t>
      </w:r>
      <w:hyperlink r:id="rId258" w:history="1">
        <w:r w:rsidRPr="0060384B">
          <w:rPr>
            <w:rFonts w:ascii="Lato" w:hAnsi="Lato"/>
            <w:color w:val="000000" w:themeColor="text1"/>
            <w:sz w:val="24"/>
            <w:szCs w:val="24"/>
          </w:rPr>
          <w:t>https://www.ncbi.nlm.nih.gov/pubmed/29340569</w:t>
        </w:r>
      </w:hyperlink>
    </w:p>
    <w:p w14:paraId="21B31069" w14:textId="77777777" w:rsidR="00000000" w:rsidRPr="0060384B" w:rsidRDefault="00CA5F6F">
      <w:pPr>
        <w:spacing w:line="240" w:lineRule="exact"/>
        <w:rPr>
          <w:rFonts w:ascii="Lato" w:eastAsia="Times New Roman" w:hAnsi="Lato"/>
          <w:color w:val="000000" w:themeColor="text1"/>
          <w:sz w:val="24"/>
          <w:szCs w:val="24"/>
        </w:rPr>
      </w:pPr>
    </w:p>
    <w:p w14:paraId="6D895A4B" w14:textId="77777777" w:rsidR="00000000" w:rsidRPr="0060384B" w:rsidRDefault="00CA5F6F">
      <w:pPr>
        <w:spacing w:line="251" w:lineRule="auto"/>
        <w:ind w:right="920"/>
        <w:rPr>
          <w:rFonts w:ascii="Lato" w:hAnsi="Lato"/>
          <w:color w:val="000000" w:themeColor="text1"/>
          <w:sz w:val="24"/>
          <w:szCs w:val="24"/>
        </w:rPr>
      </w:pPr>
      <w:r w:rsidRPr="0060384B">
        <w:rPr>
          <w:rFonts w:ascii="Lato" w:hAnsi="Lato"/>
          <w:color w:val="000000" w:themeColor="text1"/>
          <w:sz w:val="24"/>
          <w:szCs w:val="24"/>
        </w:rPr>
        <w:t>Barnes DE, Yaffe K. The projected effect of risk factor reduction on Alzh</w:t>
      </w:r>
      <w:r w:rsidRPr="0060384B">
        <w:rPr>
          <w:rFonts w:ascii="Lato" w:hAnsi="Lato"/>
          <w:color w:val="000000" w:themeColor="text1"/>
          <w:sz w:val="24"/>
          <w:szCs w:val="24"/>
        </w:rPr>
        <w:t>eimer</w:t>
      </w:r>
      <w:r w:rsidRPr="0060384B">
        <w:rPr>
          <w:rFonts w:ascii="Lato" w:hAnsi="Lato"/>
          <w:color w:val="000000" w:themeColor="text1"/>
          <w:sz w:val="24"/>
          <w:szCs w:val="24"/>
        </w:rPr>
        <w:t xml:space="preserve">’s disease prevalence. </w:t>
      </w:r>
      <w:r w:rsidRPr="0060384B">
        <w:rPr>
          <w:rFonts w:ascii="Lato" w:hAnsi="Lato"/>
          <w:color w:val="000000" w:themeColor="text1"/>
          <w:sz w:val="24"/>
          <w:szCs w:val="24"/>
        </w:rPr>
        <w:t>Lancet Neurology</w:t>
      </w:r>
      <w:r w:rsidRPr="0060384B">
        <w:rPr>
          <w:rFonts w:ascii="Lato" w:hAnsi="Lato"/>
          <w:color w:val="000000" w:themeColor="text1"/>
          <w:sz w:val="24"/>
          <w:szCs w:val="24"/>
        </w:rPr>
        <w:t xml:space="preserve"> 2011;10(9):819-828. </w:t>
      </w:r>
      <w:hyperlink r:id="rId259" w:history="1">
        <w:r w:rsidRPr="0060384B">
          <w:rPr>
            <w:rFonts w:ascii="Lato" w:hAnsi="Lato"/>
            <w:color w:val="000000" w:themeColor="text1"/>
            <w:sz w:val="24"/>
            <w:szCs w:val="24"/>
          </w:rPr>
          <w:t>https://www.ncbi.nlm.nih.gov/pubmed/21775213</w:t>
        </w:r>
      </w:hyperlink>
    </w:p>
    <w:p w14:paraId="4959DA65" w14:textId="77777777" w:rsidR="00000000" w:rsidRPr="0060384B" w:rsidRDefault="00CA5F6F">
      <w:pPr>
        <w:spacing w:line="240" w:lineRule="exact"/>
        <w:rPr>
          <w:rFonts w:ascii="Lato" w:eastAsia="Times New Roman" w:hAnsi="Lato"/>
          <w:color w:val="000000" w:themeColor="text1"/>
          <w:sz w:val="24"/>
          <w:szCs w:val="24"/>
        </w:rPr>
      </w:pPr>
    </w:p>
    <w:p w14:paraId="171C24F1" w14:textId="77777777" w:rsidR="00000000" w:rsidRPr="0060384B" w:rsidRDefault="00CA5F6F">
      <w:pPr>
        <w:spacing w:line="251" w:lineRule="auto"/>
        <w:ind w:right="240"/>
        <w:rPr>
          <w:rFonts w:ascii="Lato" w:hAnsi="Lato"/>
          <w:color w:val="000000" w:themeColor="text1"/>
          <w:sz w:val="24"/>
          <w:szCs w:val="24"/>
        </w:rPr>
      </w:pPr>
      <w:r w:rsidRPr="0060384B">
        <w:rPr>
          <w:rFonts w:ascii="Lato" w:hAnsi="Lato"/>
          <w:color w:val="000000" w:themeColor="text1"/>
          <w:sz w:val="24"/>
          <w:szCs w:val="24"/>
        </w:rPr>
        <w:t>Barnes LL. Biomarkers for Alzheimer dementia in diverse racial and ethnic minorities</w:t>
      </w:r>
      <w:r w:rsidRPr="0060384B">
        <w:rPr>
          <w:rFonts w:ascii="Lato" w:hAnsi="Lato"/>
          <w:color w:val="000000" w:themeColor="text1"/>
          <w:sz w:val="24"/>
          <w:szCs w:val="24"/>
        </w:rPr>
        <w:t xml:space="preserve">: A public health priority. </w:t>
      </w:r>
      <w:r w:rsidRPr="0060384B">
        <w:rPr>
          <w:rFonts w:ascii="Lato" w:hAnsi="Lato"/>
          <w:color w:val="000000" w:themeColor="text1"/>
          <w:sz w:val="24"/>
          <w:szCs w:val="24"/>
        </w:rPr>
        <w:t>JAMA Neurology</w:t>
      </w:r>
      <w:r w:rsidRPr="0060384B">
        <w:rPr>
          <w:rFonts w:ascii="Lato" w:hAnsi="Lato"/>
          <w:color w:val="000000" w:themeColor="text1"/>
          <w:sz w:val="24"/>
          <w:szCs w:val="24"/>
        </w:rPr>
        <w:t xml:space="preserve"> 2019;76(3):251-253. </w:t>
      </w:r>
      <w:hyperlink r:id="rId260" w:history="1">
        <w:r w:rsidRPr="0060384B">
          <w:rPr>
            <w:rFonts w:ascii="Lato" w:hAnsi="Lato"/>
            <w:color w:val="000000" w:themeColor="text1"/>
            <w:sz w:val="24"/>
            <w:szCs w:val="24"/>
          </w:rPr>
          <w:t>https://www.ncbi.nlm.nih.gov/pubmed/30615027</w:t>
        </w:r>
      </w:hyperlink>
    </w:p>
    <w:p w14:paraId="2DC1F9A2" w14:textId="77777777" w:rsidR="00000000" w:rsidRPr="0060384B" w:rsidRDefault="00CA5F6F">
      <w:pPr>
        <w:spacing w:line="240" w:lineRule="exact"/>
        <w:rPr>
          <w:rFonts w:ascii="Lato" w:eastAsia="Times New Roman" w:hAnsi="Lato"/>
          <w:color w:val="000000" w:themeColor="text1"/>
          <w:sz w:val="24"/>
          <w:szCs w:val="24"/>
        </w:rPr>
      </w:pPr>
    </w:p>
    <w:p w14:paraId="05928BA7" w14:textId="77777777" w:rsidR="00000000" w:rsidRPr="0060384B" w:rsidRDefault="00CA5F6F">
      <w:pPr>
        <w:spacing w:line="251" w:lineRule="auto"/>
        <w:ind w:right="440"/>
        <w:rPr>
          <w:rFonts w:ascii="Lato" w:hAnsi="Lato"/>
          <w:color w:val="000000" w:themeColor="text1"/>
          <w:sz w:val="24"/>
          <w:szCs w:val="24"/>
        </w:rPr>
      </w:pPr>
      <w:r w:rsidRPr="0060384B">
        <w:rPr>
          <w:rFonts w:ascii="Lato" w:hAnsi="Lato"/>
          <w:color w:val="000000" w:themeColor="text1"/>
          <w:sz w:val="24"/>
          <w:szCs w:val="24"/>
        </w:rPr>
        <w:t>Brookmeyer R, Abdalla N. Estimation of lifetime risks of Alzheimer</w:t>
      </w:r>
      <w:r w:rsidRPr="0060384B">
        <w:rPr>
          <w:rFonts w:ascii="Lato" w:hAnsi="Lato"/>
          <w:color w:val="000000" w:themeColor="text1"/>
          <w:sz w:val="24"/>
          <w:szCs w:val="24"/>
        </w:rPr>
        <w:t xml:space="preserve">’s disease dementia </w:t>
      </w:r>
      <w:r w:rsidRPr="0060384B">
        <w:rPr>
          <w:rFonts w:ascii="Lato" w:hAnsi="Lato"/>
          <w:color w:val="000000" w:themeColor="text1"/>
          <w:sz w:val="24"/>
          <w:szCs w:val="24"/>
        </w:rPr>
        <w:t xml:space="preserve">using biomarkers for preclinical disease. </w:t>
      </w:r>
      <w:r w:rsidRPr="0060384B">
        <w:rPr>
          <w:rFonts w:ascii="Lato" w:hAnsi="Lato"/>
          <w:color w:val="000000" w:themeColor="text1"/>
          <w:sz w:val="24"/>
          <w:szCs w:val="24"/>
        </w:rPr>
        <w:t>Alzheimer</w:t>
      </w:r>
      <w:r w:rsidRPr="0060384B">
        <w:rPr>
          <w:rFonts w:ascii="Lato" w:hAnsi="Lato"/>
          <w:color w:val="000000" w:themeColor="text1"/>
          <w:sz w:val="24"/>
          <w:szCs w:val="24"/>
        </w:rPr>
        <w:t>’s &amp; Dementia</w:t>
      </w:r>
      <w:r w:rsidRPr="0060384B">
        <w:rPr>
          <w:rFonts w:ascii="Lato" w:hAnsi="Lato"/>
          <w:color w:val="000000" w:themeColor="text1"/>
          <w:sz w:val="24"/>
          <w:szCs w:val="24"/>
        </w:rPr>
        <w:t xml:space="preserve"> 2018;14(8):981-988. </w:t>
      </w:r>
      <w:hyperlink r:id="rId261" w:history="1">
        <w:r w:rsidRPr="0060384B">
          <w:rPr>
            <w:rFonts w:ascii="Lato" w:hAnsi="Lato"/>
            <w:color w:val="000000" w:themeColor="text1"/>
            <w:sz w:val="24"/>
            <w:szCs w:val="24"/>
          </w:rPr>
          <w:t>https://www.ncbi.nlm.nih.gov/pubmed/29802030</w:t>
        </w:r>
      </w:hyperlink>
    </w:p>
    <w:p w14:paraId="62044A4D" w14:textId="77777777" w:rsidR="00000000" w:rsidRPr="0060384B" w:rsidRDefault="00CA5F6F">
      <w:pPr>
        <w:spacing w:line="240" w:lineRule="exact"/>
        <w:rPr>
          <w:rFonts w:ascii="Lato" w:eastAsia="Times New Roman" w:hAnsi="Lato"/>
          <w:color w:val="000000" w:themeColor="text1"/>
          <w:sz w:val="24"/>
          <w:szCs w:val="24"/>
        </w:rPr>
      </w:pPr>
    </w:p>
    <w:p w14:paraId="59A3547F" w14:textId="77777777" w:rsidR="00000000" w:rsidRPr="0060384B" w:rsidRDefault="00CA5F6F">
      <w:pPr>
        <w:spacing w:line="239" w:lineRule="auto"/>
        <w:rPr>
          <w:rFonts w:ascii="Lato" w:hAnsi="Lato"/>
          <w:color w:val="000000" w:themeColor="text1"/>
          <w:sz w:val="24"/>
          <w:szCs w:val="24"/>
        </w:rPr>
      </w:pPr>
      <w:r w:rsidRPr="0060384B">
        <w:rPr>
          <w:rFonts w:ascii="Lato" w:hAnsi="Lato"/>
          <w:color w:val="000000" w:themeColor="text1"/>
          <w:sz w:val="24"/>
          <w:szCs w:val="24"/>
        </w:rPr>
        <w:t xml:space="preserve">Bussian TJ, Aziz A, Meyer CF, Swenson BL, van Deursen JM, Baker </w:t>
      </w:r>
      <w:r w:rsidRPr="0060384B">
        <w:rPr>
          <w:rFonts w:ascii="Lato" w:hAnsi="Lato"/>
          <w:color w:val="000000" w:themeColor="text1"/>
          <w:sz w:val="24"/>
          <w:szCs w:val="24"/>
        </w:rPr>
        <w:t xml:space="preserve">DJ. Clearance of senescent glial cells prevents tau-dependent pathology and cognitive decline. </w:t>
      </w:r>
      <w:r w:rsidRPr="0060384B">
        <w:rPr>
          <w:rFonts w:ascii="Lato" w:hAnsi="Lato"/>
          <w:color w:val="000000" w:themeColor="text1"/>
          <w:sz w:val="24"/>
          <w:szCs w:val="24"/>
        </w:rPr>
        <w:t>Nature</w:t>
      </w:r>
      <w:r w:rsidRPr="0060384B">
        <w:rPr>
          <w:rFonts w:ascii="Lato" w:hAnsi="Lato"/>
          <w:color w:val="000000" w:themeColor="text1"/>
          <w:sz w:val="24"/>
          <w:szCs w:val="24"/>
        </w:rPr>
        <w:t xml:space="preserve"> 2018;562(7728):578-</w:t>
      </w:r>
    </w:p>
    <w:p w14:paraId="69ED74E2" w14:textId="77777777" w:rsidR="00000000" w:rsidRPr="0060384B" w:rsidRDefault="00CA5F6F">
      <w:pPr>
        <w:spacing w:line="2" w:lineRule="exact"/>
        <w:rPr>
          <w:rFonts w:ascii="Lato" w:eastAsia="Times New Roman" w:hAnsi="Lato"/>
          <w:color w:val="000000" w:themeColor="text1"/>
          <w:sz w:val="24"/>
          <w:szCs w:val="24"/>
        </w:rPr>
      </w:pPr>
    </w:p>
    <w:p w14:paraId="55A9FFC1" w14:textId="77777777" w:rsidR="00000000" w:rsidRPr="0060384B" w:rsidRDefault="00CA5F6F">
      <w:pPr>
        <w:numPr>
          <w:ilvl w:val="0"/>
          <w:numId w:val="21"/>
        </w:numPr>
        <w:tabs>
          <w:tab w:val="left" w:pos="480"/>
        </w:tabs>
        <w:spacing w:line="0" w:lineRule="atLeast"/>
        <w:ind w:left="480" w:hanging="480"/>
        <w:rPr>
          <w:rFonts w:ascii="Lato" w:hAnsi="Lato"/>
          <w:color w:val="000000" w:themeColor="text1"/>
          <w:sz w:val="24"/>
          <w:szCs w:val="24"/>
        </w:rPr>
      </w:pPr>
      <w:hyperlink r:id="rId262" w:history="1">
        <w:r w:rsidRPr="0060384B">
          <w:rPr>
            <w:rFonts w:ascii="Lato" w:hAnsi="Lato"/>
            <w:color w:val="000000" w:themeColor="text1"/>
            <w:sz w:val="24"/>
            <w:szCs w:val="24"/>
          </w:rPr>
          <w:t>https://www.ncbi.nlm.nih.gov/pubmed/30232451</w:t>
        </w:r>
      </w:hyperlink>
    </w:p>
    <w:p w14:paraId="75C58067" w14:textId="77777777" w:rsidR="00000000" w:rsidRPr="0060384B" w:rsidRDefault="00CA5F6F">
      <w:pPr>
        <w:spacing w:line="281" w:lineRule="exact"/>
        <w:rPr>
          <w:rFonts w:ascii="Lato" w:eastAsia="Times New Roman" w:hAnsi="Lato"/>
          <w:color w:val="000000" w:themeColor="text1"/>
          <w:sz w:val="24"/>
          <w:szCs w:val="24"/>
        </w:rPr>
      </w:pPr>
    </w:p>
    <w:p w14:paraId="34DBE1D6" w14:textId="77777777" w:rsidR="00000000" w:rsidRPr="0060384B" w:rsidRDefault="00CA5F6F">
      <w:pPr>
        <w:spacing w:line="247" w:lineRule="auto"/>
        <w:ind w:right="460"/>
        <w:rPr>
          <w:rFonts w:ascii="Lato" w:hAnsi="Lato"/>
          <w:color w:val="000000" w:themeColor="text1"/>
          <w:sz w:val="24"/>
          <w:szCs w:val="24"/>
        </w:rPr>
      </w:pPr>
      <w:r w:rsidRPr="0060384B">
        <w:rPr>
          <w:rFonts w:ascii="Lato" w:hAnsi="Lato"/>
          <w:color w:val="000000" w:themeColor="text1"/>
          <w:sz w:val="24"/>
          <w:szCs w:val="24"/>
        </w:rPr>
        <w:t>Chen MK, Mecca AP, Naganaw</w:t>
      </w:r>
      <w:r w:rsidRPr="0060384B">
        <w:rPr>
          <w:rFonts w:ascii="Lato" w:hAnsi="Lato"/>
          <w:color w:val="000000" w:themeColor="text1"/>
          <w:sz w:val="24"/>
          <w:szCs w:val="24"/>
        </w:rPr>
        <w:t xml:space="preserve">a M, Finnema SJ, Toyonaga T, Lin SF, et al. Assessing synaptic density in Alzheimer disease with synaptic vesicle glycoprotein 2A positron emission tomographic imaging. </w:t>
      </w:r>
      <w:r w:rsidRPr="0060384B">
        <w:rPr>
          <w:rFonts w:ascii="Lato" w:hAnsi="Lato"/>
          <w:color w:val="000000" w:themeColor="text1"/>
          <w:sz w:val="24"/>
          <w:szCs w:val="24"/>
        </w:rPr>
        <w:t>JAMA Neurology</w:t>
      </w:r>
      <w:r w:rsidRPr="0060384B">
        <w:rPr>
          <w:rFonts w:ascii="Lato" w:hAnsi="Lato"/>
          <w:color w:val="000000" w:themeColor="text1"/>
          <w:sz w:val="24"/>
          <w:szCs w:val="24"/>
        </w:rPr>
        <w:t xml:space="preserve"> 2018;75(10):1215-1224. </w:t>
      </w:r>
      <w:hyperlink r:id="rId263" w:history="1">
        <w:r w:rsidRPr="0060384B">
          <w:rPr>
            <w:rFonts w:ascii="Lato" w:hAnsi="Lato"/>
            <w:color w:val="000000" w:themeColor="text1"/>
            <w:sz w:val="24"/>
            <w:szCs w:val="24"/>
          </w:rPr>
          <w:t>https://www.ncbi.nlm.nih.gov/pubmed/30014145</w:t>
        </w:r>
      </w:hyperlink>
    </w:p>
    <w:p w14:paraId="7273904D" w14:textId="77777777" w:rsidR="00000000" w:rsidRPr="0060384B" w:rsidRDefault="00CA5F6F">
      <w:pPr>
        <w:spacing w:line="246" w:lineRule="exact"/>
        <w:rPr>
          <w:rFonts w:ascii="Lato" w:eastAsia="Times New Roman" w:hAnsi="Lato"/>
          <w:color w:val="000000" w:themeColor="text1"/>
          <w:sz w:val="24"/>
          <w:szCs w:val="24"/>
        </w:rPr>
      </w:pPr>
    </w:p>
    <w:p w14:paraId="5673D7B4" w14:textId="77777777" w:rsidR="00000000" w:rsidRPr="0060384B" w:rsidRDefault="00CA5F6F">
      <w:pPr>
        <w:spacing w:line="251" w:lineRule="auto"/>
        <w:ind w:right="320"/>
        <w:rPr>
          <w:rFonts w:ascii="Lato" w:hAnsi="Lato"/>
          <w:color w:val="000000" w:themeColor="text1"/>
          <w:sz w:val="24"/>
          <w:szCs w:val="24"/>
        </w:rPr>
      </w:pPr>
      <w:r w:rsidRPr="0060384B">
        <w:rPr>
          <w:rFonts w:ascii="Lato" w:hAnsi="Lato"/>
          <w:color w:val="000000" w:themeColor="text1"/>
          <w:sz w:val="24"/>
          <w:szCs w:val="24"/>
        </w:rPr>
        <w:t xml:space="preserve">Chou CC, Zhang Y, Umoh ME, Vaughan SW, Lorenzini I, Liu F, et al. TDP-43 pathology disrupts nuclear pore complexes and nucleocytoplasmic transport in ALS/FTD. </w:t>
      </w:r>
      <w:r w:rsidRPr="0060384B">
        <w:rPr>
          <w:rFonts w:ascii="Lato" w:hAnsi="Lato"/>
          <w:color w:val="000000" w:themeColor="text1"/>
          <w:sz w:val="24"/>
          <w:szCs w:val="24"/>
        </w:rPr>
        <w:t>Nature Neuroscience</w:t>
      </w:r>
      <w:r w:rsidRPr="0060384B">
        <w:rPr>
          <w:rFonts w:ascii="Lato" w:hAnsi="Lato"/>
          <w:color w:val="000000" w:themeColor="text1"/>
          <w:sz w:val="24"/>
          <w:szCs w:val="24"/>
        </w:rPr>
        <w:t xml:space="preserve"> 2018;21(2):228-239.</w:t>
      </w:r>
      <w:r w:rsidRPr="0060384B">
        <w:rPr>
          <w:rFonts w:ascii="Lato" w:hAnsi="Lato"/>
          <w:color w:val="000000" w:themeColor="text1"/>
          <w:sz w:val="24"/>
          <w:szCs w:val="24"/>
        </w:rPr>
        <w:t xml:space="preserve"> </w:t>
      </w:r>
      <w:hyperlink r:id="rId264" w:history="1">
        <w:r w:rsidRPr="0060384B">
          <w:rPr>
            <w:rFonts w:ascii="Lato" w:hAnsi="Lato"/>
            <w:color w:val="000000" w:themeColor="text1"/>
            <w:sz w:val="24"/>
            <w:szCs w:val="24"/>
          </w:rPr>
          <w:t>https://www.ncbi.nlm.nih.gov/pubmed/29311743</w:t>
        </w:r>
      </w:hyperlink>
    </w:p>
    <w:p w14:paraId="3526E670" w14:textId="77777777" w:rsidR="00000000" w:rsidRPr="0060384B" w:rsidRDefault="00CA5F6F">
      <w:pPr>
        <w:spacing w:line="240" w:lineRule="exact"/>
        <w:rPr>
          <w:rFonts w:ascii="Lato" w:eastAsia="Times New Roman" w:hAnsi="Lato"/>
          <w:color w:val="000000" w:themeColor="text1"/>
          <w:sz w:val="24"/>
          <w:szCs w:val="24"/>
        </w:rPr>
      </w:pPr>
    </w:p>
    <w:p w14:paraId="30632C8E" w14:textId="77777777" w:rsidR="00000000" w:rsidRPr="0060384B" w:rsidRDefault="00CA5F6F">
      <w:pPr>
        <w:spacing w:line="247" w:lineRule="auto"/>
        <w:ind w:right="240"/>
        <w:rPr>
          <w:rFonts w:ascii="Lato" w:hAnsi="Lato"/>
          <w:color w:val="000000" w:themeColor="text1"/>
          <w:sz w:val="24"/>
          <w:szCs w:val="24"/>
        </w:rPr>
      </w:pPr>
      <w:r w:rsidRPr="0060384B">
        <w:rPr>
          <w:rFonts w:ascii="Lato" w:hAnsi="Lato"/>
          <w:color w:val="000000" w:themeColor="text1"/>
          <w:sz w:val="24"/>
          <w:szCs w:val="24"/>
        </w:rPr>
        <w:t>Crimmins EM, Saito Y, Kim JK, Zhang YS, Sasson I, Hayward MD. Educational differences in the prevalence of dementia and life expectancy with dementi</w:t>
      </w:r>
      <w:r w:rsidRPr="0060384B">
        <w:rPr>
          <w:rFonts w:ascii="Lato" w:hAnsi="Lato"/>
          <w:color w:val="000000" w:themeColor="text1"/>
          <w:sz w:val="24"/>
          <w:szCs w:val="24"/>
        </w:rPr>
        <w:t xml:space="preserve">a: Changes from 2000 to 2010. </w:t>
      </w:r>
      <w:r w:rsidRPr="0060384B">
        <w:rPr>
          <w:rFonts w:ascii="Lato" w:hAnsi="Lato"/>
          <w:color w:val="000000" w:themeColor="text1"/>
          <w:sz w:val="24"/>
          <w:szCs w:val="24"/>
        </w:rPr>
        <w:t>The</w:t>
      </w:r>
      <w:r w:rsidRPr="0060384B">
        <w:rPr>
          <w:rFonts w:ascii="Lato" w:hAnsi="Lato"/>
          <w:color w:val="000000" w:themeColor="text1"/>
          <w:sz w:val="24"/>
          <w:szCs w:val="24"/>
        </w:rPr>
        <w:t xml:space="preserve"> </w:t>
      </w:r>
      <w:r w:rsidRPr="0060384B">
        <w:rPr>
          <w:rFonts w:ascii="Lato" w:hAnsi="Lato"/>
          <w:color w:val="000000" w:themeColor="text1"/>
          <w:sz w:val="24"/>
          <w:szCs w:val="24"/>
        </w:rPr>
        <w:t xml:space="preserve">Journals of Gerontology Series B </w:t>
      </w:r>
      <w:r w:rsidRPr="0060384B">
        <w:rPr>
          <w:rFonts w:ascii="Lato" w:hAnsi="Lato"/>
          <w:color w:val="000000" w:themeColor="text1"/>
          <w:sz w:val="24"/>
          <w:szCs w:val="24"/>
        </w:rPr>
        <w:t>2018;73(1):S20-S28.</w:t>
      </w:r>
      <w:r w:rsidRPr="0060384B">
        <w:rPr>
          <w:rFonts w:ascii="Lato" w:hAnsi="Lato"/>
          <w:color w:val="000000" w:themeColor="text1"/>
          <w:sz w:val="24"/>
          <w:szCs w:val="24"/>
        </w:rPr>
        <w:t xml:space="preserve"> </w:t>
      </w:r>
      <w:hyperlink r:id="rId265" w:history="1">
        <w:r w:rsidRPr="0060384B">
          <w:rPr>
            <w:rFonts w:ascii="Lato" w:hAnsi="Lato"/>
            <w:color w:val="000000" w:themeColor="text1"/>
            <w:sz w:val="24"/>
            <w:szCs w:val="24"/>
          </w:rPr>
          <w:t>https://www.ncbi.nlm.nih.gov/pubmed/29669097</w:t>
        </w:r>
      </w:hyperlink>
    </w:p>
    <w:p w14:paraId="67B12391" w14:textId="77777777" w:rsidR="00000000" w:rsidRPr="0060384B" w:rsidRDefault="00CA5F6F">
      <w:pPr>
        <w:spacing w:line="244" w:lineRule="exact"/>
        <w:rPr>
          <w:rFonts w:ascii="Lato" w:eastAsia="Times New Roman" w:hAnsi="Lato"/>
          <w:color w:val="000000" w:themeColor="text1"/>
          <w:sz w:val="24"/>
          <w:szCs w:val="24"/>
        </w:rPr>
      </w:pPr>
    </w:p>
    <w:p w14:paraId="11AE65AB" w14:textId="77777777" w:rsidR="00000000" w:rsidRPr="0060384B" w:rsidRDefault="00CA5F6F">
      <w:pPr>
        <w:spacing w:line="247" w:lineRule="auto"/>
        <w:ind w:right="660"/>
        <w:rPr>
          <w:rFonts w:ascii="Lato" w:hAnsi="Lato"/>
          <w:color w:val="000000" w:themeColor="text1"/>
          <w:sz w:val="24"/>
          <w:szCs w:val="24"/>
        </w:rPr>
      </w:pPr>
      <w:r w:rsidRPr="0060384B">
        <w:rPr>
          <w:rFonts w:ascii="Lato" w:hAnsi="Lato"/>
          <w:color w:val="000000" w:themeColor="text1"/>
          <w:sz w:val="24"/>
          <w:szCs w:val="24"/>
        </w:rPr>
        <w:t>Cruz Hernández JC, Bracko O, Kersbergen CJ, Muse V, Haft-Javah</w:t>
      </w:r>
      <w:r w:rsidRPr="0060384B">
        <w:rPr>
          <w:rFonts w:ascii="Lato" w:hAnsi="Lato"/>
          <w:color w:val="000000" w:themeColor="text1"/>
          <w:sz w:val="24"/>
          <w:szCs w:val="24"/>
        </w:rPr>
        <w:t>erian M, Berg M, et al. Neutrophil adhesion in brain capillaries reduces cortical blood flow and impairs memory function in Alzheimer</w:t>
      </w:r>
      <w:r w:rsidRPr="0060384B">
        <w:rPr>
          <w:rFonts w:ascii="Lato" w:hAnsi="Lato"/>
          <w:color w:val="000000" w:themeColor="text1"/>
          <w:sz w:val="24"/>
          <w:szCs w:val="24"/>
        </w:rPr>
        <w:t xml:space="preserve">’s disease mouse models. </w:t>
      </w:r>
      <w:r w:rsidRPr="0060384B">
        <w:rPr>
          <w:rFonts w:ascii="Lato" w:hAnsi="Lato"/>
          <w:color w:val="000000" w:themeColor="text1"/>
          <w:sz w:val="24"/>
          <w:szCs w:val="24"/>
        </w:rPr>
        <w:t>Nature Neuroscience</w:t>
      </w:r>
      <w:r w:rsidRPr="0060384B">
        <w:rPr>
          <w:rFonts w:ascii="Lato" w:hAnsi="Lato"/>
          <w:color w:val="000000" w:themeColor="text1"/>
          <w:sz w:val="24"/>
          <w:szCs w:val="24"/>
        </w:rPr>
        <w:t xml:space="preserve"> 2019;22(3):413-420. </w:t>
      </w:r>
      <w:hyperlink r:id="rId266" w:history="1">
        <w:r w:rsidRPr="0060384B">
          <w:rPr>
            <w:rFonts w:ascii="Lato" w:hAnsi="Lato"/>
            <w:color w:val="000000" w:themeColor="text1"/>
            <w:sz w:val="24"/>
            <w:szCs w:val="24"/>
          </w:rPr>
          <w:t>https://www.ncbi.nlm.nih.gov/pubmed/30742116</w:t>
        </w:r>
      </w:hyperlink>
    </w:p>
    <w:p w14:paraId="6A7F0B7D" w14:textId="77777777" w:rsidR="00000000" w:rsidRPr="0060384B" w:rsidRDefault="00CA5F6F">
      <w:pPr>
        <w:spacing w:line="247" w:lineRule="auto"/>
        <w:ind w:right="660"/>
        <w:rPr>
          <w:rFonts w:ascii="Lato" w:hAnsi="Lato"/>
          <w:color w:val="000000" w:themeColor="text1"/>
          <w:sz w:val="24"/>
          <w:szCs w:val="24"/>
        </w:rPr>
        <w:sectPr w:rsidR="00000000" w:rsidRPr="0060384B">
          <w:pgSz w:w="12240" w:h="15840"/>
          <w:pgMar w:top="1125" w:right="1440" w:bottom="0" w:left="1440" w:header="0" w:footer="0" w:gutter="0"/>
          <w:cols w:space="0" w:equalWidth="0">
            <w:col w:w="9360"/>
          </w:cols>
          <w:docGrid w:linePitch="360"/>
        </w:sectPr>
      </w:pPr>
    </w:p>
    <w:p w14:paraId="26E8A75C" w14:textId="77777777" w:rsidR="00000000" w:rsidRPr="0060384B" w:rsidRDefault="00CA5F6F">
      <w:pPr>
        <w:spacing w:line="200" w:lineRule="exact"/>
        <w:rPr>
          <w:rFonts w:ascii="Lato" w:eastAsia="Times New Roman" w:hAnsi="Lato"/>
          <w:color w:val="000000" w:themeColor="text1"/>
          <w:sz w:val="24"/>
          <w:szCs w:val="24"/>
        </w:rPr>
      </w:pPr>
    </w:p>
    <w:p w14:paraId="46692BF2" w14:textId="77777777" w:rsidR="00000000" w:rsidRPr="0060384B" w:rsidRDefault="00CA5F6F">
      <w:pPr>
        <w:spacing w:line="200" w:lineRule="exact"/>
        <w:rPr>
          <w:rFonts w:ascii="Lato" w:eastAsia="Times New Roman" w:hAnsi="Lato"/>
          <w:color w:val="000000" w:themeColor="text1"/>
          <w:sz w:val="24"/>
          <w:szCs w:val="24"/>
        </w:rPr>
      </w:pPr>
    </w:p>
    <w:p w14:paraId="4BC7AD3E" w14:textId="77777777" w:rsidR="00000000" w:rsidRPr="0060384B" w:rsidRDefault="00CA5F6F">
      <w:pPr>
        <w:spacing w:line="200" w:lineRule="exact"/>
        <w:rPr>
          <w:rFonts w:ascii="Lato" w:eastAsia="Times New Roman" w:hAnsi="Lato"/>
          <w:color w:val="000000" w:themeColor="text1"/>
          <w:sz w:val="24"/>
          <w:szCs w:val="24"/>
        </w:rPr>
      </w:pPr>
    </w:p>
    <w:p w14:paraId="464E048E" w14:textId="77777777" w:rsidR="00000000" w:rsidRPr="0060384B" w:rsidRDefault="00CA5F6F">
      <w:pPr>
        <w:spacing w:line="281"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0FE8E9E3" w14:textId="77777777">
        <w:trPr>
          <w:trHeight w:val="245"/>
        </w:trPr>
        <w:tc>
          <w:tcPr>
            <w:tcW w:w="6540" w:type="dxa"/>
            <w:shd w:val="clear" w:color="auto" w:fill="auto"/>
            <w:vAlign w:val="bottom"/>
          </w:tcPr>
          <w:p w14:paraId="3A119E0B"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TOGETHER WE SUCCEED</w:t>
            </w:r>
          </w:p>
        </w:tc>
        <w:tc>
          <w:tcPr>
            <w:tcW w:w="2820" w:type="dxa"/>
            <w:shd w:val="clear" w:color="auto" w:fill="auto"/>
            <w:vAlign w:val="bottom"/>
          </w:tcPr>
          <w:p w14:paraId="50E8D965"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71</w:t>
            </w:r>
          </w:p>
        </w:tc>
      </w:tr>
      <w:tr w:rsidR="00000000" w:rsidRPr="0060384B" w14:paraId="4C65654E" w14:textId="77777777">
        <w:trPr>
          <w:trHeight w:val="258"/>
        </w:trPr>
        <w:tc>
          <w:tcPr>
            <w:tcW w:w="6540" w:type="dxa"/>
            <w:shd w:val="clear" w:color="auto" w:fill="auto"/>
            <w:vAlign w:val="bottom"/>
          </w:tcPr>
          <w:p w14:paraId="7561560B"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322EE71F" w14:textId="77777777" w:rsidR="00000000" w:rsidRPr="0060384B" w:rsidRDefault="00CA5F6F">
            <w:pPr>
              <w:spacing w:line="0" w:lineRule="atLeast"/>
              <w:rPr>
                <w:rFonts w:ascii="Lato" w:eastAsia="Times New Roman" w:hAnsi="Lato"/>
                <w:color w:val="000000" w:themeColor="text1"/>
                <w:sz w:val="24"/>
                <w:szCs w:val="24"/>
              </w:rPr>
            </w:pPr>
          </w:p>
        </w:tc>
      </w:tr>
    </w:tbl>
    <w:p w14:paraId="68EC4164"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25" w:right="1440" w:bottom="0" w:left="1440" w:header="0" w:footer="0" w:gutter="0"/>
          <w:cols w:space="0" w:equalWidth="0">
            <w:col w:w="9360"/>
          </w:cols>
          <w:docGrid w:linePitch="360"/>
        </w:sectPr>
      </w:pPr>
    </w:p>
    <w:p w14:paraId="4A959449" w14:textId="77777777" w:rsidR="00000000" w:rsidRPr="0060384B" w:rsidRDefault="00CA5F6F">
      <w:pPr>
        <w:spacing w:line="247" w:lineRule="auto"/>
        <w:ind w:right="100"/>
        <w:rPr>
          <w:rFonts w:ascii="Lato" w:hAnsi="Lato"/>
          <w:color w:val="000000" w:themeColor="text1"/>
          <w:sz w:val="24"/>
          <w:szCs w:val="24"/>
        </w:rPr>
      </w:pPr>
      <w:bookmarkStart w:id="74" w:name="page75"/>
      <w:bookmarkEnd w:id="74"/>
      <w:r w:rsidRPr="0060384B">
        <w:rPr>
          <w:rFonts w:ascii="Lato" w:hAnsi="Lato"/>
          <w:color w:val="000000" w:themeColor="text1"/>
          <w:sz w:val="24"/>
          <w:szCs w:val="24"/>
        </w:rPr>
        <w:lastRenderedPageBreak/>
        <w:t>Eimer WA, Vijaya Kumar DK, Navalpur Shanmugam NK, Washicosky KJ, Rodriguez AS, Gyorgy B, et al. Alzheimer</w:t>
      </w:r>
      <w:r w:rsidRPr="0060384B">
        <w:rPr>
          <w:rFonts w:ascii="Lato" w:hAnsi="Lato"/>
          <w:color w:val="000000" w:themeColor="text1"/>
          <w:sz w:val="24"/>
          <w:szCs w:val="24"/>
        </w:rPr>
        <w:t>’s disease-</w:t>
      </w:r>
      <w:r w:rsidRPr="0060384B">
        <w:rPr>
          <w:rFonts w:ascii="Lato" w:hAnsi="Lato"/>
          <w:color w:val="000000" w:themeColor="text1"/>
          <w:sz w:val="24"/>
          <w:szCs w:val="24"/>
        </w:rPr>
        <w:t xml:space="preserve">associated </w:t>
      </w:r>
      <w:r w:rsidRPr="0060384B">
        <w:rPr>
          <w:rFonts w:cs="Calibri"/>
          <w:color w:val="000000" w:themeColor="text1"/>
          <w:sz w:val="24"/>
          <w:szCs w:val="24"/>
        </w:rPr>
        <w:t>β</w:t>
      </w:r>
      <w:r w:rsidRPr="0060384B">
        <w:rPr>
          <w:rFonts w:ascii="Lato" w:hAnsi="Lato"/>
          <w:color w:val="000000" w:themeColor="text1"/>
          <w:sz w:val="24"/>
          <w:szCs w:val="24"/>
        </w:rPr>
        <w:t xml:space="preserve">-amyloid is rapidly seeded by herpesviridae to protect against brain infection. </w:t>
      </w:r>
      <w:r w:rsidRPr="0060384B">
        <w:rPr>
          <w:rFonts w:ascii="Lato" w:hAnsi="Lato"/>
          <w:color w:val="000000" w:themeColor="text1"/>
          <w:sz w:val="24"/>
          <w:szCs w:val="24"/>
        </w:rPr>
        <w:t>Neuron</w:t>
      </w:r>
      <w:r w:rsidRPr="0060384B">
        <w:rPr>
          <w:rFonts w:ascii="Lato" w:hAnsi="Lato"/>
          <w:color w:val="000000" w:themeColor="text1"/>
          <w:sz w:val="24"/>
          <w:szCs w:val="24"/>
        </w:rPr>
        <w:t xml:space="preserve"> 2018;99(1):56</w:t>
      </w:r>
      <w:r w:rsidRPr="0060384B">
        <w:rPr>
          <w:rFonts w:ascii="Lato" w:hAnsi="Lato"/>
          <w:color w:val="000000" w:themeColor="text1"/>
          <w:sz w:val="24"/>
          <w:szCs w:val="24"/>
        </w:rPr>
        <w:t xml:space="preserve">–63. </w:t>
      </w:r>
      <w:hyperlink r:id="rId267" w:history="1">
        <w:r w:rsidRPr="0060384B">
          <w:rPr>
            <w:rFonts w:ascii="Lato" w:hAnsi="Lato"/>
            <w:color w:val="000000" w:themeColor="text1"/>
            <w:sz w:val="24"/>
            <w:szCs w:val="24"/>
          </w:rPr>
          <w:t>https://www.ncbi.nlm.nih.gov/pubmed/30001512</w:t>
        </w:r>
      </w:hyperlink>
    </w:p>
    <w:p w14:paraId="67669121" w14:textId="77777777" w:rsidR="00000000" w:rsidRPr="0060384B" w:rsidRDefault="00CA5F6F">
      <w:pPr>
        <w:spacing w:line="246" w:lineRule="exact"/>
        <w:rPr>
          <w:rFonts w:ascii="Lato" w:eastAsia="Times New Roman" w:hAnsi="Lato"/>
          <w:color w:val="000000" w:themeColor="text1"/>
          <w:sz w:val="24"/>
          <w:szCs w:val="24"/>
        </w:rPr>
      </w:pPr>
    </w:p>
    <w:p w14:paraId="64DA8C4F" w14:textId="77777777" w:rsidR="00000000" w:rsidRPr="0060384B" w:rsidRDefault="00CA5F6F">
      <w:pPr>
        <w:spacing w:line="251" w:lineRule="auto"/>
        <w:ind w:right="260"/>
        <w:rPr>
          <w:rFonts w:ascii="Lato" w:hAnsi="Lato"/>
          <w:color w:val="000000" w:themeColor="text1"/>
          <w:sz w:val="24"/>
          <w:szCs w:val="24"/>
        </w:rPr>
      </w:pPr>
      <w:r w:rsidRPr="0060384B">
        <w:rPr>
          <w:rFonts w:ascii="Lato" w:hAnsi="Lato"/>
          <w:color w:val="000000" w:themeColor="text1"/>
          <w:sz w:val="24"/>
          <w:szCs w:val="24"/>
        </w:rPr>
        <w:t xml:space="preserve">Faraco G, Brea D, Garcia-Bonilla L, Wang G, </w:t>
      </w:r>
      <w:r w:rsidRPr="0060384B">
        <w:rPr>
          <w:rFonts w:ascii="Lato" w:hAnsi="Lato"/>
          <w:color w:val="000000" w:themeColor="text1"/>
          <w:sz w:val="24"/>
          <w:szCs w:val="24"/>
        </w:rPr>
        <w:t xml:space="preserve">Racchumi G, Chang H, et al. Dietary salt promotes neurovascular and cognitive dysfunction through a gut-initiated TH17 response. </w:t>
      </w:r>
      <w:r w:rsidRPr="0060384B">
        <w:rPr>
          <w:rFonts w:ascii="Lato" w:hAnsi="Lato"/>
          <w:color w:val="000000" w:themeColor="text1"/>
          <w:sz w:val="24"/>
          <w:szCs w:val="24"/>
        </w:rPr>
        <w:t>Nature</w:t>
      </w:r>
      <w:r w:rsidRPr="0060384B">
        <w:rPr>
          <w:rFonts w:ascii="Lato" w:hAnsi="Lato"/>
          <w:color w:val="000000" w:themeColor="text1"/>
          <w:sz w:val="24"/>
          <w:szCs w:val="24"/>
        </w:rPr>
        <w:t xml:space="preserve"> </w:t>
      </w:r>
      <w:r w:rsidRPr="0060384B">
        <w:rPr>
          <w:rFonts w:ascii="Lato" w:hAnsi="Lato"/>
          <w:color w:val="000000" w:themeColor="text1"/>
          <w:sz w:val="24"/>
          <w:szCs w:val="24"/>
        </w:rPr>
        <w:t xml:space="preserve">Neuroscience </w:t>
      </w:r>
      <w:r w:rsidRPr="0060384B">
        <w:rPr>
          <w:rFonts w:ascii="Lato" w:hAnsi="Lato"/>
          <w:color w:val="000000" w:themeColor="text1"/>
          <w:sz w:val="24"/>
          <w:szCs w:val="24"/>
        </w:rPr>
        <w:t>2018;21(2):240-249.</w:t>
      </w:r>
      <w:r w:rsidRPr="0060384B">
        <w:rPr>
          <w:rFonts w:ascii="Lato" w:hAnsi="Lato"/>
          <w:color w:val="000000" w:themeColor="text1"/>
          <w:sz w:val="24"/>
          <w:szCs w:val="24"/>
        </w:rPr>
        <w:t xml:space="preserve"> </w:t>
      </w:r>
      <w:hyperlink r:id="rId268" w:history="1">
        <w:r w:rsidRPr="0060384B">
          <w:rPr>
            <w:rFonts w:ascii="Lato" w:hAnsi="Lato"/>
            <w:color w:val="000000" w:themeColor="text1"/>
            <w:sz w:val="24"/>
            <w:szCs w:val="24"/>
          </w:rPr>
          <w:t>https://www.ncbi.nlm.nih.go</w:t>
        </w:r>
        <w:r w:rsidRPr="0060384B">
          <w:rPr>
            <w:rFonts w:ascii="Lato" w:hAnsi="Lato"/>
            <w:color w:val="000000" w:themeColor="text1"/>
            <w:sz w:val="24"/>
            <w:szCs w:val="24"/>
          </w:rPr>
          <w:t>v/pubmed/29335605</w:t>
        </w:r>
      </w:hyperlink>
    </w:p>
    <w:p w14:paraId="2F458D10" w14:textId="77777777" w:rsidR="00000000" w:rsidRPr="0060384B" w:rsidRDefault="00CA5F6F">
      <w:pPr>
        <w:spacing w:line="240" w:lineRule="exact"/>
        <w:rPr>
          <w:rFonts w:ascii="Lato" w:eastAsia="Times New Roman" w:hAnsi="Lato"/>
          <w:color w:val="000000" w:themeColor="text1"/>
          <w:sz w:val="24"/>
          <w:szCs w:val="24"/>
        </w:rPr>
      </w:pPr>
    </w:p>
    <w:p w14:paraId="1A417AE7" w14:textId="77777777" w:rsidR="00000000" w:rsidRPr="0060384B" w:rsidRDefault="00CA5F6F">
      <w:pPr>
        <w:spacing w:line="251" w:lineRule="auto"/>
        <w:ind w:right="40"/>
        <w:rPr>
          <w:rFonts w:ascii="Lato" w:hAnsi="Lato"/>
          <w:color w:val="000000" w:themeColor="text1"/>
          <w:sz w:val="24"/>
          <w:szCs w:val="24"/>
        </w:rPr>
      </w:pPr>
      <w:r w:rsidRPr="0060384B">
        <w:rPr>
          <w:rFonts w:ascii="Lato" w:hAnsi="Lato"/>
          <w:color w:val="000000" w:themeColor="text1"/>
          <w:sz w:val="24"/>
          <w:szCs w:val="24"/>
        </w:rPr>
        <w:t xml:space="preserve">Flatt JD, Gilsanz P, Quesenberry CP Jr, Albers KB, Whitmer RA. Post-traumatic stress disorder and risk of dementia among members of a health care delivery system. </w:t>
      </w:r>
      <w:r w:rsidRPr="0060384B">
        <w:rPr>
          <w:rFonts w:ascii="Lato" w:hAnsi="Lato"/>
          <w:color w:val="000000" w:themeColor="text1"/>
          <w:sz w:val="24"/>
          <w:szCs w:val="24"/>
        </w:rPr>
        <w:t>Alzheimer</w:t>
      </w:r>
      <w:r w:rsidRPr="0060384B">
        <w:rPr>
          <w:rFonts w:ascii="Lato" w:hAnsi="Lato"/>
          <w:color w:val="000000" w:themeColor="text1"/>
          <w:sz w:val="24"/>
          <w:szCs w:val="24"/>
        </w:rPr>
        <w:t>’s &amp; Dementia</w:t>
      </w:r>
      <w:r w:rsidRPr="0060384B">
        <w:rPr>
          <w:rFonts w:ascii="Lato" w:hAnsi="Lato"/>
          <w:color w:val="000000" w:themeColor="text1"/>
          <w:sz w:val="24"/>
          <w:szCs w:val="24"/>
        </w:rPr>
        <w:t xml:space="preserve"> 2018;14(1):28-34. </w:t>
      </w:r>
      <w:hyperlink r:id="rId269" w:history="1">
        <w:r w:rsidRPr="0060384B">
          <w:rPr>
            <w:rFonts w:ascii="Lato" w:hAnsi="Lato"/>
            <w:color w:val="000000" w:themeColor="text1"/>
            <w:sz w:val="24"/>
            <w:szCs w:val="24"/>
          </w:rPr>
          <w:t>https://www.ncbi.nlm.nih.gov/pubmed/28627380</w:t>
        </w:r>
      </w:hyperlink>
    </w:p>
    <w:p w14:paraId="5D14AC75" w14:textId="77777777" w:rsidR="00000000" w:rsidRPr="0060384B" w:rsidRDefault="00CA5F6F">
      <w:pPr>
        <w:spacing w:line="240" w:lineRule="exact"/>
        <w:rPr>
          <w:rFonts w:ascii="Lato" w:eastAsia="Times New Roman" w:hAnsi="Lato"/>
          <w:color w:val="000000" w:themeColor="text1"/>
          <w:sz w:val="24"/>
          <w:szCs w:val="24"/>
        </w:rPr>
      </w:pPr>
    </w:p>
    <w:p w14:paraId="7D28FBB6" w14:textId="77777777" w:rsidR="00000000" w:rsidRPr="0060384B" w:rsidRDefault="00CA5F6F">
      <w:pPr>
        <w:spacing w:line="251" w:lineRule="auto"/>
        <w:ind w:right="800"/>
        <w:rPr>
          <w:rFonts w:ascii="Lato" w:hAnsi="Lato"/>
          <w:color w:val="000000" w:themeColor="text1"/>
          <w:sz w:val="24"/>
          <w:szCs w:val="24"/>
        </w:rPr>
      </w:pPr>
      <w:r w:rsidRPr="0060384B">
        <w:rPr>
          <w:rFonts w:ascii="Lato" w:hAnsi="Lato"/>
          <w:color w:val="000000" w:themeColor="text1"/>
          <w:sz w:val="24"/>
          <w:szCs w:val="24"/>
        </w:rPr>
        <w:t xml:space="preserve">Galvin JE. Using informant and performance screening methods to detect mild cognitive impairment and dementia. </w:t>
      </w:r>
      <w:r w:rsidRPr="0060384B">
        <w:rPr>
          <w:rFonts w:ascii="Lato" w:hAnsi="Lato"/>
          <w:color w:val="000000" w:themeColor="text1"/>
          <w:sz w:val="24"/>
          <w:szCs w:val="24"/>
        </w:rPr>
        <w:t>Current Geriatrics Reports</w:t>
      </w:r>
      <w:r w:rsidRPr="0060384B">
        <w:rPr>
          <w:rFonts w:ascii="Lato" w:hAnsi="Lato"/>
          <w:color w:val="000000" w:themeColor="text1"/>
          <w:sz w:val="24"/>
          <w:szCs w:val="24"/>
        </w:rPr>
        <w:t xml:space="preserve"> 2018;7(1):19-25. </w:t>
      </w:r>
      <w:hyperlink r:id="rId270" w:history="1">
        <w:r w:rsidRPr="0060384B">
          <w:rPr>
            <w:rFonts w:ascii="Lato" w:hAnsi="Lato"/>
            <w:color w:val="000000" w:themeColor="text1"/>
            <w:sz w:val="24"/>
            <w:szCs w:val="24"/>
          </w:rPr>
          <w:t>https://www.ncbi.nlm.nih.gov/pubmed/29963365</w:t>
        </w:r>
      </w:hyperlink>
    </w:p>
    <w:p w14:paraId="284D74F2" w14:textId="77777777" w:rsidR="00000000" w:rsidRPr="0060384B" w:rsidRDefault="00CA5F6F">
      <w:pPr>
        <w:spacing w:line="240" w:lineRule="exact"/>
        <w:rPr>
          <w:rFonts w:ascii="Lato" w:eastAsia="Times New Roman" w:hAnsi="Lato"/>
          <w:color w:val="000000" w:themeColor="text1"/>
          <w:sz w:val="24"/>
          <w:szCs w:val="24"/>
        </w:rPr>
      </w:pPr>
    </w:p>
    <w:p w14:paraId="3E8C3D42" w14:textId="77777777" w:rsidR="00000000" w:rsidRPr="0060384B" w:rsidRDefault="00CA5F6F">
      <w:pPr>
        <w:spacing w:line="251" w:lineRule="auto"/>
        <w:ind w:right="440"/>
        <w:rPr>
          <w:rFonts w:ascii="Lato" w:hAnsi="Lato"/>
          <w:color w:val="000000" w:themeColor="text1"/>
          <w:sz w:val="24"/>
          <w:szCs w:val="24"/>
        </w:rPr>
      </w:pPr>
      <w:r w:rsidRPr="0060384B">
        <w:rPr>
          <w:rFonts w:ascii="Lato" w:hAnsi="Lato"/>
          <w:color w:val="000000" w:themeColor="text1"/>
          <w:sz w:val="24"/>
          <w:szCs w:val="24"/>
        </w:rPr>
        <w:t>Geifman N, Brinton RD, Kennedy R, Schneider LS, Butte AJ. Evidence for benefit of statins to modify cognitive decline and risk in Alzheimer</w:t>
      </w:r>
      <w:r w:rsidRPr="0060384B">
        <w:rPr>
          <w:rFonts w:ascii="Lato" w:hAnsi="Lato"/>
          <w:color w:val="000000" w:themeColor="text1"/>
          <w:sz w:val="24"/>
          <w:szCs w:val="24"/>
        </w:rPr>
        <w:t xml:space="preserve">’s disease. </w:t>
      </w:r>
      <w:r w:rsidRPr="0060384B">
        <w:rPr>
          <w:rFonts w:ascii="Lato" w:hAnsi="Lato"/>
          <w:color w:val="000000" w:themeColor="text1"/>
          <w:sz w:val="24"/>
          <w:szCs w:val="24"/>
        </w:rPr>
        <w:t>Alzheimer</w:t>
      </w:r>
      <w:r w:rsidRPr="0060384B">
        <w:rPr>
          <w:rFonts w:ascii="Lato" w:hAnsi="Lato"/>
          <w:color w:val="000000" w:themeColor="text1"/>
          <w:sz w:val="24"/>
          <w:szCs w:val="24"/>
        </w:rPr>
        <w:t>’s Research &amp; T</w:t>
      </w:r>
      <w:r w:rsidRPr="0060384B">
        <w:rPr>
          <w:rFonts w:ascii="Lato" w:hAnsi="Lato"/>
          <w:color w:val="000000" w:themeColor="text1"/>
          <w:sz w:val="24"/>
          <w:szCs w:val="24"/>
        </w:rPr>
        <w:t>herapy</w:t>
      </w:r>
      <w:r w:rsidRPr="0060384B">
        <w:rPr>
          <w:rFonts w:ascii="Lato" w:hAnsi="Lato"/>
          <w:color w:val="000000" w:themeColor="text1"/>
          <w:sz w:val="24"/>
          <w:szCs w:val="24"/>
        </w:rPr>
        <w:t xml:space="preserve"> 2017;9(1):10. </w:t>
      </w:r>
      <w:hyperlink r:id="rId271" w:history="1">
        <w:r w:rsidRPr="0060384B">
          <w:rPr>
            <w:rFonts w:ascii="Lato" w:hAnsi="Lato"/>
            <w:color w:val="000000" w:themeColor="text1"/>
            <w:sz w:val="24"/>
            <w:szCs w:val="24"/>
          </w:rPr>
          <w:t>https://www.ncbi.nlm.nih.gov/pubmed/28212683</w:t>
        </w:r>
      </w:hyperlink>
    </w:p>
    <w:p w14:paraId="2516E28C" w14:textId="77777777" w:rsidR="00000000" w:rsidRPr="0060384B" w:rsidRDefault="00CA5F6F">
      <w:pPr>
        <w:spacing w:line="238" w:lineRule="exact"/>
        <w:rPr>
          <w:rFonts w:ascii="Lato" w:eastAsia="Times New Roman" w:hAnsi="Lato"/>
          <w:color w:val="000000" w:themeColor="text1"/>
          <w:sz w:val="24"/>
          <w:szCs w:val="24"/>
        </w:rPr>
      </w:pPr>
    </w:p>
    <w:p w14:paraId="79FDD8F7" w14:textId="77777777" w:rsidR="00000000" w:rsidRPr="0060384B" w:rsidRDefault="00CA5F6F">
      <w:pPr>
        <w:spacing w:line="252" w:lineRule="auto"/>
        <w:ind w:right="660"/>
        <w:rPr>
          <w:rFonts w:ascii="Lato" w:hAnsi="Lato"/>
          <w:color w:val="000000" w:themeColor="text1"/>
          <w:sz w:val="24"/>
          <w:szCs w:val="24"/>
        </w:rPr>
      </w:pPr>
      <w:r w:rsidRPr="0060384B">
        <w:rPr>
          <w:rFonts w:ascii="Lato" w:hAnsi="Lato"/>
          <w:color w:val="000000" w:themeColor="text1"/>
          <w:sz w:val="24"/>
          <w:szCs w:val="24"/>
        </w:rPr>
        <w:t>Goldberg J, Currais A, Prior M, Fischer W, Chiruta C, Ratliff E, et al. The mitochondrial ATP synthase is a shared drug target f</w:t>
      </w:r>
      <w:r w:rsidRPr="0060384B">
        <w:rPr>
          <w:rFonts w:ascii="Lato" w:hAnsi="Lato"/>
          <w:color w:val="000000" w:themeColor="text1"/>
          <w:sz w:val="24"/>
          <w:szCs w:val="24"/>
        </w:rPr>
        <w:t xml:space="preserve">or aging and dementia. </w:t>
      </w:r>
      <w:r w:rsidRPr="0060384B">
        <w:rPr>
          <w:rFonts w:ascii="Lato" w:hAnsi="Lato"/>
          <w:color w:val="000000" w:themeColor="text1"/>
          <w:sz w:val="24"/>
          <w:szCs w:val="24"/>
        </w:rPr>
        <w:t>Aging Cell</w:t>
      </w:r>
      <w:r w:rsidRPr="0060384B">
        <w:rPr>
          <w:rFonts w:ascii="Lato" w:hAnsi="Lato"/>
          <w:color w:val="000000" w:themeColor="text1"/>
          <w:sz w:val="24"/>
          <w:szCs w:val="24"/>
        </w:rPr>
        <w:t xml:space="preserve"> 2018;17(2). </w:t>
      </w:r>
      <w:hyperlink r:id="rId272" w:history="1">
        <w:r w:rsidRPr="0060384B">
          <w:rPr>
            <w:rFonts w:ascii="Lato" w:hAnsi="Lato"/>
            <w:color w:val="000000" w:themeColor="text1"/>
            <w:sz w:val="24"/>
            <w:szCs w:val="24"/>
          </w:rPr>
          <w:t>https://www.ncbi.nlm.nih.gov/pubmed/29316249</w:t>
        </w:r>
      </w:hyperlink>
    </w:p>
    <w:p w14:paraId="1A798035" w14:textId="77777777" w:rsidR="00000000" w:rsidRPr="0060384B" w:rsidRDefault="00CA5F6F">
      <w:pPr>
        <w:spacing w:line="236" w:lineRule="exact"/>
        <w:rPr>
          <w:rFonts w:ascii="Lato" w:eastAsia="Times New Roman" w:hAnsi="Lato"/>
          <w:color w:val="000000" w:themeColor="text1"/>
          <w:sz w:val="24"/>
          <w:szCs w:val="24"/>
        </w:rPr>
      </w:pPr>
    </w:p>
    <w:p w14:paraId="42382A20" w14:textId="77777777" w:rsidR="00000000" w:rsidRPr="0060384B" w:rsidRDefault="00CA5F6F">
      <w:pPr>
        <w:spacing w:line="247" w:lineRule="auto"/>
        <w:ind w:right="380"/>
        <w:rPr>
          <w:rFonts w:ascii="Lato" w:hAnsi="Lato"/>
          <w:color w:val="000000" w:themeColor="text1"/>
          <w:sz w:val="24"/>
          <w:szCs w:val="24"/>
        </w:rPr>
      </w:pPr>
      <w:r w:rsidRPr="0060384B">
        <w:rPr>
          <w:rFonts w:ascii="Lato" w:hAnsi="Lato"/>
          <w:color w:val="000000" w:themeColor="text1"/>
          <w:sz w:val="24"/>
          <w:szCs w:val="24"/>
        </w:rPr>
        <w:t>González HM, Tarraf W, Jian X, Vásquez PM, Kaplan R, Thyagarajan B, et al. Apolipoprotein E genotypes a</w:t>
      </w:r>
      <w:r w:rsidRPr="0060384B">
        <w:rPr>
          <w:rFonts w:ascii="Lato" w:hAnsi="Lato"/>
          <w:color w:val="000000" w:themeColor="text1"/>
          <w:sz w:val="24"/>
          <w:szCs w:val="24"/>
        </w:rPr>
        <w:t xml:space="preserve">mong diverse middle-aged and older Latinos: Study of Latinos-Investigation of Neurocognitive Aging results (HCHS/SOL). </w:t>
      </w:r>
      <w:r w:rsidRPr="0060384B">
        <w:rPr>
          <w:rFonts w:ascii="Lato" w:hAnsi="Lato"/>
          <w:color w:val="000000" w:themeColor="text1"/>
          <w:sz w:val="24"/>
          <w:szCs w:val="24"/>
        </w:rPr>
        <w:t>Scientific Reports</w:t>
      </w:r>
      <w:r w:rsidRPr="0060384B">
        <w:rPr>
          <w:rFonts w:ascii="Lato" w:hAnsi="Lato"/>
          <w:color w:val="000000" w:themeColor="text1"/>
          <w:sz w:val="24"/>
          <w:szCs w:val="24"/>
        </w:rPr>
        <w:t xml:space="preserve"> 2018;8(1):175-178. </w:t>
      </w:r>
      <w:hyperlink r:id="rId273" w:history="1">
        <w:r w:rsidRPr="0060384B">
          <w:rPr>
            <w:rFonts w:ascii="Lato" w:hAnsi="Lato"/>
            <w:color w:val="000000" w:themeColor="text1"/>
            <w:sz w:val="24"/>
            <w:szCs w:val="24"/>
          </w:rPr>
          <w:t>https://www.ncbi.nlm.nih.gov/pubmed/305</w:t>
        </w:r>
        <w:r w:rsidRPr="0060384B">
          <w:rPr>
            <w:rFonts w:ascii="Lato" w:hAnsi="Lato"/>
            <w:color w:val="000000" w:themeColor="text1"/>
            <w:sz w:val="24"/>
            <w:szCs w:val="24"/>
          </w:rPr>
          <w:t>46063</w:t>
        </w:r>
      </w:hyperlink>
    </w:p>
    <w:p w14:paraId="7FB4E24A" w14:textId="77777777" w:rsidR="00000000" w:rsidRPr="0060384B" w:rsidRDefault="00CA5F6F">
      <w:pPr>
        <w:spacing w:line="246" w:lineRule="exact"/>
        <w:rPr>
          <w:rFonts w:ascii="Lato" w:eastAsia="Times New Roman" w:hAnsi="Lato"/>
          <w:color w:val="000000" w:themeColor="text1"/>
          <w:sz w:val="24"/>
          <w:szCs w:val="24"/>
        </w:rPr>
      </w:pPr>
    </w:p>
    <w:p w14:paraId="595A3AD3" w14:textId="77777777" w:rsidR="00000000" w:rsidRPr="0060384B" w:rsidRDefault="00CA5F6F">
      <w:pPr>
        <w:spacing w:line="251" w:lineRule="auto"/>
        <w:ind w:right="200"/>
        <w:rPr>
          <w:rFonts w:ascii="Lato" w:hAnsi="Lato"/>
          <w:color w:val="000000" w:themeColor="text1"/>
          <w:sz w:val="24"/>
          <w:szCs w:val="24"/>
        </w:rPr>
      </w:pPr>
      <w:r w:rsidRPr="0060384B">
        <w:rPr>
          <w:rFonts w:ascii="Lato" w:hAnsi="Lato"/>
          <w:color w:val="000000" w:themeColor="text1"/>
          <w:sz w:val="24"/>
          <w:szCs w:val="24"/>
        </w:rPr>
        <w:t xml:space="preserve">Guerreiro R, Ross OA, Kun- Rodrigues C, Hernandez DG, Orme T, Eicher JD, et al. Investigating the genetic architecture of dementia with Lewy bodies: A two-stage genome-wide association study. </w:t>
      </w:r>
      <w:r w:rsidRPr="0060384B">
        <w:rPr>
          <w:rFonts w:ascii="Lato" w:hAnsi="Lato"/>
          <w:color w:val="000000" w:themeColor="text1"/>
          <w:sz w:val="24"/>
          <w:szCs w:val="24"/>
        </w:rPr>
        <w:t>Lancet Neurology</w:t>
      </w:r>
      <w:r w:rsidRPr="0060384B">
        <w:rPr>
          <w:rFonts w:ascii="Lato" w:hAnsi="Lato"/>
          <w:color w:val="000000" w:themeColor="text1"/>
          <w:sz w:val="24"/>
          <w:szCs w:val="24"/>
        </w:rPr>
        <w:t xml:space="preserve"> 2018;17(1):64-74. </w:t>
      </w:r>
      <w:hyperlink r:id="rId274" w:history="1">
        <w:r w:rsidRPr="0060384B">
          <w:rPr>
            <w:rFonts w:ascii="Lato" w:hAnsi="Lato"/>
            <w:color w:val="000000" w:themeColor="text1"/>
            <w:sz w:val="24"/>
            <w:szCs w:val="24"/>
          </w:rPr>
          <w:t>https://www.ncbi.nlm.nih.gov/pubmed/29263008</w:t>
        </w:r>
      </w:hyperlink>
    </w:p>
    <w:p w14:paraId="758F99EC" w14:textId="77777777" w:rsidR="00000000" w:rsidRPr="0060384B" w:rsidRDefault="00CA5F6F">
      <w:pPr>
        <w:spacing w:line="240" w:lineRule="exact"/>
        <w:rPr>
          <w:rFonts w:ascii="Lato" w:eastAsia="Times New Roman" w:hAnsi="Lato"/>
          <w:color w:val="000000" w:themeColor="text1"/>
          <w:sz w:val="24"/>
          <w:szCs w:val="24"/>
        </w:rPr>
      </w:pPr>
    </w:p>
    <w:p w14:paraId="2110FACE" w14:textId="77777777" w:rsidR="00000000" w:rsidRPr="0060384B" w:rsidRDefault="00CA5F6F">
      <w:pPr>
        <w:spacing w:line="267" w:lineRule="auto"/>
        <w:ind w:right="40"/>
        <w:jc w:val="both"/>
        <w:rPr>
          <w:rFonts w:ascii="Lato" w:hAnsi="Lato"/>
          <w:color w:val="000000" w:themeColor="text1"/>
          <w:sz w:val="24"/>
          <w:szCs w:val="24"/>
        </w:rPr>
      </w:pPr>
      <w:r w:rsidRPr="0060384B">
        <w:rPr>
          <w:rFonts w:ascii="Lato" w:hAnsi="Lato"/>
          <w:color w:val="000000" w:themeColor="text1"/>
          <w:sz w:val="24"/>
          <w:szCs w:val="24"/>
        </w:rPr>
        <w:t>He Z, Guo JL, McBride JD, Narasimhan S, Kim H, Changolkar L, et al. Amyloid -</w:t>
      </w:r>
      <w:r w:rsidRPr="0060384B">
        <w:rPr>
          <w:rFonts w:cs="Calibri"/>
          <w:color w:val="000000" w:themeColor="text1"/>
          <w:sz w:val="24"/>
          <w:szCs w:val="24"/>
        </w:rPr>
        <w:t>β</w:t>
      </w:r>
      <w:r w:rsidRPr="0060384B">
        <w:rPr>
          <w:rFonts w:ascii="Lato" w:hAnsi="Lato"/>
          <w:color w:val="000000" w:themeColor="text1"/>
          <w:sz w:val="24"/>
          <w:szCs w:val="24"/>
        </w:rPr>
        <w:t xml:space="preserve"> plaques enhance</w:t>
      </w:r>
      <w:r w:rsidRPr="0060384B">
        <w:rPr>
          <w:rFonts w:ascii="Lato" w:hAnsi="Lato"/>
          <w:color w:val="000000" w:themeColor="text1"/>
          <w:sz w:val="24"/>
          <w:szCs w:val="24"/>
        </w:rPr>
        <w:t xml:space="preserve"> Alzheimer</w:t>
      </w:r>
      <w:r w:rsidRPr="0060384B">
        <w:rPr>
          <w:rFonts w:ascii="Lato" w:hAnsi="Lato"/>
          <w:color w:val="000000" w:themeColor="text1"/>
          <w:sz w:val="24"/>
          <w:szCs w:val="24"/>
        </w:rPr>
        <w:t>’s brain tau-seeded pathologies by facilitating neuritic plaque ta</w:t>
      </w:r>
      <w:r w:rsidRPr="0060384B">
        <w:rPr>
          <w:rFonts w:ascii="Lato" w:hAnsi="Lato"/>
          <w:color w:val="000000" w:themeColor="text1"/>
          <w:sz w:val="24"/>
          <w:szCs w:val="24"/>
        </w:rPr>
        <w:t xml:space="preserve">u aggregation. </w:t>
      </w:r>
      <w:r w:rsidRPr="0060384B">
        <w:rPr>
          <w:rFonts w:ascii="Lato" w:hAnsi="Lato"/>
          <w:color w:val="000000" w:themeColor="text1"/>
          <w:sz w:val="24"/>
          <w:szCs w:val="24"/>
        </w:rPr>
        <w:t>Nature</w:t>
      </w:r>
      <w:r w:rsidRPr="0060384B">
        <w:rPr>
          <w:rFonts w:ascii="Lato" w:hAnsi="Lato"/>
          <w:color w:val="000000" w:themeColor="text1"/>
          <w:sz w:val="24"/>
          <w:szCs w:val="24"/>
        </w:rPr>
        <w:t xml:space="preserve"> </w:t>
      </w:r>
      <w:r w:rsidRPr="0060384B">
        <w:rPr>
          <w:rFonts w:ascii="Lato" w:hAnsi="Lato"/>
          <w:color w:val="000000" w:themeColor="text1"/>
          <w:sz w:val="24"/>
          <w:szCs w:val="24"/>
        </w:rPr>
        <w:t xml:space="preserve">Medicine </w:t>
      </w:r>
      <w:r w:rsidRPr="0060384B">
        <w:rPr>
          <w:rFonts w:ascii="Lato" w:hAnsi="Lato"/>
          <w:color w:val="000000" w:themeColor="text1"/>
          <w:sz w:val="24"/>
          <w:szCs w:val="24"/>
        </w:rPr>
        <w:t>2018;24(1):29-38.</w:t>
      </w:r>
      <w:r w:rsidRPr="0060384B">
        <w:rPr>
          <w:rFonts w:ascii="Lato" w:hAnsi="Lato"/>
          <w:color w:val="000000" w:themeColor="text1"/>
          <w:sz w:val="24"/>
          <w:szCs w:val="24"/>
        </w:rPr>
        <w:t xml:space="preserve"> </w:t>
      </w:r>
      <w:hyperlink r:id="rId275" w:history="1">
        <w:r w:rsidRPr="0060384B">
          <w:rPr>
            <w:rFonts w:ascii="Lato" w:hAnsi="Lato"/>
            <w:color w:val="000000" w:themeColor="text1"/>
            <w:sz w:val="24"/>
            <w:szCs w:val="24"/>
          </w:rPr>
          <w:t>https://www.ncbi.nlm.nih.gov/pubmed/29200205</w:t>
        </w:r>
      </w:hyperlink>
    </w:p>
    <w:p w14:paraId="23728548" w14:textId="77777777" w:rsidR="00000000" w:rsidRPr="0060384B" w:rsidRDefault="00CA5F6F">
      <w:pPr>
        <w:spacing w:line="222" w:lineRule="exact"/>
        <w:rPr>
          <w:rFonts w:ascii="Lato" w:eastAsia="Times New Roman" w:hAnsi="Lato"/>
          <w:color w:val="000000" w:themeColor="text1"/>
          <w:sz w:val="24"/>
          <w:szCs w:val="24"/>
        </w:rPr>
      </w:pPr>
    </w:p>
    <w:p w14:paraId="7B6FE9D4" w14:textId="77777777" w:rsidR="00000000" w:rsidRPr="0060384B" w:rsidRDefault="00CA5F6F">
      <w:pPr>
        <w:spacing w:line="251" w:lineRule="auto"/>
        <w:ind w:right="300"/>
        <w:rPr>
          <w:rFonts w:ascii="Lato" w:hAnsi="Lato"/>
          <w:color w:val="000000" w:themeColor="text1"/>
          <w:sz w:val="24"/>
          <w:szCs w:val="24"/>
        </w:rPr>
      </w:pPr>
      <w:r w:rsidRPr="0060384B">
        <w:rPr>
          <w:rFonts w:ascii="Lato" w:hAnsi="Lato"/>
          <w:color w:val="000000" w:themeColor="text1"/>
          <w:sz w:val="24"/>
          <w:szCs w:val="24"/>
        </w:rPr>
        <w:t>Hebert LE, Weuve J, Scherr PA, Evans DA. Alzheimer disease in the United States (2010-2050) estimate</w:t>
      </w:r>
      <w:r w:rsidRPr="0060384B">
        <w:rPr>
          <w:rFonts w:ascii="Lato" w:hAnsi="Lato"/>
          <w:color w:val="000000" w:themeColor="text1"/>
          <w:sz w:val="24"/>
          <w:szCs w:val="24"/>
        </w:rPr>
        <w:t xml:space="preserve">d using the 2010 census. </w:t>
      </w:r>
      <w:r w:rsidRPr="0060384B">
        <w:rPr>
          <w:rFonts w:ascii="Lato" w:hAnsi="Lato"/>
          <w:color w:val="000000" w:themeColor="text1"/>
          <w:sz w:val="24"/>
          <w:szCs w:val="24"/>
        </w:rPr>
        <w:t>Neurology</w:t>
      </w:r>
      <w:r w:rsidRPr="0060384B">
        <w:rPr>
          <w:rFonts w:ascii="Lato" w:hAnsi="Lato"/>
          <w:color w:val="000000" w:themeColor="text1"/>
          <w:sz w:val="24"/>
          <w:szCs w:val="24"/>
        </w:rPr>
        <w:t xml:space="preserve"> 2013;80(19):1778-1783. </w:t>
      </w:r>
      <w:hyperlink r:id="rId276" w:history="1">
        <w:r w:rsidRPr="0060384B">
          <w:rPr>
            <w:rFonts w:ascii="Lato" w:hAnsi="Lato"/>
            <w:color w:val="000000" w:themeColor="text1"/>
            <w:sz w:val="24"/>
            <w:szCs w:val="24"/>
          </w:rPr>
          <w:t>https://www.ncbi.nlm.nih.gov/pubmed/23390181</w:t>
        </w:r>
      </w:hyperlink>
    </w:p>
    <w:p w14:paraId="0F6A5F95" w14:textId="77777777" w:rsidR="00000000" w:rsidRPr="0060384B" w:rsidRDefault="00CA5F6F">
      <w:pPr>
        <w:spacing w:line="240" w:lineRule="exact"/>
        <w:rPr>
          <w:rFonts w:ascii="Lato" w:eastAsia="Times New Roman" w:hAnsi="Lato"/>
          <w:color w:val="000000" w:themeColor="text1"/>
          <w:sz w:val="24"/>
          <w:szCs w:val="24"/>
        </w:rPr>
      </w:pPr>
    </w:p>
    <w:p w14:paraId="7EE18A74" w14:textId="77777777" w:rsidR="00000000" w:rsidRPr="0060384B" w:rsidRDefault="00CA5F6F">
      <w:pPr>
        <w:spacing w:line="247" w:lineRule="auto"/>
        <w:ind w:right="40"/>
        <w:rPr>
          <w:rFonts w:ascii="Lato" w:hAnsi="Lato"/>
          <w:color w:val="000000" w:themeColor="text1"/>
          <w:sz w:val="24"/>
          <w:szCs w:val="24"/>
        </w:rPr>
      </w:pPr>
      <w:r w:rsidRPr="0060384B">
        <w:rPr>
          <w:rFonts w:ascii="Lato" w:hAnsi="Lato"/>
          <w:color w:val="000000" w:themeColor="text1"/>
          <w:sz w:val="24"/>
          <w:szCs w:val="24"/>
        </w:rPr>
        <w:t>Hendrie HC, Smith-Gamble V, Lane KA, Purnell C, Clark DO, Gao S. The association of early l</w:t>
      </w:r>
      <w:r w:rsidRPr="0060384B">
        <w:rPr>
          <w:rFonts w:ascii="Lato" w:hAnsi="Lato"/>
          <w:color w:val="000000" w:themeColor="text1"/>
          <w:sz w:val="24"/>
          <w:szCs w:val="24"/>
        </w:rPr>
        <w:t xml:space="preserve">ife factors and declining incidence rates of dementia in an elderly population of African Americans. </w:t>
      </w:r>
      <w:r w:rsidRPr="0060384B">
        <w:rPr>
          <w:rFonts w:ascii="Lato" w:hAnsi="Lato"/>
          <w:color w:val="000000" w:themeColor="text1"/>
          <w:sz w:val="24"/>
          <w:szCs w:val="24"/>
        </w:rPr>
        <w:t xml:space="preserve">The Journals of Gerontology Series B </w:t>
      </w:r>
      <w:r w:rsidRPr="0060384B">
        <w:rPr>
          <w:rFonts w:ascii="Lato" w:hAnsi="Lato"/>
          <w:color w:val="000000" w:themeColor="text1"/>
          <w:sz w:val="24"/>
          <w:szCs w:val="24"/>
        </w:rPr>
        <w:t>2018;73(1):S82-S89.</w:t>
      </w:r>
      <w:r w:rsidRPr="0060384B">
        <w:rPr>
          <w:rFonts w:ascii="Lato" w:hAnsi="Lato"/>
          <w:color w:val="000000" w:themeColor="text1"/>
          <w:sz w:val="24"/>
          <w:szCs w:val="24"/>
        </w:rPr>
        <w:t xml:space="preserve"> </w:t>
      </w:r>
      <w:hyperlink r:id="rId277" w:history="1">
        <w:r w:rsidRPr="0060384B">
          <w:rPr>
            <w:rFonts w:ascii="Lato" w:hAnsi="Lato"/>
            <w:color w:val="000000" w:themeColor="text1"/>
            <w:sz w:val="24"/>
            <w:szCs w:val="24"/>
          </w:rPr>
          <w:t>https://www.ncbi.nlm.nih.gov/pubmed/29</w:t>
        </w:r>
        <w:r w:rsidRPr="0060384B">
          <w:rPr>
            <w:rFonts w:ascii="Lato" w:hAnsi="Lato"/>
            <w:color w:val="000000" w:themeColor="text1"/>
            <w:sz w:val="24"/>
            <w:szCs w:val="24"/>
          </w:rPr>
          <w:t>669098</w:t>
        </w:r>
      </w:hyperlink>
    </w:p>
    <w:p w14:paraId="2D896E3E" w14:textId="77777777" w:rsidR="00000000" w:rsidRPr="0060384B" w:rsidRDefault="00CA5F6F">
      <w:pPr>
        <w:spacing w:line="247" w:lineRule="auto"/>
        <w:ind w:right="4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0C56FBCC" w14:textId="77777777" w:rsidR="00000000" w:rsidRPr="0060384B" w:rsidRDefault="00CA5F6F">
      <w:pPr>
        <w:spacing w:line="391"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758094B0" w14:textId="77777777">
        <w:trPr>
          <w:trHeight w:val="245"/>
        </w:trPr>
        <w:tc>
          <w:tcPr>
            <w:tcW w:w="6540" w:type="dxa"/>
            <w:shd w:val="clear" w:color="auto" w:fill="auto"/>
            <w:vAlign w:val="bottom"/>
          </w:tcPr>
          <w:p w14:paraId="0006683A"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10D92582"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72</w:t>
            </w:r>
          </w:p>
        </w:tc>
      </w:tr>
      <w:tr w:rsidR="00000000" w:rsidRPr="0060384B" w14:paraId="4CA4D6A8" w14:textId="77777777">
        <w:trPr>
          <w:trHeight w:val="258"/>
        </w:trPr>
        <w:tc>
          <w:tcPr>
            <w:tcW w:w="6540" w:type="dxa"/>
            <w:shd w:val="clear" w:color="auto" w:fill="auto"/>
            <w:vAlign w:val="bottom"/>
          </w:tcPr>
          <w:p w14:paraId="60D50EBA"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68A2E7D5" w14:textId="77777777" w:rsidR="00000000" w:rsidRPr="0060384B" w:rsidRDefault="00CA5F6F">
            <w:pPr>
              <w:spacing w:line="0" w:lineRule="atLeast"/>
              <w:rPr>
                <w:rFonts w:ascii="Lato" w:eastAsia="Times New Roman" w:hAnsi="Lato"/>
                <w:color w:val="000000" w:themeColor="text1"/>
                <w:sz w:val="24"/>
                <w:szCs w:val="24"/>
              </w:rPr>
            </w:pPr>
          </w:p>
        </w:tc>
      </w:tr>
    </w:tbl>
    <w:p w14:paraId="6ACBC3AB"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261E72C1" w14:textId="77777777" w:rsidR="00000000" w:rsidRPr="0060384B" w:rsidRDefault="00CA5F6F">
      <w:pPr>
        <w:spacing w:line="0" w:lineRule="atLeast"/>
        <w:rPr>
          <w:rFonts w:ascii="Lato" w:hAnsi="Lato"/>
          <w:color w:val="000000" w:themeColor="text1"/>
          <w:sz w:val="24"/>
          <w:szCs w:val="24"/>
        </w:rPr>
      </w:pPr>
      <w:bookmarkStart w:id="75" w:name="page76"/>
      <w:bookmarkEnd w:id="75"/>
      <w:r w:rsidRPr="0060384B">
        <w:rPr>
          <w:rFonts w:ascii="Lato" w:hAnsi="Lato"/>
          <w:color w:val="000000" w:themeColor="text1"/>
          <w:sz w:val="24"/>
          <w:szCs w:val="24"/>
        </w:rPr>
        <w:lastRenderedPageBreak/>
        <w:t xml:space="preserve">Heron M. Deaths: Leading causes for 2016. </w:t>
      </w:r>
      <w:r w:rsidRPr="0060384B">
        <w:rPr>
          <w:rFonts w:ascii="Lato" w:hAnsi="Lato"/>
          <w:color w:val="000000" w:themeColor="text1"/>
          <w:sz w:val="24"/>
          <w:szCs w:val="24"/>
        </w:rPr>
        <w:t>National Vital Statistics Reports</w:t>
      </w:r>
      <w:r w:rsidRPr="0060384B">
        <w:rPr>
          <w:rFonts w:ascii="Lato" w:hAnsi="Lato"/>
          <w:color w:val="000000" w:themeColor="text1"/>
          <w:sz w:val="24"/>
          <w:szCs w:val="24"/>
        </w:rPr>
        <w:t xml:space="preserve"> 2018;67(6). Centers</w:t>
      </w:r>
    </w:p>
    <w:p w14:paraId="792524DC"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for Disease Control and Prevention.</w:t>
      </w:r>
    </w:p>
    <w:p w14:paraId="21040874" w14:textId="77777777" w:rsidR="00000000" w:rsidRPr="0060384B" w:rsidRDefault="00CA5F6F">
      <w:pPr>
        <w:spacing w:line="0" w:lineRule="atLeast"/>
        <w:rPr>
          <w:rFonts w:ascii="Lato" w:hAnsi="Lato"/>
          <w:color w:val="000000" w:themeColor="text1"/>
          <w:sz w:val="24"/>
          <w:szCs w:val="24"/>
        </w:rPr>
      </w:pPr>
      <w:hyperlink r:id="rId278" w:history="1">
        <w:r w:rsidRPr="0060384B">
          <w:rPr>
            <w:rFonts w:ascii="Lato" w:hAnsi="Lato"/>
            <w:color w:val="000000" w:themeColor="text1"/>
            <w:sz w:val="24"/>
            <w:szCs w:val="24"/>
          </w:rPr>
          <w:t>https://www.cdc.gov/nchs/data/nvsr/nvsr67/nvsr67_06.pdf</w:t>
        </w:r>
      </w:hyperlink>
    </w:p>
    <w:p w14:paraId="32C51FC9" w14:textId="77777777" w:rsidR="00000000" w:rsidRPr="0060384B" w:rsidRDefault="00CA5F6F">
      <w:pPr>
        <w:spacing w:line="281" w:lineRule="exact"/>
        <w:rPr>
          <w:rFonts w:ascii="Lato" w:eastAsia="Times New Roman" w:hAnsi="Lato"/>
          <w:color w:val="000000" w:themeColor="text1"/>
          <w:sz w:val="24"/>
          <w:szCs w:val="24"/>
        </w:rPr>
      </w:pPr>
    </w:p>
    <w:p w14:paraId="4F612D19" w14:textId="77777777" w:rsidR="00000000" w:rsidRPr="0060384B" w:rsidRDefault="00CA5F6F">
      <w:pPr>
        <w:spacing w:line="251" w:lineRule="auto"/>
        <w:ind w:right="20"/>
        <w:rPr>
          <w:rFonts w:ascii="Lato" w:hAnsi="Lato"/>
          <w:color w:val="000000" w:themeColor="text1"/>
          <w:sz w:val="24"/>
          <w:szCs w:val="24"/>
        </w:rPr>
      </w:pPr>
      <w:r w:rsidRPr="0060384B">
        <w:rPr>
          <w:rFonts w:ascii="Lato" w:hAnsi="Lato"/>
          <w:color w:val="000000" w:themeColor="text1"/>
          <w:sz w:val="24"/>
          <w:szCs w:val="24"/>
        </w:rPr>
        <w:t xml:space="preserve">Holth JK, Fritschi SK, Wang C, Pedersen NP, Cirrito JR, Mahan TE. The sleep-wake cycle regulates brain interstitial fluid tau in mice and CSF tau in humans. </w:t>
      </w:r>
      <w:r w:rsidRPr="0060384B">
        <w:rPr>
          <w:rFonts w:ascii="Lato" w:hAnsi="Lato"/>
          <w:color w:val="000000" w:themeColor="text1"/>
          <w:sz w:val="24"/>
          <w:szCs w:val="24"/>
        </w:rPr>
        <w:t>Science</w:t>
      </w:r>
      <w:r w:rsidRPr="0060384B">
        <w:rPr>
          <w:rFonts w:ascii="Lato" w:hAnsi="Lato"/>
          <w:color w:val="000000" w:themeColor="text1"/>
          <w:sz w:val="24"/>
          <w:szCs w:val="24"/>
        </w:rPr>
        <w:t xml:space="preserve"> 2</w:t>
      </w:r>
      <w:r w:rsidRPr="0060384B">
        <w:rPr>
          <w:rFonts w:ascii="Lato" w:hAnsi="Lato"/>
          <w:color w:val="000000" w:themeColor="text1"/>
          <w:sz w:val="24"/>
          <w:szCs w:val="24"/>
        </w:rPr>
        <w:t xml:space="preserve">019;363(6429):880-884. </w:t>
      </w:r>
      <w:hyperlink r:id="rId279" w:history="1">
        <w:r w:rsidRPr="0060384B">
          <w:rPr>
            <w:rFonts w:ascii="Lato" w:hAnsi="Lato"/>
            <w:color w:val="000000" w:themeColor="text1"/>
            <w:sz w:val="24"/>
            <w:szCs w:val="24"/>
          </w:rPr>
          <w:t>https://www.ncbi.nlm.nih.gov/pubmed/30679382</w:t>
        </w:r>
      </w:hyperlink>
    </w:p>
    <w:p w14:paraId="5E0BF212" w14:textId="77777777" w:rsidR="00000000" w:rsidRPr="0060384B" w:rsidRDefault="00CA5F6F">
      <w:pPr>
        <w:spacing w:line="240" w:lineRule="exact"/>
        <w:rPr>
          <w:rFonts w:ascii="Lato" w:eastAsia="Times New Roman" w:hAnsi="Lato"/>
          <w:color w:val="000000" w:themeColor="text1"/>
          <w:sz w:val="24"/>
          <w:szCs w:val="24"/>
        </w:rPr>
      </w:pPr>
    </w:p>
    <w:p w14:paraId="0B527C27"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Hunter JC, Handing EP, Casanova R, Kuchibhatla M, Lutz MW, Saldana S, et al. Neighborhoods,</w:t>
      </w:r>
    </w:p>
    <w:p w14:paraId="76718EF3"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sleep quality, and cognitive decli</w:t>
      </w:r>
      <w:r w:rsidRPr="0060384B">
        <w:rPr>
          <w:rFonts w:ascii="Lato" w:hAnsi="Lato"/>
          <w:color w:val="000000" w:themeColor="text1"/>
          <w:sz w:val="24"/>
          <w:szCs w:val="24"/>
        </w:rPr>
        <w:t>ne: Does where you live and how well you sleep matter?</w:t>
      </w:r>
    </w:p>
    <w:p w14:paraId="7D85F59D"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Alzheimer</w:t>
      </w:r>
      <w:r w:rsidRPr="0060384B">
        <w:rPr>
          <w:rFonts w:ascii="Lato" w:hAnsi="Lato"/>
          <w:color w:val="000000" w:themeColor="text1"/>
          <w:sz w:val="24"/>
          <w:szCs w:val="24"/>
        </w:rPr>
        <w:t xml:space="preserve">’s &amp; Dementia </w:t>
      </w:r>
      <w:r w:rsidRPr="0060384B">
        <w:rPr>
          <w:rFonts w:ascii="Lato" w:hAnsi="Lato"/>
          <w:color w:val="000000" w:themeColor="text1"/>
          <w:sz w:val="24"/>
          <w:szCs w:val="24"/>
        </w:rPr>
        <w:t>2018;14(4):454-461.</w:t>
      </w:r>
    </w:p>
    <w:p w14:paraId="172C7343" w14:textId="77777777" w:rsidR="00000000" w:rsidRPr="0060384B" w:rsidRDefault="00CA5F6F">
      <w:pPr>
        <w:spacing w:line="0" w:lineRule="atLeast"/>
        <w:rPr>
          <w:rFonts w:ascii="Lato" w:hAnsi="Lato"/>
          <w:color w:val="000000" w:themeColor="text1"/>
          <w:sz w:val="24"/>
          <w:szCs w:val="24"/>
        </w:rPr>
      </w:pPr>
      <w:hyperlink r:id="rId280" w:history="1">
        <w:r w:rsidRPr="0060384B">
          <w:rPr>
            <w:rFonts w:ascii="Lato" w:hAnsi="Lato"/>
            <w:color w:val="000000" w:themeColor="text1"/>
            <w:sz w:val="24"/>
            <w:szCs w:val="24"/>
          </w:rPr>
          <w:t>https://www.ncbi.nlm.nih.gov/pubmed/29396109</w:t>
        </w:r>
      </w:hyperlink>
    </w:p>
    <w:p w14:paraId="1F4E821F" w14:textId="77777777" w:rsidR="00000000" w:rsidRPr="0060384B" w:rsidRDefault="00CA5F6F">
      <w:pPr>
        <w:spacing w:line="281" w:lineRule="exact"/>
        <w:rPr>
          <w:rFonts w:ascii="Lato" w:eastAsia="Times New Roman" w:hAnsi="Lato"/>
          <w:color w:val="000000" w:themeColor="text1"/>
          <w:sz w:val="24"/>
          <w:szCs w:val="24"/>
        </w:rPr>
      </w:pPr>
    </w:p>
    <w:p w14:paraId="21E29C41" w14:textId="77777777" w:rsidR="00000000" w:rsidRPr="0060384B" w:rsidRDefault="00CA5F6F">
      <w:pPr>
        <w:spacing w:line="251" w:lineRule="auto"/>
        <w:ind w:right="360"/>
        <w:jc w:val="both"/>
        <w:rPr>
          <w:rFonts w:ascii="Lato" w:hAnsi="Lato"/>
          <w:color w:val="000000" w:themeColor="text1"/>
          <w:sz w:val="24"/>
          <w:szCs w:val="24"/>
        </w:rPr>
      </w:pPr>
      <w:r w:rsidRPr="0060384B">
        <w:rPr>
          <w:rFonts w:ascii="Lato" w:hAnsi="Lato"/>
          <w:color w:val="000000" w:themeColor="text1"/>
          <w:sz w:val="24"/>
          <w:szCs w:val="24"/>
        </w:rPr>
        <w:t>Jack CR, Bennett DA, Blennow K, Carrillo MC, Dunn B</w:t>
      </w:r>
      <w:r w:rsidRPr="0060384B">
        <w:rPr>
          <w:rFonts w:ascii="Lato" w:hAnsi="Lato"/>
          <w:color w:val="000000" w:themeColor="text1"/>
          <w:sz w:val="24"/>
          <w:szCs w:val="24"/>
        </w:rPr>
        <w:t xml:space="preserve">, Haeberlein SB, et al. NIA -AA Research Framework: Toward a biological definition of Alzheimer's disease. </w:t>
      </w:r>
      <w:r w:rsidRPr="0060384B">
        <w:rPr>
          <w:rFonts w:ascii="Lato" w:hAnsi="Lato"/>
          <w:color w:val="000000" w:themeColor="text1"/>
          <w:sz w:val="24"/>
          <w:szCs w:val="24"/>
        </w:rPr>
        <w:t>Alzheimer</w:t>
      </w:r>
      <w:r w:rsidRPr="0060384B">
        <w:rPr>
          <w:rFonts w:ascii="Lato" w:hAnsi="Lato"/>
          <w:color w:val="000000" w:themeColor="text1"/>
          <w:sz w:val="24"/>
          <w:szCs w:val="24"/>
        </w:rPr>
        <w:t>’s and Dementia</w:t>
      </w:r>
      <w:r w:rsidRPr="0060384B">
        <w:rPr>
          <w:rFonts w:ascii="Lato" w:hAnsi="Lato"/>
          <w:color w:val="000000" w:themeColor="text1"/>
          <w:sz w:val="24"/>
          <w:szCs w:val="24"/>
        </w:rPr>
        <w:t xml:space="preserve"> 2018;14(4):535-562. </w:t>
      </w:r>
      <w:r w:rsidRPr="0060384B">
        <w:rPr>
          <w:rFonts w:ascii="Lato" w:hAnsi="Lato"/>
          <w:color w:val="000000" w:themeColor="text1"/>
          <w:sz w:val="24"/>
          <w:szCs w:val="24"/>
        </w:rPr>
        <w:t>https://www.ncbi.nlm.nih.gov/pubmed/29653606</w:t>
      </w:r>
    </w:p>
    <w:p w14:paraId="0D913DE9" w14:textId="77777777" w:rsidR="00000000" w:rsidRPr="0060384B" w:rsidRDefault="00CA5F6F">
      <w:pPr>
        <w:spacing w:line="240" w:lineRule="exact"/>
        <w:rPr>
          <w:rFonts w:ascii="Lato" w:eastAsia="Times New Roman" w:hAnsi="Lato"/>
          <w:color w:val="000000" w:themeColor="text1"/>
          <w:sz w:val="24"/>
          <w:szCs w:val="24"/>
        </w:rPr>
      </w:pPr>
    </w:p>
    <w:p w14:paraId="1800D463" w14:textId="77777777" w:rsidR="00000000" w:rsidRPr="0060384B" w:rsidRDefault="00CA5F6F">
      <w:pPr>
        <w:spacing w:line="247" w:lineRule="auto"/>
        <w:ind w:right="20"/>
        <w:rPr>
          <w:rFonts w:ascii="Lato" w:hAnsi="Lato"/>
          <w:color w:val="000000" w:themeColor="text1"/>
          <w:sz w:val="24"/>
          <w:szCs w:val="24"/>
        </w:rPr>
      </w:pPr>
      <w:r w:rsidRPr="0060384B">
        <w:rPr>
          <w:rFonts w:ascii="Lato" w:hAnsi="Lato"/>
          <w:color w:val="000000" w:themeColor="text1"/>
          <w:sz w:val="24"/>
          <w:szCs w:val="24"/>
        </w:rPr>
        <w:t xml:space="preserve">Jian X, Satizabal CL, Smith AV, Wittfeld K, Bis JC, Smith </w:t>
      </w:r>
      <w:r w:rsidRPr="0060384B">
        <w:rPr>
          <w:rFonts w:ascii="Lato" w:hAnsi="Lato"/>
          <w:color w:val="000000" w:themeColor="text1"/>
          <w:sz w:val="24"/>
          <w:szCs w:val="24"/>
        </w:rPr>
        <w:t xml:space="preserve">JA, et al. Exome chip analysis identifies low-frequency and rare variants in MRPL38 for white matter hyperintensities on brain magnetic resonance imaging. </w:t>
      </w:r>
      <w:r w:rsidRPr="0060384B">
        <w:rPr>
          <w:rFonts w:ascii="Lato" w:hAnsi="Lato"/>
          <w:color w:val="000000" w:themeColor="text1"/>
          <w:sz w:val="24"/>
          <w:szCs w:val="24"/>
        </w:rPr>
        <w:t>Stroke</w:t>
      </w:r>
      <w:r w:rsidRPr="0060384B">
        <w:rPr>
          <w:rFonts w:ascii="Lato" w:hAnsi="Lato"/>
          <w:color w:val="000000" w:themeColor="text1"/>
          <w:sz w:val="24"/>
          <w:szCs w:val="24"/>
        </w:rPr>
        <w:t xml:space="preserve"> 2018;49(8):1812-1819. </w:t>
      </w:r>
      <w:hyperlink r:id="rId281" w:history="1">
        <w:r w:rsidRPr="0060384B">
          <w:rPr>
            <w:rFonts w:ascii="Lato" w:hAnsi="Lato"/>
            <w:color w:val="000000" w:themeColor="text1"/>
            <w:sz w:val="24"/>
            <w:szCs w:val="24"/>
          </w:rPr>
          <w:t>https://www.</w:t>
        </w:r>
        <w:r w:rsidRPr="0060384B">
          <w:rPr>
            <w:rFonts w:ascii="Lato" w:hAnsi="Lato"/>
            <w:color w:val="000000" w:themeColor="text1"/>
            <w:sz w:val="24"/>
            <w:szCs w:val="24"/>
          </w:rPr>
          <w:t>ncbi.nlm.nih.gov/pubmed/30002152</w:t>
        </w:r>
      </w:hyperlink>
    </w:p>
    <w:p w14:paraId="72E08B0A" w14:textId="77777777" w:rsidR="00000000" w:rsidRPr="0060384B" w:rsidRDefault="00CA5F6F">
      <w:pPr>
        <w:spacing w:line="246" w:lineRule="exact"/>
        <w:rPr>
          <w:rFonts w:ascii="Lato" w:eastAsia="Times New Roman" w:hAnsi="Lato"/>
          <w:color w:val="000000" w:themeColor="text1"/>
          <w:sz w:val="24"/>
          <w:szCs w:val="24"/>
        </w:rPr>
      </w:pPr>
    </w:p>
    <w:p w14:paraId="2B42FDDD" w14:textId="77777777" w:rsidR="00000000" w:rsidRPr="0060384B" w:rsidRDefault="00CA5F6F">
      <w:pPr>
        <w:spacing w:line="251" w:lineRule="auto"/>
        <w:ind w:right="380"/>
        <w:rPr>
          <w:rFonts w:ascii="Lato" w:hAnsi="Lato"/>
          <w:color w:val="000000" w:themeColor="text1"/>
          <w:sz w:val="24"/>
          <w:szCs w:val="24"/>
        </w:rPr>
      </w:pPr>
      <w:r w:rsidRPr="0060384B">
        <w:rPr>
          <w:rFonts w:ascii="Lato" w:hAnsi="Lato"/>
          <w:color w:val="000000" w:themeColor="text1"/>
          <w:sz w:val="24"/>
          <w:szCs w:val="24"/>
        </w:rPr>
        <w:t xml:space="preserve">Kasper JD, Freedman VA, Spillman BC, Wolff JL. The disproportionate impact of dementia on family and unpaid caregiving to older adults. </w:t>
      </w:r>
      <w:r w:rsidRPr="0060384B">
        <w:rPr>
          <w:rFonts w:ascii="Lato" w:hAnsi="Lato"/>
          <w:color w:val="000000" w:themeColor="text1"/>
          <w:sz w:val="24"/>
          <w:szCs w:val="24"/>
        </w:rPr>
        <w:t>Health Affairs</w:t>
      </w:r>
      <w:r w:rsidRPr="0060384B">
        <w:rPr>
          <w:rFonts w:ascii="Lato" w:hAnsi="Lato"/>
          <w:color w:val="000000" w:themeColor="text1"/>
          <w:sz w:val="24"/>
          <w:szCs w:val="24"/>
        </w:rPr>
        <w:t xml:space="preserve"> 2015;34(10):1642-1649. </w:t>
      </w:r>
      <w:hyperlink r:id="rId282" w:history="1">
        <w:r w:rsidRPr="0060384B">
          <w:rPr>
            <w:rFonts w:ascii="Lato" w:hAnsi="Lato"/>
            <w:color w:val="000000" w:themeColor="text1"/>
            <w:sz w:val="24"/>
            <w:szCs w:val="24"/>
          </w:rPr>
          <w:t>https://www.ncbi.nlm.nih.gov/pubmed/26438739</w:t>
        </w:r>
      </w:hyperlink>
    </w:p>
    <w:p w14:paraId="4411CB3F" w14:textId="77777777" w:rsidR="00000000" w:rsidRPr="0060384B" w:rsidRDefault="00CA5F6F">
      <w:pPr>
        <w:spacing w:line="238" w:lineRule="exact"/>
        <w:rPr>
          <w:rFonts w:ascii="Lato" w:eastAsia="Times New Roman" w:hAnsi="Lato"/>
          <w:color w:val="000000" w:themeColor="text1"/>
          <w:sz w:val="24"/>
          <w:szCs w:val="24"/>
        </w:rPr>
      </w:pPr>
    </w:p>
    <w:p w14:paraId="79AF000F" w14:textId="77777777" w:rsidR="00000000" w:rsidRPr="0060384B" w:rsidRDefault="00CA5F6F">
      <w:pPr>
        <w:spacing w:line="252" w:lineRule="auto"/>
        <w:ind w:right="400"/>
        <w:rPr>
          <w:rFonts w:ascii="Lato" w:hAnsi="Lato"/>
          <w:color w:val="000000" w:themeColor="text1"/>
          <w:sz w:val="24"/>
          <w:szCs w:val="24"/>
        </w:rPr>
      </w:pPr>
      <w:r w:rsidRPr="0060384B">
        <w:rPr>
          <w:rFonts w:ascii="Lato" w:hAnsi="Lato"/>
          <w:color w:val="000000" w:themeColor="text1"/>
          <w:sz w:val="24"/>
          <w:szCs w:val="24"/>
        </w:rPr>
        <w:t xml:space="preserve">Kelley AS, McGarry K, Gorges R, Skinner JS. The burden of health care costs for patients with dementia in the last 5 years of life. </w:t>
      </w:r>
      <w:r w:rsidRPr="0060384B">
        <w:rPr>
          <w:rFonts w:ascii="Lato" w:hAnsi="Lato"/>
          <w:color w:val="000000" w:themeColor="text1"/>
          <w:sz w:val="24"/>
          <w:szCs w:val="24"/>
        </w:rPr>
        <w:t>Annals of Internal Medicine</w:t>
      </w:r>
      <w:r w:rsidRPr="0060384B">
        <w:rPr>
          <w:rFonts w:ascii="Lato" w:hAnsi="Lato"/>
          <w:color w:val="000000" w:themeColor="text1"/>
          <w:sz w:val="24"/>
          <w:szCs w:val="24"/>
        </w:rPr>
        <w:t xml:space="preserve"> 2015;163(10):729-736. </w:t>
      </w:r>
      <w:hyperlink r:id="rId283" w:history="1">
        <w:r w:rsidRPr="0060384B">
          <w:rPr>
            <w:rFonts w:ascii="Lato" w:hAnsi="Lato"/>
            <w:color w:val="000000" w:themeColor="text1"/>
            <w:sz w:val="24"/>
            <w:szCs w:val="24"/>
          </w:rPr>
          <w:t>https://www.ncbi.nlm.nih.gov/pubmed/26502320</w:t>
        </w:r>
      </w:hyperlink>
    </w:p>
    <w:p w14:paraId="49A226ED" w14:textId="77777777" w:rsidR="00000000" w:rsidRPr="0060384B" w:rsidRDefault="00CA5F6F">
      <w:pPr>
        <w:spacing w:line="236" w:lineRule="exact"/>
        <w:rPr>
          <w:rFonts w:ascii="Lato" w:eastAsia="Times New Roman" w:hAnsi="Lato"/>
          <w:color w:val="000000" w:themeColor="text1"/>
          <w:sz w:val="24"/>
          <w:szCs w:val="24"/>
        </w:rPr>
      </w:pPr>
    </w:p>
    <w:p w14:paraId="6CBC2617" w14:textId="77777777" w:rsidR="00000000" w:rsidRPr="0060384B" w:rsidRDefault="00CA5F6F">
      <w:pPr>
        <w:spacing w:line="251" w:lineRule="auto"/>
        <w:ind w:right="440"/>
        <w:rPr>
          <w:rFonts w:ascii="Lato" w:hAnsi="Lato"/>
          <w:color w:val="000000" w:themeColor="text1"/>
          <w:sz w:val="24"/>
          <w:szCs w:val="24"/>
        </w:rPr>
      </w:pPr>
      <w:r w:rsidRPr="0060384B">
        <w:rPr>
          <w:rFonts w:ascii="Lato" w:hAnsi="Lato"/>
          <w:color w:val="000000" w:themeColor="text1"/>
          <w:sz w:val="24"/>
          <w:szCs w:val="24"/>
        </w:rPr>
        <w:t>Kress GJ, Liao F, Dimitry J, Cedeno MR, FitzGerald GA, Holtzman DM, et al. Regulation of amyloid-</w:t>
      </w:r>
      <w:r w:rsidRPr="0060384B">
        <w:rPr>
          <w:rFonts w:cs="Calibri"/>
          <w:color w:val="000000" w:themeColor="text1"/>
          <w:sz w:val="24"/>
          <w:szCs w:val="24"/>
        </w:rPr>
        <w:t>β</w:t>
      </w:r>
      <w:r w:rsidRPr="0060384B">
        <w:rPr>
          <w:rFonts w:ascii="Lato" w:hAnsi="Lato"/>
          <w:color w:val="000000" w:themeColor="text1"/>
          <w:sz w:val="24"/>
          <w:szCs w:val="24"/>
        </w:rPr>
        <w:t xml:space="preserve"> dynamics and pathology by the circadian clock.</w:t>
      </w:r>
      <w:r w:rsidRPr="0060384B">
        <w:rPr>
          <w:rFonts w:ascii="Lato" w:hAnsi="Lato"/>
          <w:color w:val="000000" w:themeColor="text1"/>
          <w:sz w:val="24"/>
          <w:szCs w:val="24"/>
        </w:rPr>
        <w:t xml:space="preserve"> </w:t>
      </w:r>
      <w:r w:rsidRPr="0060384B">
        <w:rPr>
          <w:rFonts w:ascii="Lato" w:hAnsi="Lato"/>
          <w:color w:val="000000" w:themeColor="text1"/>
          <w:sz w:val="24"/>
          <w:szCs w:val="24"/>
        </w:rPr>
        <w:t>Journal of Experi</w:t>
      </w:r>
      <w:r w:rsidRPr="0060384B">
        <w:rPr>
          <w:rFonts w:ascii="Lato" w:hAnsi="Lato"/>
          <w:color w:val="000000" w:themeColor="text1"/>
          <w:sz w:val="24"/>
          <w:szCs w:val="24"/>
        </w:rPr>
        <w:t>mental Medicine</w:t>
      </w:r>
      <w:r w:rsidRPr="0060384B">
        <w:rPr>
          <w:rFonts w:ascii="Lato" w:hAnsi="Lato"/>
          <w:color w:val="000000" w:themeColor="text1"/>
          <w:sz w:val="24"/>
          <w:szCs w:val="24"/>
        </w:rPr>
        <w:t xml:space="preserve"> 2018;215(4):1059-1068. </w:t>
      </w:r>
      <w:hyperlink r:id="rId284" w:history="1">
        <w:r w:rsidRPr="0060384B">
          <w:rPr>
            <w:rFonts w:ascii="Lato" w:hAnsi="Lato"/>
            <w:color w:val="000000" w:themeColor="text1"/>
            <w:sz w:val="24"/>
            <w:szCs w:val="24"/>
          </w:rPr>
          <w:t>https://www.ncbi.nlm.nih.gov/pubmed/29382695</w:t>
        </w:r>
      </w:hyperlink>
    </w:p>
    <w:p w14:paraId="090E31F3" w14:textId="77777777" w:rsidR="00000000" w:rsidRPr="0060384B" w:rsidRDefault="00CA5F6F">
      <w:pPr>
        <w:spacing w:line="240" w:lineRule="exact"/>
        <w:rPr>
          <w:rFonts w:ascii="Lato" w:eastAsia="Times New Roman" w:hAnsi="Lato"/>
          <w:color w:val="000000" w:themeColor="text1"/>
          <w:sz w:val="24"/>
          <w:szCs w:val="24"/>
        </w:rPr>
      </w:pPr>
    </w:p>
    <w:p w14:paraId="009EF8D8" w14:textId="77777777" w:rsidR="00000000" w:rsidRPr="0060384B" w:rsidRDefault="00CA5F6F">
      <w:pPr>
        <w:spacing w:line="247" w:lineRule="auto"/>
        <w:rPr>
          <w:rFonts w:ascii="Lato" w:hAnsi="Lato"/>
          <w:color w:val="000000" w:themeColor="text1"/>
          <w:sz w:val="24"/>
          <w:szCs w:val="24"/>
        </w:rPr>
      </w:pPr>
      <w:r w:rsidRPr="0060384B">
        <w:rPr>
          <w:rFonts w:ascii="Lato" w:hAnsi="Lato"/>
          <w:color w:val="000000" w:themeColor="text1"/>
          <w:sz w:val="24"/>
          <w:szCs w:val="24"/>
        </w:rPr>
        <w:t>Kunkle BW, Grenier-Boley B, Sims R, Bis JC, Damotte V, Naj AC, et al. Genetic meta-analysis of diagnosed Alzhe</w:t>
      </w:r>
      <w:r w:rsidRPr="0060384B">
        <w:rPr>
          <w:rFonts w:ascii="Lato" w:hAnsi="Lato"/>
          <w:color w:val="000000" w:themeColor="text1"/>
          <w:sz w:val="24"/>
          <w:szCs w:val="24"/>
        </w:rPr>
        <w:t>imer</w:t>
      </w:r>
      <w:r w:rsidRPr="0060384B">
        <w:rPr>
          <w:rFonts w:ascii="Lato" w:hAnsi="Lato"/>
          <w:color w:val="000000" w:themeColor="text1"/>
          <w:sz w:val="24"/>
          <w:szCs w:val="24"/>
        </w:rPr>
        <w:t>’s disease identifies new risk loc</w:t>
      </w:r>
      <w:r w:rsidRPr="0060384B">
        <w:rPr>
          <w:rFonts w:ascii="Lato" w:hAnsi="Lato"/>
          <w:color w:val="000000" w:themeColor="text1"/>
          <w:sz w:val="24"/>
          <w:szCs w:val="24"/>
        </w:rPr>
        <w:t>i and implicates A</w:t>
      </w:r>
      <w:r w:rsidRPr="0060384B">
        <w:rPr>
          <w:rFonts w:cs="Calibri"/>
          <w:color w:val="000000" w:themeColor="text1"/>
          <w:sz w:val="24"/>
          <w:szCs w:val="24"/>
        </w:rPr>
        <w:t>β</w:t>
      </w:r>
      <w:r w:rsidRPr="0060384B">
        <w:rPr>
          <w:rFonts w:ascii="Lato" w:hAnsi="Lato"/>
          <w:color w:val="000000" w:themeColor="text1"/>
          <w:sz w:val="24"/>
          <w:szCs w:val="24"/>
        </w:rPr>
        <w:t>,</w:t>
      </w:r>
      <w:r w:rsidRPr="0060384B">
        <w:rPr>
          <w:rFonts w:ascii="Lato" w:hAnsi="Lato"/>
          <w:color w:val="000000" w:themeColor="text1"/>
          <w:sz w:val="24"/>
          <w:szCs w:val="24"/>
        </w:rPr>
        <w:t xml:space="preserve"> tau, immunity and lipid processing. </w:t>
      </w:r>
      <w:r w:rsidRPr="0060384B">
        <w:rPr>
          <w:rFonts w:ascii="Lato" w:hAnsi="Lato"/>
          <w:color w:val="000000" w:themeColor="text1"/>
          <w:sz w:val="24"/>
          <w:szCs w:val="24"/>
        </w:rPr>
        <w:t>Nature Genetics</w:t>
      </w:r>
      <w:r w:rsidRPr="0060384B">
        <w:rPr>
          <w:rFonts w:ascii="Lato" w:hAnsi="Lato"/>
          <w:color w:val="000000" w:themeColor="text1"/>
          <w:sz w:val="24"/>
          <w:szCs w:val="24"/>
        </w:rPr>
        <w:t xml:space="preserve"> 2019;51(3):414-430. </w:t>
      </w:r>
      <w:hyperlink r:id="rId285" w:history="1">
        <w:r w:rsidRPr="0060384B">
          <w:rPr>
            <w:rFonts w:ascii="Lato" w:hAnsi="Lato"/>
            <w:color w:val="000000" w:themeColor="text1"/>
            <w:sz w:val="24"/>
            <w:szCs w:val="24"/>
          </w:rPr>
          <w:t>https://www.ncbi.nlm.nih.gov/pubmed/30820047</w:t>
        </w:r>
      </w:hyperlink>
    </w:p>
    <w:p w14:paraId="6DBD2778" w14:textId="77777777" w:rsidR="00000000" w:rsidRPr="0060384B" w:rsidRDefault="00CA5F6F">
      <w:pPr>
        <w:spacing w:line="246" w:lineRule="exact"/>
        <w:rPr>
          <w:rFonts w:ascii="Lato" w:eastAsia="Times New Roman" w:hAnsi="Lato"/>
          <w:color w:val="000000" w:themeColor="text1"/>
          <w:sz w:val="24"/>
          <w:szCs w:val="24"/>
        </w:rPr>
      </w:pPr>
    </w:p>
    <w:p w14:paraId="0CA01EDC" w14:textId="77777777" w:rsidR="00000000" w:rsidRPr="0060384B" w:rsidRDefault="00CA5F6F">
      <w:pPr>
        <w:spacing w:line="262" w:lineRule="auto"/>
        <w:ind w:right="20"/>
        <w:rPr>
          <w:rFonts w:ascii="Lato" w:hAnsi="Lato"/>
          <w:color w:val="000000" w:themeColor="text1"/>
          <w:sz w:val="24"/>
          <w:szCs w:val="24"/>
        </w:rPr>
      </w:pPr>
      <w:r w:rsidRPr="0060384B">
        <w:rPr>
          <w:rFonts w:ascii="Lato" w:hAnsi="Lato"/>
          <w:color w:val="000000" w:themeColor="text1"/>
          <w:sz w:val="24"/>
          <w:szCs w:val="24"/>
        </w:rPr>
        <w:t>Larson EB, Yaffe K</w:t>
      </w:r>
      <w:r w:rsidRPr="0060384B">
        <w:rPr>
          <w:rFonts w:ascii="Lato" w:hAnsi="Lato"/>
          <w:color w:val="000000" w:themeColor="text1"/>
          <w:sz w:val="24"/>
          <w:szCs w:val="24"/>
        </w:rPr>
        <w:t xml:space="preserve">, Langa KM. New insights into the dementia epidemic. </w:t>
      </w:r>
      <w:r w:rsidRPr="0060384B">
        <w:rPr>
          <w:rFonts w:ascii="Lato" w:hAnsi="Lato"/>
          <w:color w:val="000000" w:themeColor="text1"/>
          <w:sz w:val="24"/>
          <w:szCs w:val="24"/>
        </w:rPr>
        <w:t>New England Journal of</w:t>
      </w:r>
      <w:r w:rsidRPr="0060384B">
        <w:rPr>
          <w:rFonts w:ascii="Lato" w:hAnsi="Lato"/>
          <w:color w:val="000000" w:themeColor="text1"/>
          <w:sz w:val="24"/>
          <w:szCs w:val="24"/>
        </w:rPr>
        <w:t xml:space="preserve"> </w:t>
      </w:r>
      <w:r w:rsidRPr="0060384B">
        <w:rPr>
          <w:rFonts w:ascii="Lato" w:hAnsi="Lato"/>
          <w:color w:val="000000" w:themeColor="text1"/>
          <w:sz w:val="24"/>
          <w:szCs w:val="24"/>
        </w:rPr>
        <w:t xml:space="preserve">Medicine </w:t>
      </w:r>
      <w:r w:rsidRPr="0060384B">
        <w:rPr>
          <w:rFonts w:ascii="Lato" w:hAnsi="Lato"/>
          <w:color w:val="000000" w:themeColor="text1"/>
          <w:sz w:val="24"/>
          <w:szCs w:val="24"/>
        </w:rPr>
        <w:t>2013;369(24):2275-2277.</w:t>
      </w:r>
      <w:r w:rsidRPr="0060384B">
        <w:rPr>
          <w:rFonts w:ascii="Lato" w:hAnsi="Lato"/>
          <w:color w:val="000000" w:themeColor="text1"/>
          <w:sz w:val="24"/>
          <w:szCs w:val="24"/>
        </w:rPr>
        <w:t xml:space="preserve"> </w:t>
      </w:r>
      <w:hyperlink r:id="rId286" w:history="1">
        <w:r w:rsidRPr="0060384B">
          <w:rPr>
            <w:rFonts w:ascii="Lato" w:hAnsi="Lato"/>
            <w:color w:val="000000" w:themeColor="text1"/>
            <w:sz w:val="24"/>
            <w:szCs w:val="24"/>
          </w:rPr>
          <w:t>https://www.ncbi.nlm.nih.gov/pmc/articles/PMC4130738</w:t>
        </w:r>
      </w:hyperlink>
    </w:p>
    <w:p w14:paraId="75CC8B1A" w14:textId="77777777" w:rsidR="00000000" w:rsidRPr="0060384B" w:rsidRDefault="00CA5F6F">
      <w:pPr>
        <w:spacing w:line="227" w:lineRule="exact"/>
        <w:rPr>
          <w:rFonts w:ascii="Lato" w:eastAsia="Times New Roman" w:hAnsi="Lato"/>
          <w:color w:val="000000" w:themeColor="text1"/>
          <w:sz w:val="24"/>
          <w:szCs w:val="24"/>
        </w:rPr>
      </w:pPr>
    </w:p>
    <w:p w14:paraId="43015297" w14:textId="77777777" w:rsidR="00000000" w:rsidRPr="0060384B" w:rsidRDefault="00CA5F6F">
      <w:pPr>
        <w:spacing w:line="251" w:lineRule="auto"/>
        <w:ind w:right="500"/>
        <w:rPr>
          <w:rFonts w:ascii="Lato" w:hAnsi="Lato"/>
          <w:color w:val="000000" w:themeColor="text1"/>
          <w:sz w:val="24"/>
          <w:szCs w:val="24"/>
        </w:rPr>
      </w:pPr>
      <w:r w:rsidRPr="0060384B">
        <w:rPr>
          <w:rFonts w:ascii="Lato" w:hAnsi="Lato"/>
          <w:color w:val="000000" w:themeColor="text1"/>
          <w:sz w:val="24"/>
          <w:szCs w:val="24"/>
        </w:rPr>
        <w:t>Lee SJ, Larson EB, Dubl</w:t>
      </w:r>
      <w:r w:rsidRPr="0060384B">
        <w:rPr>
          <w:rFonts w:ascii="Lato" w:hAnsi="Lato"/>
          <w:color w:val="000000" w:themeColor="text1"/>
          <w:sz w:val="24"/>
          <w:szCs w:val="24"/>
        </w:rPr>
        <w:t xml:space="preserve">in S, Walker R, Marcum Z, Barnes D. A cohort study of healthcare utilization in older adults with undiagnosed dementia. </w:t>
      </w:r>
      <w:r w:rsidRPr="0060384B">
        <w:rPr>
          <w:rFonts w:ascii="Lato" w:hAnsi="Lato"/>
          <w:color w:val="000000" w:themeColor="text1"/>
          <w:sz w:val="24"/>
          <w:szCs w:val="24"/>
        </w:rPr>
        <w:t xml:space="preserve">Journal of General </w:t>
      </w:r>
      <w:r w:rsidRPr="0060384B">
        <w:rPr>
          <w:rFonts w:ascii="Lato" w:hAnsi="Lato"/>
          <w:color w:val="000000" w:themeColor="text1"/>
          <w:sz w:val="24"/>
          <w:szCs w:val="24"/>
        </w:rPr>
        <w:lastRenderedPageBreak/>
        <w:t>Internal Medicine</w:t>
      </w:r>
      <w:r w:rsidRPr="0060384B">
        <w:rPr>
          <w:rFonts w:ascii="Lato" w:hAnsi="Lato"/>
          <w:color w:val="000000" w:themeColor="text1"/>
          <w:sz w:val="24"/>
          <w:szCs w:val="24"/>
        </w:rPr>
        <w:t xml:space="preserve"> 2018;33(1):13-15. </w:t>
      </w:r>
      <w:r w:rsidRPr="0060384B">
        <w:rPr>
          <w:rFonts w:ascii="Lato" w:hAnsi="Lato"/>
          <w:color w:val="000000" w:themeColor="text1"/>
          <w:sz w:val="24"/>
          <w:szCs w:val="24"/>
        </w:rPr>
        <w:t>https://www.ncbi.nlm.nih.gov/pubmed/28849435</w:t>
      </w:r>
    </w:p>
    <w:p w14:paraId="24CA454C" w14:textId="77777777" w:rsidR="00000000" w:rsidRPr="0060384B" w:rsidRDefault="00CA5F6F">
      <w:pPr>
        <w:spacing w:line="251" w:lineRule="auto"/>
        <w:ind w:right="50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7ED1314C" w14:textId="77777777" w:rsidR="00000000" w:rsidRPr="0060384B" w:rsidRDefault="00CA5F6F">
      <w:pPr>
        <w:spacing w:line="200" w:lineRule="exact"/>
        <w:rPr>
          <w:rFonts w:ascii="Lato" w:eastAsia="Times New Roman" w:hAnsi="Lato"/>
          <w:color w:val="000000" w:themeColor="text1"/>
          <w:sz w:val="24"/>
          <w:szCs w:val="24"/>
        </w:rPr>
      </w:pPr>
    </w:p>
    <w:p w14:paraId="3A5D35C2" w14:textId="77777777" w:rsidR="00000000" w:rsidRPr="0060384B" w:rsidRDefault="00CA5F6F">
      <w:pPr>
        <w:spacing w:line="200" w:lineRule="exact"/>
        <w:rPr>
          <w:rFonts w:ascii="Lato" w:eastAsia="Times New Roman" w:hAnsi="Lato"/>
          <w:color w:val="000000" w:themeColor="text1"/>
          <w:sz w:val="24"/>
          <w:szCs w:val="24"/>
        </w:rPr>
      </w:pPr>
    </w:p>
    <w:p w14:paraId="24E424C7" w14:textId="77777777" w:rsidR="00000000" w:rsidRPr="0060384B" w:rsidRDefault="00CA5F6F">
      <w:pPr>
        <w:spacing w:line="278"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7FD0AF10" w14:textId="77777777">
        <w:trPr>
          <w:trHeight w:val="245"/>
        </w:trPr>
        <w:tc>
          <w:tcPr>
            <w:tcW w:w="6540" w:type="dxa"/>
            <w:shd w:val="clear" w:color="auto" w:fill="auto"/>
            <w:vAlign w:val="bottom"/>
          </w:tcPr>
          <w:p w14:paraId="5F639CD7"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0B84C6F0"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73</w:t>
            </w:r>
          </w:p>
        </w:tc>
      </w:tr>
      <w:tr w:rsidR="00000000" w:rsidRPr="0060384B" w14:paraId="72C7936A" w14:textId="77777777">
        <w:trPr>
          <w:trHeight w:val="258"/>
        </w:trPr>
        <w:tc>
          <w:tcPr>
            <w:tcW w:w="6540" w:type="dxa"/>
            <w:shd w:val="clear" w:color="auto" w:fill="auto"/>
            <w:vAlign w:val="bottom"/>
          </w:tcPr>
          <w:p w14:paraId="03D8FCC4"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w:t>
            </w:r>
            <w:r w:rsidRPr="0060384B">
              <w:rPr>
                <w:rFonts w:ascii="Lato" w:hAnsi="Lato"/>
                <w:color w:val="000000" w:themeColor="text1"/>
                <w:sz w:val="24"/>
                <w:szCs w:val="24"/>
              </w:rPr>
              <w:t>ss Budget Proposal for Fiscal Year 2021</w:t>
            </w:r>
          </w:p>
        </w:tc>
        <w:tc>
          <w:tcPr>
            <w:tcW w:w="2820" w:type="dxa"/>
            <w:shd w:val="clear" w:color="auto" w:fill="auto"/>
            <w:vAlign w:val="bottom"/>
          </w:tcPr>
          <w:p w14:paraId="366599BC" w14:textId="77777777" w:rsidR="00000000" w:rsidRPr="0060384B" w:rsidRDefault="00CA5F6F">
            <w:pPr>
              <w:spacing w:line="0" w:lineRule="atLeast"/>
              <w:rPr>
                <w:rFonts w:ascii="Lato" w:eastAsia="Times New Roman" w:hAnsi="Lato"/>
                <w:color w:val="000000" w:themeColor="text1"/>
                <w:sz w:val="24"/>
                <w:szCs w:val="24"/>
              </w:rPr>
            </w:pPr>
          </w:p>
        </w:tc>
      </w:tr>
    </w:tbl>
    <w:p w14:paraId="6D6F4CB4"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61DE97B0" w14:textId="77777777" w:rsidR="00000000" w:rsidRPr="0060384B" w:rsidRDefault="00CA5F6F">
      <w:pPr>
        <w:spacing w:line="247" w:lineRule="auto"/>
        <w:ind w:right="580"/>
        <w:rPr>
          <w:rFonts w:ascii="Lato" w:hAnsi="Lato"/>
          <w:color w:val="000000" w:themeColor="text1"/>
          <w:sz w:val="24"/>
          <w:szCs w:val="24"/>
        </w:rPr>
      </w:pPr>
      <w:bookmarkStart w:id="76" w:name="page77"/>
      <w:bookmarkEnd w:id="76"/>
      <w:r w:rsidRPr="0060384B">
        <w:rPr>
          <w:rFonts w:ascii="Lato" w:hAnsi="Lato"/>
          <w:color w:val="000000" w:themeColor="text1"/>
          <w:sz w:val="24"/>
          <w:szCs w:val="24"/>
        </w:rPr>
        <w:lastRenderedPageBreak/>
        <w:t xml:space="preserve">Leggett A, Clarke P, Zivin K, McCammon RJ, Elliott MR, Langa KM. Recent improvements in cognitive functioning among older U.S. adults: How much does increasing educational attainment explain? </w:t>
      </w:r>
      <w:r w:rsidRPr="0060384B">
        <w:rPr>
          <w:rFonts w:ascii="Lato" w:hAnsi="Lato"/>
          <w:color w:val="000000" w:themeColor="text1"/>
          <w:sz w:val="24"/>
          <w:szCs w:val="24"/>
        </w:rPr>
        <w:t>The Journals of Geron</w:t>
      </w:r>
      <w:r w:rsidRPr="0060384B">
        <w:rPr>
          <w:rFonts w:ascii="Lato" w:hAnsi="Lato"/>
          <w:color w:val="000000" w:themeColor="text1"/>
          <w:sz w:val="24"/>
          <w:szCs w:val="24"/>
        </w:rPr>
        <w:t>tology Series B</w:t>
      </w:r>
      <w:r w:rsidRPr="0060384B">
        <w:rPr>
          <w:rFonts w:ascii="Lato" w:hAnsi="Lato"/>
          <w:color w:val="000000" w:themeColor="text1"/>
          <w:sz w:val="24"/>
          <w:szCs w:val="24"/>
        </w:rPr>
        <w:t xml:space="preserve"> 2019;74(3):536</w:t>
      </w:r>
      <w:r w:rsidRPr="0060384B">
        <w:rPr>
          <w:rFonts w:ascii="Lato" w:hAnsi="Lato"/>
          <w:color w:val="000000" w:themeColor="text1"/>
          <w:sz w:val="24"/>
          <w:szCs w:val="24"/>
        </w:rPr>
        <w:t xml:space="preserve">–545. </w:t>
      </w:r>
      <w:hyperlink r:id="rId287" w:history="1">
        <w:r w:rsidRPr="0060384B">
          <w:rPr>
            <w:rFonts w:ascii="Lato" w:hAnsi="Lato"/>
            <w:color w:val="000000" w:themeColor="text1"/>
            <w:sz w:val="24"/>
            <w:szCs w:val="24"/>
          </w:rPr>
          <w:t>https://www.ncbi.nlm.nih.gov/pubmed/28329815</w:t>
        </w:r>
      </w:hyperlink>
    </w:p>
    <w:p w14:paraId="336E3658" w14:textId="77777777" w:rsidR="00000000" w:rsidRPr="0060384B" w:rsidRDefault="00CA5F6F">
      <w:pPr>
        <w:spacing w:line="246" w:lineRule="exact"/>
        <w:rPr>
          <w:rFonts w:ascii="Lato" w:eastAsia="Times New Roman" w:hAnsi="Lato"/>
          <w:color w:val="000000" w:themeColor="text1"/>
          <w:sz w:val="24"/>
          <w:szCs w:val="24"/>
        </w:rPr>
      </w:pPr>
    </w:p>
    <w:p w14:paraId="2627AE07"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Lucey BP, McCullough A, Landsness EC, Toedebusch CD, McLeland JS, Zaza AM, et al. Reduced</w:t>
      </w:r>
    </w:p>
    <w:p w14:paraId="5B4C1723"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 xml:space="preserve">non-rapid eye movement </w:t>
      </w:r>
      <w:r w:rsidRPr="0060384B">
        <w:rPr>
          <w:rFonts w:ascii="Lato" w:hAnsi="Lato"/>
          <w:color w:val="000000" w:themeColor="text1"/>
          <w:sz w:val="24"/>
          <w:szCs w:val="24"/>
        </w:rPr>
        <w:t>sleep is associated with tau pathology in early Alzheimer</w:t>
      </w:r>
      <w:r w:rsidRPr="0060384B">
        <w:rPr>
          <w:rFonts w:ascii="Lato" w:hAnsi="Lato"/>
          <w:color w:val="000000" w:themeColor="text1"/>
          <w:sz w:val="24"/>
          <w:szCs w:val="24"/>
        </w:rPr>
        <w:t>’s disease.</w:t>
      </w:r>
    </w:p>
    <w:p w14:paraId="11207654"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 xml:space="preserve">Science Translational Medicine </w:t>
      </w:r>
      <w:r w:rsidRPr="0060384B">
        <w:rPr>
          <w:rFonts w:ascii="Lato" w:hAnsi="Lato"/>
          <w:color w:val="000000" w:themeColor="text1"/>
          <w:sz w:val="24"/>
          <w:szCs w:val="24"/>
        </w:rPr>
        <w:t>2019;11(474).</w:t>
      </w:r>
    </w:p>
    <w:p w14:paraId="25683B7A" w14:textId="77777777" w:rsidR="00000000" w:rsidRPr="0060384B" w:rsidRDefault="00CA5F6F">
      <w:pPr>
        <w:spacing w:line="0" w:lineRule="atLeast"/>
        <w:rPr>
          <w:rFonts w:ascii="Lato" w:hAnsi="Lato"/>
          <w:color w:val="000000" w:themeColor="text1"/>
          <w:sz w:val="24"/>
          <w:szCs w:val="24"/>
        </w:rPr>
      </w:pPr>
      <w:hyperlink r:id="rId288" w:history="1">
        <w:r w:rsidRPr="0060384B">
          <w:rPr>
            <w:rFonts w:ascii="Lato" w:hAnsi="Lato"/>
            <w:color w:val="000000" w:themeColor="text1"/>
            <w:sz w:val="24"/>
            <w:szCs w:val="24"/>
          </w:rPr>
          <w:t>https://www.ncbi.nlm.nih.gov/pubmed/30626715</w:t>
        </w:r>
      </w:hyperlink>
    </w:p>
    <w:p w14:paraId="2ABE6B52" w14:textId="77777777" w:rsidR="00000000" w:rsidRPr="0060384B" w:rsidRDefault="00CA5F6F">
      <w:pPr>
        <w:spacing w:line="281" w:lineRule="exact"/>
        <w:rPr>
          <w:rFonts w:ascii="Lato" w:eastAsia="Times New Roman" w:hAnsi="Lato"/>
          <w:color w:val="000000" w:themeColor="text1"/>
          <w:sz w:val="24"/>
          <w:szCs w:val="24"/>
        </w:rPr>
      </w:pPr>
    </w:p>
    <w:p w14:paraId="662804E0" w14:textId="77777777" w:rsidR="00000000" w:rsidRPr="0060384B" w:rsidRDefault="00CA5F6F">
      <w:pPr>
        <w:spacing w:line="247" w:lineRule="auto"/>
        <w:ind w:right="100"/>
        <w:rPr>
          <w:rFonts w:ascii="Lato" w:hAnsi="Lato"/>
          <w:color w:val="000000" w:themeColor="text1"/>
          <w:sz w:val="24"/>
          <w:szCs w:val="24"/>
        </w:rPr>
      </w:pPr>
      <w:r w:rsidRPr="0060384B">
        <w:rPr>
          <w:rFonts w:ascii="Lato" w:hAnsi="Lato"/>
          <w:color w:val="000000" w:themeColor="text1"/>
          <w:sz w:val="24"/>
          <w:szCs w:val="24"/>
        </w:rPr>
        <w:t>MahmoudianDehkordi S, Arnold M, Nho</w:t>
      </w:r>
      <w:r w:rsidRPr="0060384B">
        <w:rPr>
          <w:rFonts w:ascii="Lato" w:hAnsi="Lato"/>
          <w:color w:val="000000" w:themeColor="text1"/>
          <w:sz w:val="24"/>
          <w:szCs w:val="24"/>
        </w:rPr>
        <w:t xml:space="preserve"> K, Ahmad S, Jia W, Xie G, et al. Altered bile acid profile associates with cognitive impairment in Alzheimer</w:t>
      </w:r>
      <w:r w:rsidRPr="0060384B">
        <w:rPr>
          <w:rFonts w:ascii="Lato" w:hAnsi="Lato"/>
          <w:color w:val="000000" w:themeColor="text1"/>
          <w:sz w:val="24"/>
          <w:szCs w:val="24"/>
        </w:rPr>
        <w:t xml:space="preserve">’s disease-An emerging role for gut microbiome. </w:t>
      </w:r>
      <w:r w:rsidRPr="0060384B">
        <w:rPr>
          <w:rFonts w:ascii="Lato" w:hAnsi="Lato"/>
          <w:color w:val="000000" w:themeColor="text1"/>
          <w:sz w:val="24"/>
          <w:szCs w:val="24"/>
        </w:rPr>
        <w:t>Alzheimer</w:t>
      </w:r>
      <w:r w:rsidRPr="0060384B">
        <w:rPr>
          <w:rFonts w:ascii="Lato" w:hAnsi="Lato"/>
          <w:color w:val="000000" w:themeColor="text1"/>
          <w:sz w:val="24"/>
          <w:szCs w:val="24"/>
        </w:rPr>
        <w:t>’s &amp; Dementia</w:t>
      </w:r>
      <w:r w:rsidRPr="0060384B">
        <w:rPr>
          <w:rFonts w:ascii="Lato" w:hAnsi="Lato"/>
          <w:color w:val="000000" w:themeColor="text1"/>
          <w:sz w:val="24"/>
          <w:szCs w:val="24"/>
        </w:rPr>
        <w:t xml:space="preserve"> 2019;15(1):76-92. </w:t>
      </w:r>
      <w:hyperlink r:id="rId289" w:history="1">
        <w:r w:rsidRPr="0060384B">
          <w:rPr>
            <w:rFonts w:ascii="Lato" w:hAnsi="Lato"/>
            <w:color w:val="000000" w:themeColor="text1"/>
            <w:sz w:val="24"/>
            <w:szCs w:val="24"/>
          </w:rPr>
          <w:t>https://www.ncbi.nlm.nih.gov/pubmed/30337151</w:t>
        </w:r>
      </w:hyperlink>
    </w:p>
    <w:p w14:paraId="284FE848" w14:textId="77777777" w:rsidR="00000000" w:rsidRPr="0060384B" w:rsidRDefault="00CA5F6F">
      <w:pPr>
        <w:spacing w:line="246" w:lineRule="exact"/>
        <w:rPr>
          <w:rFonts w:ascii="Lato" w:eastAsia="Times New Roman" w:hAnsi="Lato"/>
          <w:color w:val="000000" w:themeColor="text1"/>
          <w:sz w:val="24"/>
          <w:szCs w:val="24"/>
        </w:rPr>
      </w:pPr>
    </w:p>
    <w:p w14:paraId="1C8EE302" w14:textId="77777777" w:rsidR="00000000" w:rsidRPr="0060384B" w:rsidRDefault="00CA5F6F">
      <w:pPr>
        <w:spacing w:line="251" w:lineRule="auto"/>
        <w:ind w:right="140"/>
        <w:rPr>
          <w:rFonts w:ascii="Lato" w:hAnsi="Lato"/>
          <w:color w:val="000000" w:themeColor="text1"/>
          <w:sz w:val="24"/>
          <w:szCs w:val="24"/>
        </w:rPr>
      </w:pPr>
      <w:r w:rsidRPr="0060384B">
        <w:rPr>
          <w:rFonts w:ascii="Lato" w:hAnsi="Lato"/>
          <w:color w:val="000000" w:themeColor="text1"/>
          <w:sz w:val="24"/>
          <w:szCs w:val="24"/>
        </w:rPr>
        <w:t xml:space="preserve">Marioni RE, McRae AF, Bressler J, Colicino E, Hannon E, Li S, et al. Meta-analysis of epigenome-wide association studies of cognitive abilities. </w:t>
      </w:r>
      <w:r w:rsidRPr="0060384B">
        <w:rPr>
          <w:rFonts w:ascii="Lato" w:hAnsi="Lato"/>
          <w:color w:val="000000" w:themeColor="text1"/>
          <w:sz w:val="24"/>
          <w:szCs w:val="24"/>
        </w:rPr>
        <w:t>Molecular Psychiatry</w:t>
      </w:r>
      <w:r w:rsidRPr="0060384B">
        <w:rPr>
          <w:rFonts w:ascii="Lato" w:hAnsi="Lato"/>
          <w:color w:val="000000" w:themeColor="text1"/>
          <w:sz w:val="24"/>
          <w:szCs w:val="24"/>
        </w:rPr>
        <w:t xml:space="preserve"> 2018;23(11):2133-2144. </w:t>
      </w:r>
      <w:hyperlink r:id="rId290" w:history="1">
        <w:r w:rsidRPr="0060384B">
          <w:rPr>
            <w:rFonts w:ascii="Lato" w:hAnsi="Lato"/>
            <w:color w:val="000000" w:themeColor="text1"/>
            <w:sz w:val="24"/>
            <w:szCs w:val="24"/>
          </w:rPr>
          <w:t>https://www.ncbi.nlm.nih.gov/pubmed/29311653</w:t>
        </w:r>
      </w:hyperlink>
    </w:p>
    <w:p w14:paraId="30A776D4" w14:textId="77777777" w:rsidR="00000000" w:rsidRPr="0060384B" w:rsidRDefault="00CA5F6F">
      <w:pPr>
        <w:spacing w:line="240" w:lineRule="exact"/>
        <w:rPr>
          <w:rFonts w:ascii="Lato" w:eastAsia="Times New Roman" w:hAnsi="Lato"/>
          <w:color w:val="000000" w:themeColor="text1"/>
          <w:sz w:val="24"/>
          <w:szCs w:val="24"/>
        </w:rPr>
      </w:pPr>
    </w:p>
    <w:p w14:paraId="23867836" w14:textId="77777777" w:rsidR="00000000" w:rsidRPr="0060384B" w:rsidRDefault="00CA5F6F">
      <w:pPr>
        <w:spacing w:line="247" w:lineRule="auto"/>
        <w:ind w:right="80"/>
        <w:rPr>
          <w:rFonts w:ascii="Lato" w:hAnsi="Lato"/>
          <w:color w:val="000000" w:themeColor="text1"/>
          <w:sz w:val="24"/>
          <w:szCs w:val="24"/>
        </w:rPr>
      </w:pPr>
      <w:r w:rsidRPr="0060384B">
        <w:rPr>
          <w:rFonts w:ascii="Lato" w:hAnsi="Lato"/>
          <w:color w:val="000000" w:themeColor="text1"/>
          <w:sz w:val="24"/>
          <w:szCs w:val="24"/>
        </w:rPr>
        <w:t>Merlini M, Rafalski VA, Rios Coronado PE, Gill TM, Ellisman M, Muthukumar G, et al. Fibrinogen induces microglia-mediated spine elimination and cognitive impairment in</w:t>
      </w:r>
      <w:r w:rsidRPr="0060384B">
        <w:rPr>
          <w:rFonts w:ascii="Lato" w:hAnsi="Lato"/>
          <w:color w:val="000000" w:themeColor="text1"/>
          <w:sz w:val="24"/>
          <w:szCs w:val="24"/>
        </w:rPr>
        <w:t xml:space="preserve"> an Alzheimer's disease model. </w:t>
      </w:r>
      <w:r w:rsidRPr="0060384B">
        <w:rPr>
          <w:rFonts w:ascii="Lato" w:hAnsi="Lato"/>
          <w:color w:val="000000" w:themeColor="text1"/>
          <w:sz w:val="24"/>
          <w:szCs w:val="24"/>
        </w:rPr>
        <w:t>Neuron</w:t>
      </w:r>
      <w:r w:rsidRPr="0060384B">
        <w:rPr>
          <w:rFonts w:ascii="Lato" w:hAnsi="Lato"/>
          <w:color w:val="000000" w:themeColor="text1"/>
          <w:sz w:val="24"/>
          <w:szCs w:val="24"/>
        </w:rPr>
        <w:t xml:space="preserve"> 2019;101(6):1099-1108. </w:t>
      </w:r>
      <w:hyperlink r:id="rId291" w:history="1">
        <w:r w:rsidRPr="0060384B">
          <w:rPr>
            <w:rFonts w:ascii="Lato" w:hAnsi="Lato"/>
            <w:color w:val="000000" w:themeColor="text1"/>
            <w:sz w:val="24"/>
            <w:szCs w:val="24"/>
          </w:rPr>
          <w:t>https://www.ncbi.nlm.nih.gov/pubmed/30737131</w:t>
        </w:r>
      </w:hyperlink>
    </w:p>
    <w:p w14:paraId="78BE773F" w14:textId="77777777" w:rsidR="00000000" w:rsidRPr="0060384B" w:rsidRDefault="00CA5F6F">
      <w:pPr>
        <w:spacing w:line="246" w:lineRule="exact"/>
        <w:rPr>
          <w:rFonts w:ascii="Lato" w:eastAsia="Times New Roman" w:hAnsi="Lato"/>
          <w:color w:val="000000" w:themeColor="text1"/>
          <w:sz w:val="24"/>
          <w:szCs w:val="24"/>
        </w:rPr>
      </w:pPr>
    </w:p>
    <w:p w14:paraId="3DF19E9A" w14:textId="77777777" w:rsidR="00000000" w:rsidRPr="0060384B" w:rsidRDefault="00CA5F6F">
      <w:pPr>
        <w:spacing w:line="247" w:lineRule="auto"/>
        <w:ind w:right="380"/>
        <w:rPr>
          <w:rFonts w:ascii="Lato" w:hAnsi="Lato"/>
          <w:color w:val="000000" w:themeColor="text1"/>
          <w:sz w:val="24"/>
          <w:szCs w:val="24"/>
        </w:rPr>
      </w:pPr>
      <w:r w:rsidRPr="0060384B">
        <w:rPr>
          <w:rFonts w:ascii="Lato" w:hAnsi="Lato"/>
          <w:color w:val="000000" w:themeColor="text1"/>
          <w:sz w:val="24"/>
          <w:szCs w:val="24"/>
        </w:rPr>
        <w:t>Mitchell SL, Shaffer ML, Cohen S, Hanson LC, Habtemariam D, Volandes AE. An advance care</w:t>
      </w:r>
      <w:r w:rsidRPr="0060384B">
        <w:rPr>
          <w:rFonts w:ascii="Lato" w:hAnsi="Lato"/>
          <w:color w:val="000000" w:themeColor="text1"/>
          <w:sz w:val="24"/>
          <w:szCs w:val="24"/>
        </w:rPr>
        <w:t xml:space="preserve"> planning video decision support tool for nursing home residents with advanced dementia: A cluster randomized clinical trial. </w:t>
      </w:r>
      <w:r w:rsidRPr="0060384B">
        <w:rPr>
          <w:rFonts w:ascii="Lato" w:hAnsi="Lato"/>
          <w:color w:val="000000" w:themeColor="text1"/>
          <w:sz w:val="24"/>
          <w:szCs w:val="24"/>
        </w:rPr>
        <w:t>JAMA Internal Medicine</w:t>
      </w:r>
      <w:r w:rsidRPr="0060384B">
        <w:rPr>
          <w:rFonts w:ascii="Lato" w:hAnsi="Lato"/>
          <w:color w:val="000000" w:themeColor="text1"/>
          <w:sz w:val="24"/>
          <w:szCs w:val="24"/>
        </w:rPr>
        <w:t xml:space="preserve"> 2018;178(7):961-969. </w:t>
      </w:r>
      <w:hyperlink r:id="rId292" w:history="1">
        <w:r w:rsidRPr="0060384B">
          <w:rPr>
            <w:rFonts w:ascii="Lato" w:hAnsi="Lato"/>
            <w:color w:val="000000" w:themeColor="text1"/>
            <w:sz w:val="24"/>
            <w:szCs w:val="24"/>
          </w:rPr>
          <w:t>https://www.ncbi.nlm.nih.g</w:t>
        </w:r>
        <w:r w:rsidRPr="0060384B">
          <w:rPr>
            <w:rFonts w:ascii="Lato" w:hAnsi="Lato"/>
            <w:color w:val="000000" w:themeColor="text1"/>
            <w:sz w:val="24"/>
            <w:szCs w:val="24"/>
          </w:rPr>
          <w:t>ov/pubmed/29868778</w:t>
        </w:r>
      </w:hyperlink>
    </w:p>
    <w:p w14:paraId="795E5761" w14:textId="77777777" w:rsidR="00000000" w:rsidRPr="0060384B" w:rsidRDefault="00CA5F6F">
      <w:pPr>
        <w:spacing w:line="246" w:lineRule="exact"/>
        <w:rPr>
          <w:rFonts w:ascii="Lato" w:eastAsia="Times New Roman" w:hAnsi="Lato"/>
          <w:color w:val="000000" w:themeColor="text1"/>
          <w:sz w:val="24"/>
          <w:szCs w:val="24"/>
        </w:rPr>
      </w:pPr>
    </w:p>
    <w:p w14:paraId="334B117C" w14:textId="77777777" w:rsidR="00000000" w:rsidRPr="0060384B" w:rsidRDefault="00CA5F6F">
      <w:pPr>
        <w:spacing w:line="251" w:lineRule="auto"/>
        <w:ind w:right="40"/>
        <w:rPr>
          <w:rFonts w:ascii="Lato" w:hAnsi="Lato"/>
          <w:color w:val="000000" w:themeColor="text1"/>
          <w:sz w:val="24"/>
          <w:szCs w:val="24"/>
        </w:rPr>
      </w:pPr>
      <w:r w:rsidRPr="0060384B">
        <w:rPr>
          <w:rFonts w:ascii="Lato" w:hAnsi="Lato"/>
          <w:color w:val="000000" w:themeColor="text1"/>
          <w:sz w:val="24"/>
          <w:szCs w:val="24"/>
        </w:rPr>
        <w:t xml:space="preserve">Morris JC, Schindler SE, McCue LM, Moulder KL, Benzinger TLS, Cruchaga C, et al. Assessment of racial disparities in biomarkers for Alzheimer disease. </w:t>
      </w:r>
      <w:r w:rsidRPr="0060384B">
        <w:rPr>
          <w:rFonts w:ascii="Lato" w:hAnsi="Lato"/>
          <w:color w:val="000000" w:themeColor="text1"/>
          <w:sz w:val="24"/>
          <w:szCs w:val="24"/>
        </w:rPr>
        <w:t>JAMA Neurology</w:t>
      </w:r>
      <w:r w:rsidRPr="0060384B">
        <w:rPr>
          <w:rFonts w:ascii="Lato" w:hAnsi="Lato"/>
          <w:color w:val="000000" w:themeColor="text1"/>
          <w:sz w:val="24"/>
          <w:szCs w:val="24"/>
        </w:rPr>
        <w:t xml:space="preserve"> 2019. </w:t>
      </w:r>
      <w:hyperlink r:id="rId293" w:history="1">
        <w:r w:rsidRPr="0060384B">
          <w:rPr>
            <w:rFonts w:ascii="Lato" w:hAnsi="Lato"/>
            <w:color w:val="000000" w:themeColor="text1"/>
            <w:sz w:val="24"/>
            <w:szCs w:val="24"/>
          </w:rPr>
          <w:t>htt</w:t>
        </w:r>
        <w:r w:rsidRPr="0060384B">
          <w:rPr>
            <w:rFonts w:ascii="Lato" w:hAnsi="Lato"/>
            <w:color w:val="000000" w:themeColor="text1"/>
            <w:sz w:val="24"/>
            <w:szCs w:val="24"/>
          </w:rPr>
          <w:t>ps://www.ncbi.nlm.nih.gov/pubmed/30615028</w:t>
        </w:r>
      </w:hyperlink>
    </w:p>
    <w:p w14:paraId="61EA9597" w14:textId="77777777" w:rsidR="00000000" w:rsidRPr="0060384B" w:rsidRDefault="00CA5F6F">
      <w:pPr>
        <w:spacing w:line="238" w:lineRule="exact"/>
        <w:rPr>
          <w:rFonts w:ascii="Lato" w:eastAsia="Times New Roman" w:hAnsi="Lato"/>
          <w:color w:val="000000" w:themeColor="text1"/>
          <w:sz w:val="24"/>
          <w:szCs w:val="24"/>
        </w:rPr>
      </w:pPr>
    </w:p>
    <w:p w14:paraId="7F79AFFF" w14:textId="77777777" w:rsidR="00000000" w:rsidRPr="0060384B" w:rsidRDefault="00CA5F6F">
      <w:pPr>
        <w:spacing w:line="252" w:lineRule="auto"/>
        <w:ind w:right="80"/>
        <w:rPr>
          <w:rFonts w:ascii="Lato" w:hAnsi="Lato"/>
          <w:color w:val="000000" w:themeColor="text1"/>
          <w:sz w:val="24"/>
          <w:szCs w:val="24"/>
        </w:rPr>
      </w:pPr>
      <w:r w:rsidRPr="0060384B">
        <w:rPr>
          <w:rFonts w:ascii="Lato" w:hAnsi="Lato"/>
          <w:color w:val="000000" w:themeColor="text1"/>
          <w:sz w:val="24"/>
          <w:szCs w:val="24"/>
        </w:rPr>
        <w:t>Nation DA, Sweeney MD, Montagne A, Sagare AP, D</w:t>
      </w:r>
      <w:r w:rsidRPr="0060384B">
        <w:rPr>
          <w:rFonts w:ascii="Lato" w:hAnsi="Lato"/>
          <w:color w:val="000000" w:themeColor="text1"/>
          <w:sz w:val="24"/>
          <w:szCs w:val="24"/>
        </w:rPr>
        <w:t xml:space="preserve">’Orazio LM, Pachicano M, et al. Blood-brain barrier breakdown is an early biomarker of human cognitive dysfunction. </w:t>
      </w:r>
      <w:r w:rsidRPr="0060384B">
        <w:rPr>
          <w:rFonts w:ascii="Lato" w:hAnsi="Lato"/>
          <w:color w:val="000000" w:themeColor="text1"/>
          <w:sz w:val="24"/>
          <w:szCs w:val="24"/>
        </w:rPr>
        <w:t>Nature Medicine</w:t>
      </w:r>
      <w:r w:rsidRPr="0060384B">
        <w:rPr>
          <w:rFonts w:ascii="Lato" w:hAnsi="Lato"/>
          <w:color w:val="000000" w:themeColor="text1"/>
          <w:sz w:val="24"/>
          <w:szCs w:val="24"/>
        </w:rPr>
        <w:t xml:space="preserve"> 2019;25(2):270-276. </w:t>
      </w:r>
      <w:hyperlink r:id="rId294" w:history="1">
        <w:r w:rsidRPr="0060384B">
          <w:rPr>
            <w:rFonts w:ascii="Lato" w:hAnsi="Lato"/>
            <w:color w:val="000000" w:themeColor="text1"/>
            <w:sz w:val="24"/>
            <w:szCs w:val="24"/>
          </w:rPr>
          <w:t>https://www.ncbi.nlm.nih.gov/pubmed/30643288</w:t>
        </w:r>
      </w:hyperlink>
    </w:p>
    <w:p w14:paraId="7A61CA49" w14:textId="77777777" w:rsidR="00000000" w:rsidRPr="0060384B" w:rsidRDefault="00CA5F6F">
      <w:pPr>
        <w:spacing w:line="236" w:lineRule="exact"/>
        <w:rPr>
          <w:rFonts w:ascii="Lato" w:eastAsia="Times New Roman" w:hAnsi="Lato"/>
          <w:color w:val="000000" w:themeColor="text1"/>
          <w:sz w:val="24"/>
          <w:szCs w:val="24"/>
        </w:rPr>
      </w:pPr>
    </w:p>
    <w:p w14:paraId="149A4E14" w14:textId="77777777" w:rsidR="00000000" w:rsidRPr="0060384B" w:rsidRDefault="00CA5F6F">
      <w:pPr>
        <w:spacing w:line="247" w:lineRule="auto"/>
        <w:ind w:right="460"/>
        <w:rPr>
          <w:rFonts w:ascii="Lato" w:hAnsi="Lato"/>
          <w:color w:val="000000" w:themeColor="text1"/>
          <w:sz w:val="24"/>
          <w:szCs w:val="24"/>
        </w:rPr>
      </w:pPr>
      <w:r w:rsidRPr="0060384B">
        <w:rPr>
          <w:rFonts w:ascii="Lato" w:hAnsi="Lato"/>
          <w:color w:val="000000" w:themeColor="text1"/>
          <w:sz w:val="24"/>
          <w:szCs w:val="24"/>
        </w:rPr>
        <w:t>Neuner SM, Heuer SE, Huentelman MJ, O</w:t>
      </w:r>
      <w:r w:rsidRPr="0060384B">
        <w:rPr>
          <w:rFonts w:ascii="Lato" w:hAnsi="Lato"/>
          <w:color w:val="000000" w:themeColor="text1"/>
          <w:sz w:val="24"/>
          <w:szCs w:val="24"/>
        </w:rPr>
        <w:t>’Connell KMS, Kaczorowski CC. Harnessing genetic complexity to enhance translatability of Alzheimer</w:t>
      </w:r>
      <w:r w:rsidRPr="0060384B">
        <w:rPr>
          <w:rFonts w:ascii="Lato" w:hAnsi="Lato"/>
          <w:color w:val="000000" w:themeColor="text1"/>
          <w:sz w:val="24"/>
          <w:szCs w:val="24"/>
        </w:rPr>
        <w:t>’s disease mouse models: A</w:t>
      </w:r>
      <w:r w:rsidRPr="0060384B">
        <w:rPr>
          <w:rFonts w:ascii="Lato" w:hAnsi="Lato"/>
          <w:color w:val="000000" w:themeColor="text1"/>
          <w:sz w:val="24"/>
          <w:szCs w:val="24"/>
        </w:rPr>
        <w:t xml:space="preserve"> path toward precision medicine. </w:t>
      </w:r>
      <w:r w:rsidRPr="0060384B">
        <w:rPr>
          <w:rFonts w:ascii="Lato" w:hAnsi="Lato"/>
          <w:color w:val="000000" w:themeColor="text1"/>
          <w:sz w:val="24"/>
          <w:szCs w:val="24"/>
        </w:rPr>
        <w:t>Neuron</w:t>
      </w:r>
      <w:r w:rsidRPr="0060384B">
        <w:rPr>
          <w:rFonts w:ascii="Lato" w:hAnsi="Lato"/>
          <w:color w:val="000000" w:themeColor="text1"/>
          <w:sz w:val="24"/>
          <w:szCs w:val="24"/>
        </w:rPr>
        <w:t xml:space="preserve"> 2019;101(3):399-411. </w:t>
      </w:r>
      <w:hyperlink r:id="rId295" w:history="1">
        <w:r w:rsidRPr="0060384B">
          <w:rPr>
            <w:rFonts w:ascii="Lato" w:hAnsi="Lato"/>
            <w:color w:val="000000" w:themeColor="text1"/>
            <w:sz w:val="24"/>
            <w:szCs w:val="24"/>
          </w:rPr>
          <w:t>https://www.ncbi.nlm.nih.gov/pubmed/30595332</w:t>
        </w:r>
      </w:hyperlink>
    </w:p>
    <w:p w14:paraId="7EB21CF8" w14:textId="77777777" w:rsidR="00000000" w:rsidRPr="0060384B" w:rsidRDefault="00CA5F6F">
      <w:pPr>
        <w:spacing w:line="246" w:lineRule="exact"/>
        <w:rPr>
          <w:rFonts w:ascii="Lato" w:eastAsia="Times New Roman" w:hAnsi="Lato"/>
          <w:color w:val="000000" w:themeColor="text1"/>
          <w:sz w:val="24"/>
          <w:szCs w:val="24"/>
        </w:rPr>
      </w:pPr>
    </w:p>
    <w:p w14:paraId="120E4FC8" w14:textId="77777777" w:rsidR="00000000" w:rsidRPr="0060384B" w:rsidRDefault="00CA5F6F">
      <w:pPr>
        <w:spacing w:line="247" w:lineRule="auto"/>
        <w:ind w:right="20"/>
        <w:rPr>
          <w:rFonts w:ascii="Lato" w:hAnsi="Lato"/>
          <w:color w:val="000000" w:themeColor="text1"/>
          <w:sz w:val="24"/>
          <w:szCs w:val="24"/>
        </w:rPr>
      </w:pPr>
      <w:r w:rsidRPr="0060384B">
        <w:rPr>
          <w:rFonts w:ascii="Lato" w:hAnsi="Lato"/>
          <w:color w:val="000000" w:themeColor="text1"/>
          <w:sz w:val="24"/>
          <w:szCs w:val="24"/>
        </w:rPr>
        <w:t xml:space="preserve">Nho K, Kueider- Paisley A, MahmoudianDehkordi S, Arnold M, Risacher SL, Louie G, et al. </w:t>
      </w:r>
      <w:r w:rsidRPr="0060384B">
        <w:rPr>
          <w:rFonts w:ascii="Lato" w:hAnsi="Lato"/>
          <w:color w:val="000000" w:themeColor="text1"/>
          <w:sz w:val="24"/>
          <w:szCs w:val="24"/>
        </w:rPr>
        <w:t>Altered bile acid profile in mild cognitive impairment and Alzheimer</w:t>
      </w:r>
      <w:r w:rsidRPr="0060384B">
        <w:rPr>
          <w:rFonts w:ascii="Lato" w:hAnsi="Lato"/>
          <w:color w:val="000000" w:themeColor="text1"/>
          <w:sz w:val="24"/>
          <w:szCs w:val="24"/>
        </w:rPr>
        <w:t xml:space="preserve">’s disease: Relationship to neuroimaging and CSF biomarkers. </w:t>
      </w:r>
      <w:r w:rsidRPr="0060384B">
        <w:rPr>
          <w:rFonts w:ascii="Lato" w:hAnsi="Lato"/>
          <w:color w:val="000000" w:themeColor="text1"/>
          <w:sz w:val="24"/>
          <w:szCs w:val="24"/>
        </w:rPr>
        <w:t>Alzheimer</w:t>
      </w:r>
      <w:r w:rsidRPr="0060384B">
        <w:rPr>
          <w:rFonts w:ascii="Lato" w:hAnsi="Lato"/>
          <w:color w:val="000000" w:themeColor="text1"/>
          <w:sz w:val="24"/>
          <w:szCs w:val="24"/>
        </w:rPr>
        <w:t>’s &amp; Dementia</w:t>
      </w:r>
      <w:r w:rsidRPr="0060384B">
        <w:rPr>
          <w:rFonts w:ascii="Lato" w:hAnsi="Lato"/>
          <w:color w:val="000000" w:themeColor="text1"/>
          <w:sz w:val="24"/>
          <w:szCs w:val="24"/>
        </w:rPr>
        <w:t xml:space="preserve"> 2019;15(2):232-244. </w:t>
      </w:r>
      <w:hyperlink r:id="rId296" w:history="1">
        <w:r w:rsidRPr="0060384B">
          <w:rPr>
            <w:rFonts w:ascii="Lato" w:hAnsi="Lato"/>
            <w:color w:val="000000" w:themeColor="text1"/>
            <w:sz w:val="24"/>
            <w:szCs w:val="24"/>
          </w:rPr>
          <w:t>https://www.ncbi.nlm.nih</w:t>
        </w:r>
        <w:r w:rsidRPr="0060384B">
          <w:rPr>
            <w:rFonts w:ascii="Lato" w:hAnsi="Lato"/>
            <w:color w:val="000000" w:themeColor="text1"/>
            <w:sz w:val="24"/>
            <w:szCs w:val="24"/>
          </w:rPr>
          <w:t>.gov/pubmed/30337152</w:t>
        </w:r>
      </w:hyperlink>
    </w:p>
    <w:p w14:paraId="4A175E88" w14:textId="77777777" w:rsidR="00000000" w:rsidRPr="0060384B" w:rsidRDefault="00CA5F6F">
      <w:pPr>
        <w:spacing w:line="247" w:lineRule="auto"/>
        <w:ind w:right="2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7D926E0E" w14:textId="77777777" w:rsidR="00000000" w:rsidRPr="0060384B" w:rsidRDefault="00CA5F6F">
      <w:pPr>
        <w:spacing w:line="379"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74EBCC72" w14:textId="77777777">
        <w:trPr>
          <w:trHeight w:val="245"/>
        </w:trPr>
        <w:tc>
          <w:tcPr>
            <w:tcW w:w="6540" w:type="dxa"/>
            <w:shd w:val="clear" w:color="auto" w:fill="auto"/>
            <w:vAlign w:val="bottom"/>
          </w:tcPr>
          <w:p w14:paraId="75950971"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TOGETHER WE SUCCEED</w:t>
            </w:r>
          </w:p>
        </w:tc>
        <w:tc>
          <w:tcPr>
            <w:tcW w:w="2820" w:type="dxa"/>
            <w:shd w:val="clear" w:color="auto" w:fill="auto"/>
            <w:vAlign w:val="bottom"/>
          </w:tcPr>
          <w:p w14:paraId="719825B7"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74</w:t>
            </w:r>
          </w:p>
        </w:tc>
      </w:tr>
      <w:tr w:rsidR="00000000" w:rsidRPr="0060384B" w14:paraId="46EF8325" w14:textId="77777777">
        <w:trPr>
          <w:trHeight w:val="258"/>
        </w:trPr>
        <w:tc>
          <w:tcPr>
            <w:tcW w:w="6540" w:type="dxa"/>
            <w:shd w:val="clear" w:color="auto" w:fill="auto"/>
            <w:vAlign w:val="bottom"/>
          </w:tcPr>
          <w:p w14:paraId="150F3212"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03008B60" w14:textId="77777777" w:rsidR="00000000" w:rsidRPr="0060384B" w:rsidRDefault="00CA5F6F">
            <w:pPr>
              <w:spacing w:line="0" w:lineRule="atLeast"/>
              <w:rPr>
                <w:rFonts w:ascii="Lato" w:eastAsia="Times New Roman" w:hAnsi="Lato"/>
                <w:color w:val="000000" w:themeColor="text1"/>
                <w:sz w:val="24"/>
                <w:szCs w:val="24"/>
              </w:rPr>
            </w:pPr>
          </w:p>
        </w:tc>
      </w:tr>
    </w:tbl>
    <w:p w14:paraId="6D86EECB"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6C83D61B" w14:textId="77777777" w:rsidR="00000000" w:rsidRPr="0060384B" w:rsidRDefault="00CA5F6F">
      <w:pPr>
        <w:spacing w:line="247" w:lineRule="auto"/>
        <w:ind w:right="140"/>
        <w:rPr>
          <w:rFonts w:ascii="Lato" w:hAnsi="Lato"/>
          <w:color w:val="000000" w:themeColor="text1"/>
          <w:sz w:val="24"/>
          <w:szCs w:val="24"/>
        </w:rPr>
      </w:pPr>
      <w:bookmarkStart w:id="77" w:name="page78"/>
      <w:bookmarkEnd w:id="77"/>
      <w:r w:rsidRPr="0060384B">
        <w:rPr>
          <w:rFonts w:ascii="Lato" w:hAnsi="Lato"/>
          <w:color w:val="000000" w:themeColor="text1"/>
          <w:sz w:val="24"/>
          <w:szCs w:val="24"/>
        </w:rPr>
        <w:lastRenderedPageBreak/>
        <w:t>Palta P, Sharrett AR, Deal JA, Evenson KR, Gabriel KP, Folsom AR, et al. Leisure-time physical activity sustained since midlife and preservation of cognitive</w:t>
      </w:r>
      <w:r w:rsidRPr="0060384B">
        <w:rPr>
          <w:rFonts w:ascii="Lato" w:hAnsi="Lato"/>
          <w:color w:val="000000" w:themeColor="text1"/>
          <w:sz w:val="24"/>
          <w:szCs w:val="24"/>
        </w:rPr>
        <w:t xml:space="preserve"> function: The Atherosclerosis Risk in Communities Study. </w:t>
      </w:r>
      <w:r w:rsidRPr="0060384B">
        <w:rPr>
          <w:rFonts w:ascii="Lato" w:hAnsi="Lato"/>
          <w:color w:val="000000" w:themeColor="text1"/>
          <w:sz w:val="24"/>
          <w:szCs w:val="24"/>
        </w:rPr>
        <w:t>Alzheimer</w:t>
      </w:r>
      <w:r w:rsidRPr="0060384B">
        <w:rPr>
          <w:rFonts w:ascii="Lato" w:hAnsi="Lato"/>
          <w:color w:val="000000" w:themeColor="text1"/>
          <w:sz w:val="24"/>
          <w:szCs w:val="24"/>
        </w:rPr>
        <w:t>’s &amp; Dementia</w:t>
      </w:r>
      <w:r w:rsidRPr="0060384B">
        <w:rPr>
          <w:rFonts w:ascii="Lato" w:hAnsi="Lato"/>
          <w:color w:val="000000" w:themeColor="text1"/>
          <w:sz w:val="24"/>
          <w:szCs w:val="24"/>
        </w:rPr>
        <w:t xml:space="preserve"> 2019;15(2):273-281. </w:t>
      </w:r>
      <w:hyperlink r:id="rId297" w:history="1">
        <w:r w:rsidRPr="0060384B">
          <w:rPr>
            <w:rFonts w:ascii="Lato" w:hAnsi="Lato"/>
            <w:color w:val="000000" w:themeColor="text1"/>
            <w:sz w:val="24"/>
            <w:szCs w:val="24"/>
          </w:rPr>
          <w:t>https://www.ncbi.nlm.nih.gov/pubmed/30321503</w:t>
        </w:r>
      </w:hyperlink>
    </w:p>
    <w:p w14:paraId="18B9CD76" w14:textId="77777777" w:rsidR="00000000" w:rsidRPr="0060384B" w:rsidRDefault="00CA5F6F">
      <w:pPr>
        <w:spacing w:line="246" w:lineRule="exact"/>
        <w:rPr>
          <w:rFonts w:ascii="Lato" w:eastAsia="Times New Roman" w:hAnsi="Lato"/>
          <w:color w:val="000000" w:themeColor="text1"/>
          <w:sz w:val="24"/>
          <w:szCs w:val="24"/>
        </w:rPr>
      </w:pPr>
    </w:p>
    <w:p w14:paraId="2B0BE0E4" w14:textId="77777777" w:rsidR="00000000" w:rsidRPr="0060384B" w:rsidRDefault="00CA5F6F">
      <w:pPr>
        <w:spacing w:line="251" w:lineRule="auto"/>
        <w:ind w:right="660"/>
        <w:rPr>
          <w:rFonts w:ascii="Lato" w:hAnsi="Lato"/>
          <w:color w:val="000000" w:themeColor="text1"/>
          <w:sz w:val="24"/>
          <w:szCs w:val="24"/>
        </w:rPr>
      </w:pPr>
      <w:r w:rsidRPr="0060384B">
        <w:rPr>
          <w:rFonts w:ascii="Lato" w:hAnsi="Lato"/>
          <w:color w:val="000000" w:themeColor="text1"/>
          <w:sz w:val="24"/>
          <w:szCs w:val="24"/>
        </w:rPr>
        <w:t xml:space="preserve">Peloso GM, Beiser AS, Destefano AL, Seshadri S. </w:t>
      </w:r>
      <w:r w:rsidRPr="0060384B">
        <w:rPr>
          <w:rFonts w:ascii="Lato" w:hAnsi="Lato"/>
          <w:color w:val="000000" w:themeColor="text1"/>
          <w:sz w:val="24"/>
          <w:szCs w:val="24"/>
        </w:rPr>
        <w:t>Genetic interaction with plasma lipids on Alzheimer</w:t>
      </w:r>
      <w:r w:rsidRPr="0060384B">
        <w:rPr>
          <w:rFonts w:ascii="Lato" w:hAnsi="Lato"/>
          <w:color w:val="000000" w:themeColor="text1"/>
          <w:sz w:val="24"/>
          <w:szCs w:val="24"/>
        </w:rPr>
        <w:t xml:space="preserve">’s disease in the Framingham Heart Study. </w:t>
      </w:r>
      <w:r w:rsidRPr="0060384B">
        <w:rPr>
          <w:rFonts w:ascii="Lato" w:hAnsi="Lato"/>
          <w:color w:val="000000" w:themeColor="text1"/>
          <w:sz w:val="24"/>
          <w:szCs w:val="24"/>
        </w:rPr>
        <w:t>Journal of Alzheimer</w:t>
      </w:r>
      <w:r w:rsidRPr="0060384B">
        <w:rPr>
          <w:rFonts w:ascii="Lato" w:hAnsi="Lato"/>
          <w:color w:val="000000" w:themeColor="text1"/>
          <w:sz w:val="24"/>
          <w:szCs w:val="24"/>
        </w:rPr>
        <w:t>’s Disease</w:t>
      </w:r>
      <w:r w:rsidRPr="0060384B">
        <w:rPr>
          <w:rFonts w:ascii="Lato" w:hAnsi="Lato"/>
          <w:color w:val="000000" w:themeColor="text1"/>
          <w:sz w:val="24"/>
          <w:szCs w:val="24"/>
        </w:rPr>
        <w:t xml:space="preserve"> 2018;66(3):1275-1282. </w:t>
      </w:r>
      <w:hyperlink r:id="rId298" w:history="1">
        <w:r w:rsidRPr="0060384B">
          <w:rPr>
            <w:rFonts w:ascii="Lato" w:hAnsi="Lato"/>
            <w:color w:val="000000" w:themeColor="text1"/>
            <w:sz w:val="24"/>
            <w:szCs w:val="24"/>
          </w:rPr>
          <w:t>https://www.ncbi.nlm.nih.gov/pubmed/30412497</w:t>
        </w:r>
      </w:hyperlink>
    </w:p>
    <w:p w14:paraId="01BF4713" w14:textId="77777777" w:rsidR="00000000" w:rsidRPr="0060384B" w:rsidRDefault="00CA5F6F">
      <w:pPr>
        <w:spacing w:line="240" w:lineRule="exact"/>
        <w:rPr>
          <w:rFonts w:ascii="Lato" w:eastAsia="Times New Roman" w:hAnsi="Lato"/>
          <w:color w:val="000000" w:themeColor="text1"/>
          <w:sz w:val="24"/>
          <w:szCs w:val="24"/>
        </w:rPr>
      </w:pPr>
    </w:p>
    <w:p w14:paraId="221658E1" w14:textId="77777777" w:rsidR="00000000" w:rsidRPr="0060384B" w:rsidRDefault="00CA5F6F">
      <w:pPr>
        <w:spacing w:line="247" w:lineRule="auto"/>
        <w:ind w:right="240"/>
        <w:rPr>
          <w:rFonts w:ascii="Lato" w:hAnsi="Lato"/>
          <w:color w:val="000000" w:themeColor="text1"/>
          <w:sz w:val="24"/>
          <w:szCs w:val="24"/>
        </w:rPr>
      </w:pPr>
      <w:r w:rsidRPr="0060384B">
        <w:rPr>
          <w:rFonts w:ascii="Lato" w:hAnsi="Lato"/>
          <w:color w:val="000000" w:themeColor="text1"/>
          <w:sz w:val="24"/>
          <w:szCs w:val="24"/>
        </w:rPr>
        <w:t>Rea</w:t>
      </w:r>
      <w:r w:rsidRPr="0060384B">
        <w:rPr>
          <w:rFonts w:ascii="Lato" w:hAnsi="Lato"/>
          <w:color w:val="000000" w:themeColor="text1"/>
          <w:sz w:val="24"/>
          <w:szCs w:val="24"/>
        </w:rPr>
        <w:t>dhead B, Haure -Mirande JV, Funk CC, Richards MA, Shannon P, Haroutunian V, et al. Multiscale analysis of independent Alzheimer</w:t>
      </w:r>
      <w:r w:rsidRPr="0060384B">
        <w:rPr>
          <w:rFonts w:ascii="Lato" w:hAnsi="Lato"/>
          <w:color w:val="000000" w:themeColor="text1"/>
          <w:sz w:val="24"/>
          <w:szCs w:val="24"/>
        </w:rPr>
        <w:t xml:space="preserve">’s cohorts finds disruption of molecular, genetic, and clinical networks by human herpesvirus. </w:t>
      </w:r>
      <w:r w:rsidRPr="0060384B">
        <w:rPr>
          <w:rFonts w:ascii="Lato" w:hAnsi="Lato"/>
          <w:color w:val="000000" w:themeColor="text1"/>
          <w:sz w:val="24"/>
          <w:szCs w:val="24"/>
        </w:rPr>
        <w:t>Neuron</w:t>
      </w:r>
      <w:r w:rsidRPr="0060384B">
        <w:rPr>
          <w:rFonts w:ascii="Lato" w:hAnsi="Lato"/>
          <w:color w:val="000000" w:themeColor="text1"/>
          <w:sz w:val="24"/>
          <w:szCs w:val="24"/>
        </w:rPr>
        <w:t xml:space="preserve"> 2018;99(1):64-82. </w:t>
      </w:r>
      <w:hyperlink r:id="rId299" w:history="1">
        <w:r w:rsidRPr="0060384B">
          <w:rPr>
            <w:rFonts w:ascii="Lato" w:hAnsi="Lato"/>
            <w:color w:val="000000" w:themeColor="text1"/>
            <w:sz w:val="24"/>
            <w:szCs w:val="24"/>
          </w:rPr>
          <w:t>https://www.ncbi.nlm.nih.gov/pubmed/29937276</w:t>
        </w:r>
      </w:hyperlink>
    </w:p>
    <w:p w14:paraId="4E5C7353" w14:textId="77777777" w:rsidR="00000000" w:rsidRPr="0060384B" w:rsidRDefault="00CA5F6F">
      <w:pPr>
        <w:spacing w:line="246" w:lineRule="exact"/>
        <w:rPr>
          <w:rFonts w:ascii="Lato" w:eastAsia="Times New Roman" w:hAnsi="Lato"/>
          <w:color w:val="000000" w:themeColor="text1"/>
          <w:sz w:val="24"/>
          <w:szCs w:val="24"/>
        </w:rPr>
      </w:pPr>
    </w:p>
    <w:p w14:paraId="4BC121DA" w14:textId="77777777" w:rsidR="00000000" w:rsidRPr="0060384B" w:rsidRDefault="00CA5F6F">
      <w:pPr>
        <w:spacing w:line="251" w:lineRule="auto"/>
        <w:ind w:right="20"/>
        <w:jc w:val="both"/>
        <w:rPr>
          <w:rFonts w:ascii="Lato" w:hAnsi="Lato"/>
          <w:color w:val="000000" w:themeColor="text1"/>
          <w:sz w:val="24"/>
          <w:szCs w:val="24"/>
        </w:rPr>
      </w:pPr>
      <w:r w:rsidRPr="0060384B">
        <w:rPr>
          <w:rFonts w:ascii="Lato" w:hAnsi="Lato"/>
          <w:color w:val="000000" w:themeColor="text1"/>
          <w:sz w:val="24"/>
          <w:szCs w:val="24"/>
        </w:rPr>
        <w:t xml:space="preserve">Rovner BW, Casten RJ, Hegel MT, Leiby B. Preventing cognitive decline in black individuals with mild cognitive impairment: A randomized clinical trial. </w:t>
      </w:r>
      <w:r w:rsidRPr="0060384B">
        <w:rPr>
          <w:rFonts w:ascii="Lato" w:hAnsi="Lato"/>
          <w:color w:val="000000" w:themeColor="text1"/>
          <w:sz w:val="24"/>
          <w:szCs w:val="24"/>
        </w:rPr>
        <w:t>JAMA N</w:t>
      </w:r>
      <w:r w:rsidRPr="0060384B">
        <w:rPr>
          <w:rFonts w:ascii="Lato" w:hAnsi="Lato"/>
          <w:color w:val="000000" w:themeColor="text1"/>
          <w:sz w:val="24"/>
          <w:szCs w:val="24"/>
        </w:rPr>
        <w:t>eurology</w:t>
      </w:r>
      <w:r w:rsidRPr="0060384B">
        <w:rPr>
          <w:rFonts w:ascii="Lato" w:hAnsi="Lato"/>
          <w:color w:val="000000" w:themeColor="text1"/>
          <w:sz w:val="24"/>
          <w:szCs w:val="24"/>
        </w:rPr>
        <w:t xml:space="preserve"> 2018;75(12):1487-1493. </w:t>
      </w:r>
      <w:hyperlink r:id="rId300" w:history="1">
        <w:r w:rsidRPr="0060384B">
          <w:rPr>
            <w:rFonts w:ascii="Lato" w:hAnsi="Lato"/>
            <w:color w:val="000000" w:themeColor="text1"/>
            <w:sz w:val="24"/>
            <w:szCs w:val="24"/>
          </w:rPr>
          <w:t>https://www.ncbi.nlm.nih.gov/pubmed/30208380</w:t>
        </w:r>
      </w:hyperlink>
    </w:p>
    <w:p w14:paraId="4B3C74D9" w14:textId="77777777" w:rsidR="00000000" w:rsidRPr="0060384B" w:rsidRDefault="00CA5F6F">
      <w:pPr>
        <w:spacing w:line="240" w:lineRule="exact"/>
        <w:rPr>
          <w:rFonts w:ascii="Lato" w:eastAsia="Times New Roman" w:hAnsi="Lato"/>
          <w:color w:val="000000" w:themeColor="text1"/>
          <w:sz w:val="24"/>
          <w:szCs w:val="24"/>
        </w:rPr>
      </w:pPr>
    </w:p>
    <w:p w14:paraId="695B7BB3" w14:textId="77777777" w:rsidR="00000000" w:rsidRPr="0060384B" w:rsidRDefault="00CA5F6F">
      <w:pPr>
        <w:spacing w:line="251" w:lineRule="auto"/>
        <w:ind w:right="600"/>
        <w:rPr>
          <w:rFonts w:ascii="Lato" w:hAnsi="Lato"/>
          <w:color w:val="000000" w:themeColor="text1"/>
          <w:sz w:val="24"/>
          <w:szCs w:val="24"/>
        </w:rPr>
      </w:pPr>
      <w:r w:rsidRPr="0060384B">
        <w:rPr>
          <w:rFonts w:ascii="Lato" w:hAnsi="Lato"/>
          <w:color w:val="000000" w:themeColor="text1"/>
          <w:sz w:val="24"/>
          <w:szCs w:val="24"/>
        </w:rPr>
        <w:t>SPRINT MIND Investigators for the SPRINT Research Group. Effect of intensive vs standard blood pressure control on pr</w:t>
      </w:r>
      <w:r w:rsidRPr="0060384B">
        <w:rPr>
          <w:rFonts w:ascii="Lato" w:hAnsi="Lato"/>
          <w:color w:val="000000" w:themeColor="text1"/>
          <w:sz w:val="24"/>
          <w:szCs w:val="24"/>
        </w:rPr>
        <w:t xml:space="preserve">obable dementia: A randomized clinical trial. </w:t>
      </w:r>
      <w:r w:rsidRPr="0060384B">
        <w:rPr>
          <w:rFonts w:ascii="Lato" w:hAnsi="Lato"/>
          <w:color w:val="000000" w:themeColor="text1"/>
          <w:sz w:val="24"/>
          <w:szCs w:val="24"/>
        </w:rPr>
        <w:t>JAMA</w:t>
      </w:r>
      <w:r w:rsidRPr="0060384B">
        <w:rPr>
          <w:rFonts w:ascii="Lato" w:hAnsi="Lato"/>
          <w:color w:val="000000" w:themeColor="text1"/>
          <w:sz w:val="24"/>
          <w:szCs w:val="24"/>
        </w:rPr>
        <w:t xml:space="preserve"> 2019;321(6):553</w:t>
      </w:r>
      <w:r w:rsidRPr="0060384B">
        <w:rPr>
          <w:rFonts w:ascii="Lato" w:hAnsi="Lato"/>
          <w:color w:val="000000" w:themeColor="text1"/>
          <w:sz w:val="24"/>
          <w:szCs w:val="24"/>
        </w:rPr>
        <w:t xml:space="preserve">–561. </w:t>
      </w:r>
      <w:hyperlink r:id="rId301" w:history="1">
        <w:r w:rsidRPr="0060384B">
          <w:rPr>
            <w:rFonts w:ascii="Lato" w:hAnsi="Lato"/>
            <w:color w:val="000000" w:themeColor="text1"/>
            <w:sz w:val="24"/>
            <w:szCs w:val="24"/>
          </w:rPr>
          <w:t>https://www.ncbi.nlm.nih.gov/pubmed/30688979</w:t>
        </w:r>
      </w:hyperlink>
    </w:p>
    <w:p w14:paraId="75A57E2E" w14:textId="77777777" w:rsidR="00000000" w:rsidRPr="0060384B" w:rsidRDefault="00CA5F6F">
      <w:pPr>
        <w:spacing w:line="240" w:lineRule="exact"/>
        <w:rPr>
          <w:rFonts w:ascii="Lato" w:eastAsia="Times New Roman" w:hAnsi="Lato"/>
          <w:color w:val="000000" w:themeColor="text1"/>
          <w:sz w:val="24"/>
          <w:szCs w:val="24"/>
        </w:rPr>
      </w:pPr>
    </w:p>
    <w:p w14:paraId="68E6AA16" w14:textId="77777777" w:rsidR="00000000" w:rsidRPr="0060384B" w:rsidRDefault="00CA5F6F">
      <w:pPr>
        <w:spacing w:line="251" w:lineRule="auto"/>
        <w:ind w:right="20"/>
        <w:rPr>
          <w:rFonts w:ascii="Lato" w:hAnsi="Lato"/>
          <w:color w:val="000000" w:themeColor="text1"/>
          <w:sz w:val="24"/>
          <w:szCs w:val="24"/>
        </w:rPr>
      </w:pPr>
      <w:r w:rsidRPr="0060384B">
        <w:rPr>
          <w:rFonts w:ascii="Lato" w:hAnsi="Lato"/>
          <w:color w:val="000000" w:themeColor="text1"/>
          <w:sz w:val="24"/>
          <w:szCs w:val="24"/>
        </w:rPr>
        <w:t>Stout SH, Babulal GM, Ma C, Carr DB, Head DM, Grant EA, at al. Driving cessat</w:t>
      </w:r>
      <w:r w:rsidRPr="0060384B">
        <w:rPr>
          <w:rFonts w:ascii="Lato" w:hAnsi="Lato"/>
          <w:color w:val="000000" w:themeColor="text1"/>
          <w:sz w:val="24"/>
          <w:szCs w:val="24"/>
        </w:rPr>
        <w:t xml:space="preserve">ion over a 24-year period: Dementia severity and cerebrospinal fluid biomarkers. </w:t>
      </w:r>
      <w:r w:rsidRPr="0060384B">
        <w:rPr>
          <w:rFonts w:ascii="Lato" w:hAnsi="Lato"/>
          <w:color w:val="000000" w:themeColor="text1"/>
          <w:sz w:val="24"/>
          <w:szCs w:val="24"/>
        </w:rPr>
        <w:t>Alzheimer</w:t>
      </w:r>
      <w:r w:rsidRPr="0060384B">
        <w:rPr>
          <w:rFonts w:ascii="Lato" w:hAnsi="Lato"/>
          <w:color w:val="000000" w:themeColor="text1"/>
          <w:sz w:val="24"/>
          <w:szCs w:val="24"/>
        </w:rPr>
        <w:t>’s &amp; Dementia</w:t>
      </w:r>
      <w:r w:rsidRPr="0060384B">
        <w:rPr>
          <w:rFonts w:ascii="Lato" w:hAnsi="Lato"/>
          <w:color w:val="000000" w:themeColor="text1"/>
          <w:sz w:val="24"/>
          <w:szCs w:val="24"/>
        </w:rPr>
        <w:t xml:space="preserve"> 2018;14(5):610-616. </w:t>
      </w:r>
      <w:hyperlink r:id="rId302" w:history="1">
        <w:r w:rsidRPr="0060384B">
          <w:rPr>
            <w:rFonts w:ascii="Lato" w:hAnsi="Lato"/>
            <w:color w:val="000000" w:themeColor="text1"/>
            <w:sz w:val="24"/>
            <w:szCs w:val="24"/>
          </w:rPr>
          <w:t>https://www.ncbi.nlm.nih.gov/pubmed/29328928</w:t>
        </w:r>
      </w:hyperlink>
    </w:p>
    <w:p w14:paraId="74180619" w14:textId="77777777" w:rsidR="00000000" w:rsidRPr="0060384B" w:rsidRDefault="00CA5F6F">
      <w:pPr>
        <w:spacing w:line="238" w:lineRule="exact"/>
        <w:rPr>
          <w:rFonts w:ascii="Lato" w:eastAsia="Times New Roman" w:hAnsi="Lato"/>
          <w:color w:val="000000" w:themeColor="text1"/>
          <w:sz w:val="24"/>
          <w:szCs w:val="24"/>
        </w:rPr>
      </w:pPr>
    </w:p>
    <w:p w14:paraId="58AEF3CD" w14:textId="77777777" w:rsidR="00000000" w:rsidRPr="0060384B" w:rsidRDefault="00CA5F6F">
      <w:pPr>
        <w:spacing w:line="252" w:lineRule="auto"/>
        <w:ind w:right="100"/>
        <w:rPr>
          <w:rFonts w:ascii="Lato" w:hAnsi="Lato"/>
          <w:color w:val="000000" w:themeColor="text1"/>
          <w:sz w:val="24"/>
          <w:szCs w:val="24"/>
        </w:rPr>
      </w:pPr>
      <w:r w:rsidRPr="0060384B">
        <w:rPr>
          <w:rFonts w:ascii="Lato" w:hAnsi="Lato"/>
          <w:color w:val="000000" w:themeColor="text1"/>
          <w:sz w:val="24"/>
          <w:szCs w:val="24"/>
        </w:rPr>
        <w:t>Terracciano A, An Y, Suti</w:t>
      </w:r>
      <w:r w:rsidRPr="0060384B">
        <w:rPr>
          <w:rFonts w:ascii="Lato" w:hAnsi="Lato"/>
          <w:color w:val="000000" w:themeColor="text1"/>
          <w:sz w:val="24"/>
          <w:szCs w:val="24"/>
        </w:rPr>
        <w:t xml:space="preserve">n AR, Thambisetty M, Resnick SM. Personality change in the preclinical phase of Alzheimer disease. </w:t>
      </w:r>
      <w:r w:rsidRPr="0060384B">
        <w:rPr>
          <w:rFonts w:ascii="Lato" w:hAnsi="Lato"/>
          <w:color w:val="000000" w:themeColor="text1"/>
          <w:sz w:val="24"/>
          <w:szCs w:val="24"/>
        </w:rPr>
        <w:t>JAMA Psychiatry</w:t>
      </w:r>
      <w:r w:rsidRPr="0060384B">
        <w:rPr>
          <w:rFonts w:ascii="Lato" w:hAnsi="Lato"/>
          <w:color w:val="000000" w:themeColor="text1"/>
          <w:sz w:val="24"/>
          <w:szCs w:val="24"/>
        </w:rPr>
        <w:t xml:space="preserve"> 2017;74(12):1259-1265. </w:t>
      </w:r>
      <w:hyperlink r:id="rId303" w:history="1">
        <w:r w:rsidRPr="0060384B">
          <w:rPr>
            <w:rFonts w:ascii="Lato" w:hAnsi="Lato"/>
            <w:color w:val="000000" w:themeColor="text1"/>
            <w:sz w:val="24"/>
            <w:szCs w:val="24"/>
          </w:rPr>
          <w:t>https://www.ncbi.nlm.nih.gov/pubmed/28975188</w:t>
        </w:r>
      </w:hyperlink>
    </w:p>
    <w:p w14:paraId="4ACBF017" w14:textId="77777777" w:rsidR="00000000" w:rsidRPr="0060384B" w:rsidRDefault="00CA5F6F">
      <w:pPr>
        <w:spacing w:line="236" w:lineRule="exact"/>
        <w:rPr>
          <w:rFonts w:ascii="Lato" w:eastAsia="Times New Roman" w:hAnsi="Lato"/>
          <w:color w:val="000000" w:themeColor="text1"/>
          <w:sz w:val="24"/>
          <w:szCs w:val="24"/>
        </w:rPr>
      </w:pPr>
    </w:p>
    <w:p w14:paraId="0CC67C6C" w14:textId="77777777" w:rsidR="00000000" w:rsidRPr="0060384B" w:rsidRDefault="00CA5F6F">
      <w:pPr>
        <w:spacing w:line="247" w:lineRule="auto"/>
        <w:ind w:right="700"/>
        <w:rPr>
          <w:rFonts w:ascii="Lato" w:hAnsi="Lato"/>
          <w:color w:val="000000" w:themeColor="text1"/>
          <w:sz w:val="24"/>
          <w:szCs w:val="24"/>
        </w:rPr>
      </w:pPr>
      <w:r w:rsidRPr="0060384B">
        <w:rPr>
          <w:rFonts w:ascii="Lato" w:hAnsi="Lato"/>
          <w:color w:val="000000" w:themeColor="text1"/>
          <w:sz w:val="24"/>
          <w:szCs w:val="24"/>
        </w:rPr>
        <w:t>Varma VR, O</w:t>
      </w:r>
      <w:r w:rsidRPr="0060384B">
        <w:rPr>
          <w:rFonts w:ascii="Lato" w:hAnsi="Lato"/>
          <w:color w:val="000000" w:themeColor="text1"/>
          <w:sz w:val="24"/>
          <w:szCs w:val="24"/>
        </w:rPr>
        <w:t xml:space="preserve">ommen AM, Varma S, Casanova R, An Y, Andrews RM, et al. Brain and blood metabolite signatures of pathology and progression in Alzheimer disease: A targeted metabolomics study. </w:t>
      </w:r>
      <w:r w:rsidRPr="0060384B">
        <w:rPr>
          <w:rFonts w:ascii="Lato" w:hAnsi="Lato"/>
          <w:color w:val="000000" w:themeColor="text1"/>
          <w:sz w:val="24"/>
          <w:szCs w:val="24"/>
        </w:rPr>
        <w:t>PLoS Medicine</w:t>
      </w:r>
      <w:r w:rsidRPr="0060384B">
        <w:rPr>
          <w:rFonts w:ascii="Lato" w:hAnsi="Lato"/>
          <w:color w:val="000000" w:themeColor="text1"/>
          <w:sz w:val="24"/>
          <w:szCs w:val="24"/>
        </w:rPr>
        <w:t xml:space="preserve"> 2018;15(1). </w:t>
      </w:r>
      <w:hyperlink r:id="rId304" w:history="1">
        <w:r w:rsidRPr="0060384B">
          <w:rPr>
            <w:rFonts w:ascii="Lato" w:hAnsi="Lato"/>
            <w:color w:val="000000" w:themeColor="text1"/>
            <w:sz w:val="24"/>
            <w:szCs w:val="24"/>
          </w:rPr>
          <w:t>https://www.ncbi.nlm.nih.gov/pubmed/29370177</w:t>
        </w:r>
      </w:hyperlink>
    </w:p>
    <w:p w14:paraId="359FFB73" w14:textId="77777777" w:rsidR="00000000" w:rsidRPr="0060384B" w:rsidRDefault="00CA5F6F">
      <w:pPr>
        <w:spacing w:line="246" w:lineRule="exact"/>
        <w:rPr>
          <w:rFonts w:ascii="Lato" w:eastAsia="Times New Roman" w:hAnsi="Lato"/>
          <w:color w:val="000000" w:themeColor="text1"/>
          <w:sz w:val="24"/>
          <w:szCs w:val="24"/>
        </w:rPr>
      </w:pPr>
    </w:p>
    <w:p w14:paraId="557E37CD" w14:textId="77777777" w:rsidR="00000000" w:rsidRPr="0060384B" w:rsidRDefault="00CA5F6F">
      <w:pPr>
        <w:spacing w:line="251" w:lineRule="auto"/>
        <w:ind w:right="120"/>
        <w:rPr>
          <w:rFonts w:ascii="Lato" w:hAnsi="Lato"/>
          <w:color w:val="000000" w:themeColor="text1"/>
          <w:sz w:val="24"/>
          <w:szCs w:val="24"/>
        </w:rPr>
      </w:pPr>
      <w:r w:rsidRPr="0060384B">
        <w:rPr>
          <w:rFonts w:ascii="Lato" w:hAnsi="Lato"/>
          <w:color w:val="000000" w:themeColor="text1"/>
          <w:sz w:val="24"/>
          <w:szCs w:val="24"/>
        </w:rPr>
        <w:t>Vincent GK, Velkoff VA. The next four decades: The older population in the United States: 2010 to 2050</w:t>
      </w:r>
      <w:r w:rsidRPr="0060384B">
        <w:rPr>
          <w:rFonts w:ascii="Lato" w:hAnsi="Lato"/>
          <w:color w:val="000000" w:themeColor="text1"/>
          <w:sz w:val="24"/>
          <w:szCs w:val="24"/>
        </w:rPr>
        <w:t>. Current Population Reports</w:t>
      </w:r>
      <w:r w:rsidRPr="0060384B">
        <w:rPr>
          <w:rFonts w:ascii="Lato" w:hAnsi="Lato"/>
          <w:color w:val="000000" w:themeColor="text1"/>
          <w:sz w:val="24"/>
          <w:szCs w:val="24"/>
        </w:rPr>
        <w:t xml:space="preserve"> 2010;P25-1138. U.S. Census Bureau. </w:t>
      </w:r>
      <w:hyperlink r:id="rId305" w:history="1">
        <w:r w:rsidRPr="0060384B">
          <w:rPr>
            <w:rFonts w:ascii="Lato" w:hAnsi="Lato"/>
            <w:color w:val="000000" w:themeColor="text1"/>
            <w:sz w:val="24"/>
            <w:szCs w:val="24"/>
          </w:rPr>
          <w:t>https://www.census.gov/content/dam/Census/library/publications/2010/demo/p25-1138.pdf</w:t>
        </w:r>
      </w:hyperlink>
    </w:p>
    <w:p w14:paraId="662FA92F" w14:textId="77777777" w:rsidR="00000000" w:rsidRPr="0060384B" w:rsidRDefault="00CA5F6F">
      <w:pPr>
        <w:spacing w:line="240" w:lineRule="exact"/>
        <w:rPr>
          <w:rFonts w:ascii="Lato" w:eastAsia="Times New Roman" w:hAnsi="Lato"/>
          <w:color w:val="000000" w:themeColor="text1"/>
          <w:sz w:val="24"/>
          <w:szCs w:val="24"/>
        </w:rPr>
      </w:pPr>
    </w:p>
    <w:p w14:paraId="4D7A57A0" w14:textId="77777777" w:rsidR="00000000" w:rsidRPr="0060384B" w:rsidRDefault="00CA5F6F">
      <w:pPr>
        <w:spacing w:line="251" w:lineRule="auto"/>
        <w:ind w:right="660"/>
        <w:rPr>
          <w:rFonts w:ascii="Lato" w:hAnsi="Lato"/>
          <w:color w:val="000000" w:themeColor="text1"/>
          <w:sz w:val="24"/>
          <w:szCs w:val="24"/>
        </w:rPr>
      </w:pPr>
      <w:r w:rsidRPr="0060384B">
        <w:rPr>
          <w:rFonts w:ascii="Lato" w:hAnsi="Lato"/>
          <w:color w:val="000000" w:themeColor="text1"/>
          <w:sz w:val="24"/>
          <w:szCs w:val="24"/>
        </w:rPr>
        <w:t>Weden MM, Shih RA, Kabeto MU, Langa KM. Secular trends in dementia and cognitive impairment of U.S. rura</w:t>
      </w:r>
      <w:r w:rsidRPr="0060384B">
        <w:rPr>
          <w:rFonts w:ascii="Lato" w:hAnsi="Lato"/>
          <w:color w:val="000000" w:themeColor="text1"/>
          <w:sz w:val="24"/>
          <w:szCs w:val="24"/>
        </w:rPr>
        <w:t xml:space="preserve">l and urban older adults. </w:t>
      </w:r>
      <w:r w:rsidRPr="0060384B">
        <w:rPr>
          <w:rFonts w:ascii="Lato" w:hAnsi="Lato"/>
          <w:color w:val="000000" w:themeColor="text1"/>
          <w:sz w:val="24"/>
          <w:szCs w:val="24"/>
        </w:rPr>
        <w:t>American Journal of Preventive Medicine</w:t>
      </w:r>
      <w:r w:rsidRPr="0060384B">
        <w:rPr>
          <w:rFonts w:ascii="Lato" w:hAnsi="Lato"/>
          <w:color w:val="000000" w:themeColor="text1"/>
          <w:sz w:val="24"/>
          <w:szCs w:val="24"/>
        </w:rPr>
        <w:t xml:space="preserve"> 2018;54(2):164-172. </w:t>
      </w:r>
      <w:hyperlink r:id="rId306" w:history="1">
        <w:r w:rsidRPr="0060384B">
          <w:rPr>
            <w:rFonts w:ascii="Lato" w:hAnsi="Lato"/>
            <w:color w:val="000000" w:themeColor="text1"/>
            <w:sz w:val="24"/>
            <w:szCs w:val="24"/>
          </w:rPr>
          <w:t>https://www.ncbi.nlm.nih.gov/pubmed/29246677</w:t>
        </w:r>
      </w:hyperlink>
    </w:p>
    <w:p w14:paraId="69807003" w14:textId="77777777" w:rsidR="00000000" w:rsidRPr="0060384B" w:rsidRDefault="00CA5F6F">
      <w:pPr>
        <w:spacing w:line="251" w:lineRule="auto"/>
        <w:ind w:right="66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7F560997" w14:textId="77777777" w:rsidR="00000000" w:rsidRPr="0060384B" w:rsidRDefault="00CA5F6F">
      <w:pPr>
        <w:spacing w:line="200" w:lineRule="exact"/>
        <w:rPr>
          <w:rFonts w:ascii="Lato" w:eastAsia="Times New Roman" w:hAnsi="Lato"/>
          <w:color w:val="000000" w:themeColor="text1"/>
          <w:sz w:val="24"/>
          <w:szCs w:val="24"/>
        </w:rPr>
      </w:pPr>
    </w:p>
    <w:p w14:paraId="22BAD247" w14:textId="77777777" w:rsidR="00000000" w:rsidRPr="0060384B" w:rsidRDefault="00CA5F6F">
      <w:pPr>
        <w:spacing w:line="200" w:lineRule="exact"/>
        <w:rPr>
          <w:rFonts w:ascii="Lato" w:eastAsia="Times New Roman" w:hAnsi="Lato"/>
          <w:color w:val="000000" w:themeColor="text1"/>
          <w:sz w:val="24"/>
          <w:szCs w:val="24"/>
        </w:rPr>
      </w:pPr>
    </w:p>
    <w:p w14:paraId="7421C156" w14:textId="77777777" w:rsidR="00000000" w:rsidRPr="0060384B" w:rsidRDefault="00CA5F6F">
      <w:pPr>
        <w:spacing w:line="200" w:lineRule="exact"/>
        <w:rPr>
          <w:rFonts w:ascii="Lato" w:eastAsia="Times New Roman" w:hAnsi="Lato"/>
          <w:color w:val="000000" w:themeColor="text1"/>
          <w:sz w:val="24"/>
          <w:szCs w:val="24"/>
        </w:rPr>
      </w:pPr>
    </w:p>
    <w:p w14:paraId="4E02EE63" w14:textId="77777777" w:rsidR="00000000" w:rsidRPr="0060384B" w:rsidRDefault="00CA5F6F">
      <w:pPr>
        <w:spacing w:line="200" w:lineRule="exact"/>
        <w:rPr>
          <w:rFonts w:ascii="Lato" w:eastAsia="Times New Roman" w:hAnsi="Lato"/>
          <w:color w:val="000000" w:themeColor="text1"/>
          <w:sz w:val="24"/>
          <w:szCs w:val="24"/>
        </w:rPr>
      </w:pPr>
    </w:p>
    <w:p w14:paraId="61802667" w14:textId="77777777" w:rsidR="00000000" w:rsidRPr="0060384B" w:rsidRDefault="00CA5F6F">
      <w:pPr>
        <w:spacing w:line="200" w:lineRule="exact"/>
        <w:rPr>
          <w:rFonts w:ascii="Lato" w:eastAsia="Times New Roman" w:hAnsi="Lato"/>
          <w:color w:val="000000" w:themeColor="text1"/>
          <w:sz w:val="24"/>
          <w:szCs w:val="24"/>
        </w:rPr>
      </w:pPr>
    </w:p>
    <w:p w14:paraId="0C4E207A" w14:textId="77777777" w:rsidR="00000000" w:rsidRPr="0060384B" w:rsidRDefault="00CA5F6F">
      <w:pPr>
        <w:spacing w:line="200" w:lineRule="exact"/>
        <w:rPr>
          <w:rFonts w:ascii="Lato" w:eastAsia="Times New Roman" w:hAnsi="Lato"/>
          <w:color w:val="000000" w:themeColor="text1"/>
          <w:sz w:val="24"/>
          <w:szCs w:val="24"/>
        </w:rPr>
      </w:pPr>
    </w:p>
    <w:p w14:paraId="2C40A0BE" w14:textId="77777777" w:rsidR="00000000" w:rsidRPr="0060384B" w:rsidRDefault="00CA5F6F">
      <w:pPr>
        <w:spacing w:line="344"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7FF853F7" w14:textId="77777777">
        <w:trPr>
          <w:trHeight w:val="245"/>
        </w:trPr>
        <w:tc>
          <w:tcPr>
            <w:tcW w:w="6540" w:type="dxa"/>
            <w:shd w:val="clear" w:color="auto" w:fill="auto"/>
            <w:vAlign w:val="bottom"/>
          </w:tcPr>
          <w:p w14:paraId="46636A3F"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lastRenderedPageBreak/>
              <w:t>TOGETHER WE SUCCEED</w:t>
            </w:r>
          </w:p>
        </w:tc>
        <w:tc>
          <w:tcPr>
            <w:tcW w:w="2820" w:type="dxa"/>
            <w:shd w:val="clear" w:color="auto" w:fill="auto"/>
            <w:vAlign w:val="bottom"/>
          </w:tcPr>
          <w:p w14:paraId="6EEFC8D4"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75</w:t>
            </w:r>
          </w:p>
        </w:tc>
      </w:tr>
      <w:tr w:rsidR="00000000" w:rsidRPr="0060384B" w14:paraId="159D3D17" w14:textId="77777777">
        <w:trPr>
          <w:trHeight w:val="258"/>
        </w:trPr>
        <w:tc>
          <w:tcPr>
            <w:tcW w:w="6540" w:type="dxa"/>
            <w:shd w:val="clear" w:color="auto" w:fill="auto"/>
            <w:vAlign w:val="bottom"/>
          </w:tcPr>
          <w:p w14:paraId="74BA1ABF"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w:t>
            </w:r>
            <w:r w:rsidRPr="0060384B">
              <w:rPr>
                <w:rFonts w:ascii="Lato" w:hAnsi="Lato"/>
                <w:color w:val="000000" w:themeColor="text1"/>
                <w:sz w:val="24"/>
                <w:szCs w:val="24"/>
              </w:rPr>
              <w:t>iscal Year 2021</w:t>
            </w:r>
          </w:p>
        </w:tc>
        <w:tc>
          <w:tcPr>
            <w:tcW w:w="2820" w:type="dxa"/>
            <w:shd w:val="clear" w:color="auto" w:fill="auto"/>
            <w:vAlign w:val="bottom"/>
          </w:tcPr>
          <w:p w14:paraId="22A10082" w14:textId="77777777" w:rsidR="00000000" w:rsidRPr="0060384B" w:rsidRDefault="00CA5F6F">
            <w:pPr>
              <w:spacing w:line="0" w:lineRule="atLeast"/>
              <w:rPr>
                <w:rFonts w:ascii="Lato" w:eastAsia="Times New Roman" w:hAnsi="Lato"/>
                <w:color w:val="000000" w:themeColor="text1"/>
                <w:sz w:val="24"/>
                <w:szCs w:val="24"/>
              </w:rPr>
            </w:pPr>
          </w:p>
        </w:tc>
      </w:tr>
    </w:tbl>
    <w:p w14:paraId="4C3D683B" w14:textId="77777777" w:rsidR="00000000" w:rsidRPr="0060384B" w:rsidRDefault="00CA5F6F">
      <w:pPr>
        <w:rPr>
          <w:rFonts w:ascii="Lato" w:eastAsia="Times New Roman" w:hAnsi="Lato"/>
          <w:color w:val="000000" w:themeColor="text1"/>
          <w:sz w:val="24"/>
          <w:szCs w:val="24"/>
        </w:rPr>
        <w:sectPr w:rsidR="00000000" w:rsidRPr="0060384B">
          <w:type w:val="continuous"/>
          <w:pgSz w:w="12240" w:h="15840"/>
          <w:pgMar w:top="1133" w:right="1440" w:bottom="0" w:left="1440" w:header="0" w:footer="0" w:gutter="0"/>
          <w:cols w:space="0" w:equalWidth="0">
            <w:col w:w="9360"/>
          </w:cols>
          <w:docGrid w:linePitch="360"/>
        </w:sectPr>
      </w:pPr>
    </w:p>
    <w:p w14:paraId="6AD48735" w14:textId="77777777" w:rsidR="00000000" w:rsidRPr="0060384B" w:rsidRDefault="00CA5F6F">
      <w:pPr>
        <w:spacing w:line="247" w:lineRule="auto"/>
        <w:ind w:right="400"/>
        <w:rPr>
          <w:rFonts w:ascii="Lato" w:hAnsi="Lato"/>
          <w:color w:val="000000" w:themeColor="text1"/>
          <w:sz w:val="24"/>
          <w:szCs w:val="24"/>
        </w:rPr>
      </w:pPr>
      <w:bookmarkStart w:id="78" w:name="page79"/>
      <w:bookmarkEnd w:id="78"/>
      <w:r w:rsidRPr="0060384B">
        <w:rPr>
          <w:rFonts w:ascii="Lato" w:hAnsi="Lato"/>
          <w:color w:val="000000" w:themeColor="text1"/>
          <w:sz w:val="24"/>
          <w:szCs w:val="24"/>
        </w:rPr>
        <w:lastRenderedPageBreak/>
        <w:t xml:space="preserve">Wolff JL, Roter DL, Boyd CM, Roth DL, Echavarria DM, Aufill J, et al. Patient-family agenda setting for primary care patients with cognitive impairment: The SAME Page Trial. </w:t>
      </w:r>
      <w:r w:rsidRPr="0060384B">
        <w:rPr>
          <w:rFonts w:ascii="Lato" w:hAnsi="Lato"/>
          <w:color w:val="000000" w:themeColor="text1"/>
          <w:sz w:val="24"/>
          <w:szCs w:val="24"/>
        </w:rPr>
        <w:t>Journal of</w:t>
      </w:r>
      <w:r w:rsidRPr="0060384B">
        <w:rPr>
          <w:rFonts w:ascii="Lato" w:hAnsi="Lato"/>
          <w:color w:val="000000" w:themeColor="text1"/>
          <w:sz w:val="24"/>
          <w:szCs w:val="24"/>
        </w:rPr>
        <w:t xml:space="preserve"> </w:t>
      </w:r>
      <w:r w:rsidRPr="0060384B">
        <w:rPr>
          <w:rFonts w:ascii="Lato" w:hAnsi="Lato"/>
          <w:color w:val="000000" w:themeColor="text1"/>
          <w:sz w:val="24"/>
          <w:szCs w:val="24"/>
        </w:rPr>
        <w:t xml:space="preserve">General Internal Medicine </w:t>
      </w:r>
      <w:r w:rsidRPr="0060384B">
        <w:rPr>
          <w:rFonts w:ascii="Lato" w:hAnsi="Lato"/>
          <w:color w:val="000000" w:themeColor="text1"/>
          <w:sz w:val="24"/>
          <w:szCs w:val="24"/>
        </w:rPr>
        <w:t>2018;33(9):1478-1486.</w:t>
      </w:r>
      <w:r w:rsidRPr="0060384B">
        <w:rPr>
          <w:rFonts w:ascii="Lato" w:hAnsi="Lato"/>
          <w:color w:val="000000" w:themeColor="text1"/>
          <w:sz w:val="24"/>
          <w:szCs w:val="24"/>
        </w:rPr>
        <w:t xml:space="preserve"> </w:t>
      </w:r>
      <w:hyperlink r:id="rId307" w:history="1">
        <w:r w:rsidRPr="0060384B">
          <w:rPr>
            <w:rFonts w:ascii="Lato" w:hAnsi="Lato"/>
            <w:color w:val="000000" w:themeColor="text1"/>
            <w:sz w:val="24"/>
            <w:szCs w:val="24"/>
          </w:rPr>
          <w:t>https://www.ncbi.nlm.nih.gov/pubmed/30022409</w:t>
        </w:r>
      </w:hyperlink>
    </w:p>
    <w:p w14:paraId="7653EC0B" w14:textId="77777777" w:rsidR="00000000" w:rsidRPr="0060384B" w:rsidRDefault="00CA5F6F">
      <w:pPr>
        <w:spacing w:line="246" w:lineRule="exact"/>
        <w:rPr>
          <w:rFonts w:ascii="Lato" w:eastAsia="Times New Roman" w:hAnsi="Lato"/>
          <w:color w:val="000000" w:themeColor="text1"/>
          <w:sz w:val="24"/>
          <w:szCs w:val="24"/>
        </w:rPr>
      </w:pPr>
    </w:p>
    <w:p w14:paraId="0C936280" w14:textId="77777777" w:rsidR="00000000" w:rsidRPr="0060384B" w:rsidRDefault="00CA5F6F">
      <w:pPr>
        <w:spacing w:line="247" w:lineRule="auto"/>
        <w:ind w:right="140"/>
        <w:rPr>
          <w:rFonts w:ascii="Lato" w:hAnsi="Lato"/>
          <w:color w:val="000000" w:themeColor="text1"/>
          <w:sz w:val="24"/>
          <w:szCs w:val="24"/>
        </w:rPr>
      </w:pPr>
      <w:r w:rsidRPr="0060384B">
        <w:rPr>
          <w:rFonts w:ascii="Lato" w:hAnsi="Lato"/>
          <w:color w:val="000000" w:themeColor="text1"/>
          <w:sz w:val="24"/>
          <w:szCs w:val="24"/>
        </w:rPr>
        <w:t>Wu L, Zhang X, Zhao L. Human ApoE isoforms differentially modulate brain glucose and ketone body metabolism: Implications for Alzheimer</w:t>
      </w:r>
      <w:r w:rsidRPr="0060384B">
        <w:rPr>
          <w:rFonts w:ascii="Lato" w:hAnsi="Lato"/>
          <w:color w:val="000000" w:themeColor="text1"/>
          <w:sz w:val="24"/>
          <w:szCs w:val="24"/>
        </w:rPr>
        <w:t>’s disease risk re</w:t>
      </w:r>
      <w:r w:rsidRPr="0060384B">
        <w:rPr>
          <w:rFonts w:ascii="Lato" w:hAnsi="Lato"/>
          <w:color w:val="000000" w:themeColor="text1"/>
          <w:sz w:val="24"/>
          <w:szCs w:val="24"/>
        </w:rPr>
        <w:t xml:space="preserve">duction and early intervention. </w:t>
      </w:r>
      <w:r w:rsidRPr="0060384B">
        <w:rPr>
          <w:rFonts w:ascii="Lato" w:hAnsi="Lato"/>
          <w:color w:val="000000" w:themeColor="text1"/>
          <w:sz w:val="24"/>
          <w:szCs w:val="24"/>
        </w:rPr>
        <w:t xml:space="preserve">Journal of Neuroscience </w:t>
      </w:r>
      <w:r w:rsidRPr="0060384B">
        <w:rPr>
          <w:rFonts w:ascii="Lato" w:hAnsi="Lato"/>
          <w:color w:val="000000" w:themeColor="text1"/>
          <w:sz w:val="24"/>
          <w:szCs w:val="24"/>
        </w:rPr>
        <w:t>2018;38(30):6665-6681.</w:t>
      </w:r>
      <w:r w:rsidRPr="0060384B">
        <w:rPr>
          <w:rFonts w:ascii="Lato" w:hAnsi="Lato"/>
          <w:color w:val="000000" w:themeColor="text1"/>
          <w:sz w:val="24"/>
          <w:szCs w:val="24"/>
        </w:rPr>
        <w:t xml:space="preserve"> </w:t>
      </w:r>
      <w:hyperlink r:id="rId308" w:history="1">
        <w:r w:rsidRPr="0060384B">
          <w:rPr>
            <w:rFonts w:ascii="Lato" w:hAnsi="Lato"/>
            <w:color w:val="000000" w:themeColor="text1"/>
            <w:sz w:val="24"/>
            <w:szCs w:val="24"/>
          </w:rPr>
          <w:t>https://www.ncbi.nlm.nih.gov/pubmed/29967007</w:t>
        </w:r>
      </w:hyperlink>
    </w:p>
    <w:p w14:paraId="0D368FC3" w14:textId="77777777" w:rsidR="00000000" w:rsidRPr="0060384B" w:rsidRDefault="00CA5F6F">
      <w:pPr>
        <w:spacing w:line="246" w:lineRule="exact"/>
        <w:rPr>
          <w:rFonts w:ascii="Lato" w:eastAsia="Times New Roman" w:hAnsi="Lato"/>
          <w:color w:val="000000" w:themeColor="text1"/>
          <w:sz w:val="24"/>
          <w:szCs w:val="24"/>
        </w:rPr>
      </w:pPr>
    </w:p>
    <w:p w14:paraId="0135D55B" w14:textId="77777777" w:rsidR="00000000" w:rsidRPr="0060384B" w:rsidRDefault="00CA5F6F">
      <w:pPr>
        <w:spacing w:line="247" w:lineRule="auto"/>
        <w:ind w:right="720"/>
        <w:rPr>
          <w:rFonts w:ascii="Lato" w:hAnsi="Lato"/>
          <w:color w:val="000000" w:themeColor="text1"/>
          <w:sz w:val="24"/>
          <w:szCs w:val="24"/>
        </w:rPr>
      </w:pPr>
      <w:r w:rsidRPr="0060384B">
        <w:rPr>
          <w:rFonts w:ascii="Lato" w:hAnsi="Lato"/>
          <w:color w:val="000000" w:themeColor="text1"/>
          <w:sz w:val="24"/>
          <w:szCs w:val="24"/>
        </w:rPr>
        <w:t xml:space="preserve">Yang HS, Yu L, White CC, Chibnik LB, Chhatwal JP, Sperling RA, et al. </w:t>
      </w:r>
      <w:r w:rsidRPr="0060384B">
        <w:rPr>
          <w:rFonts w:ascii="Lato" w:hAnsi="Lato"/>
          <w:color w:val="000000" w:themeColor="text1"/>
          <w:sz w:val="24"/>
          <w:szCs w:val="24"/>
        </w:rPr>
        <w:t xml:space="preserve">Evaluation of TDP-43 proteinopathy and hippocampal sclerosis in relation to APOE </w:t>
      </w:r>
      <w:r w:rsidRPr="0060384B">
        <w:rPr>
          <w:rFonts w:cs="Calibri"/>
          <w:color w:val="000000" w:themeColor="text1"/>
          <w:sz w:val="24"/>
          <w:szCs w:val="24"/>
        </w:rPr>
        <w:t>ε</w:t>
      </w:r>
      <w:r w:rsidRPr="0060384B">
        <w:rPr>
          <w:rFonts w:ascii="Lato" w:hAnsi="Lato"/>
          <w:color w:val="000000" w:themeColor="text1"/>
          <w:sz w:val="24"/>
          <w:szCs w:val="24"/>
        </w:rPr>
        <w:t>4</w:t>
      </w:r>
      <w:r w:rsidRPr="0060384B">
        <w:rPr>
          <w:rFonts w:ascii="Lato" w:hAnsi="Lato"/>
          <w:color w:val="000000" w:themeColor="text1"/>
          <w:sz w:val="24"/>
          <w:szCs w:val="24"/>
        </w:rPr>
        <w:t xml:space="preserve"> haplotype status: A community-based cohort study. </w:t>
      </w:r>
      <w:r w:rsidRPr="0060384B">
        <w:rPr>
          <w:rFonts w:ascii="Lato" w:hAnsi="Lato"/>
          <w:color w:val="000000" w:themeColor="text1"/>
          <w:sz w:val="24"/>
          <w:szCs w:val="24"/>
        </w:rPr>
        <w:t>Lancet Neurology</w:t>
      </w:r>
      <w:r w:rsidRPr="0060384B">
        <w:rPr>
          <w:rFonts w:ascii="Lato" w:hAnsi="Lato"/>
          <w:color w:val="000000" w:themeColor="text1"/>
          <w:sz w:val="24"/>
          <w:szCs w:val="24"/>
        </w:rPr>
        <w:t xml:space="preserve"> 2018;17(9):773-781. </w:t>
      </w:r>
      <w:hyperlink r:id="rId309" w:history="1">
        <w:r w:rsidRPr="0060384B">
          <w:rPr>
            <w:rFonts w:ascii="Lato" w:hAnsi="Lato"/>
            <w:color w:val="000000" w:themeColor="text1"/>
            <w:sz w:val="24"/>
            <w:szCs w:val="24"/>
          </w:rPr>
          <w:t>https://www.ncbi.nlm.nih.</w:t>
        </w:r>
        <w:r w:rsidRPr="0060384B">
          <w:rPr>
            <w:rFonts w:ascii="Lato" w:hAnsi="Lato"/>
            <w:color w:val="000000" w:themeColor="text1"/>
            <w:sz w:val="24"/>
            <w:szCs w:val="24"/>
          </w:rPr>
          <w:t>gov/pubmed/30093249</w:t>
        </w:r>
      </w:hyperlink>
    </w:p>
    <w:p w14:paraId="0946A94D" w14:textId="77777777" w:rsidR="00000000" w:rsidRPr="0060384B" w:rsidRDefault="00CA5F6F">
      <w:pPr>
        <w:spacing w:line="246" w:lineRule="exact"/>
        <w:rPr>
          <w:rFonts w:ascii="Lato" w:eastAsia="Times New Roman" w:hAnsi="Lato"/>
          <w:color w:val="000000" w:themeColor="text1"/>
          <w:sz w:val="24"/>
          <w:szCs w:val="24"/>
        </w:rPr>
      </w:pPr>
    </w:p>
    <w:p w14:paraId="76D9AD03" w14:textId="77777777" w:rsidR="00000000" w:rsidRPr="0060384B" w:rsidRDefault="00CA5F6F">
      <w:pPr>
        <w:spacing w:line="251" w:lineRule="auto"/>
        <w:ind w:right="220"/>
        <w:rPr>
          <w:rFonts w:ascii="Lato" w:hAnsi="Lato"/>
          <w:color w:val="000000" w:themeColor="text1"/>
          <w:sz w:val="24"/>
          <w:szCs w:val="24"/>
        </w:rPr>
      </w:pPr>
      <w:r w:rsidRPr="0060384B">
        <w:rPr>
          <w:rFonts w:ascii="Lato" w:hAnsi="Lato"/>
          <w:color w:val="000000" w:themeColor="text1"/>
          <w:sz w:val="24"/>
          <w:szCs w:val="24"/>
        </w:rPr>
        <w:t xml:space="preserve">Zhao N, Liu CC, Van Ingelgom AJ, Linares C, Kurti A, Knight JA, </w:t>
      </w:r>
      <w:r w:rsidRPr="0060384B">
        <w:rPr>
          <w:rFonts w:ascii="Lato" w:hAnsi="Lato"/>
          <w:color w:val="000000" w:themeColor="text1"/>
          <w:sz w:val="24"/>
          <w:szCs w:val="24"/>
        </w:rPr>
        <w:t xml:space="preserve">et al. APOE </w:t>
      </w:r>
      <w:r w:rsidRPr="0060384B">
        <w:rPr>
          <w:rFonts w:cs="Calibri"/>
          <w:color w:val="000000" w:themeColor="text1"/>
          <w:sz w:val="24"/>
          <w:szCs w:val="24"/>
        </w:rPr>
        <w:t>ε</w:t>
      </w:r>
      <w:r w:rsidRPr="0060384B">
        <w:rPr>
          <w:rFonts w:ascii="Lato" w:hAnsi="Lato"/>
          <w:color w:val="000000" w:themeColor="text1"/>
          <w:sz w:val="24"/>
          <w:szCs w:val="24"/>
        </w:rPr>
        <w:t>2 is associated with</w:t>
      </w:r>
      <w:r w:rsidRPr="0060384B">
        <w:rPr>
          <w:rFonts w:ascii="Lato" w:hAnsi="Lato"/>
          <w:color w:val="000000" w:themeColor="text1"/>
          <w:sz w:val="24"/>
          <w:szCs w:val="24"/>
        </w:rPr>
        <w:t xml:space="preserve"> increased tau pathology in primary tauopathy. </w:t>
      </w:r>
      <w:r w:rsidRPr="0060384B">
        <w:rPr>
          <w:rFonts w:ascii="Lato" w:hAnsi="Lato"/>
          <w:color w:val="000000" w:themeColor="text1"/>
          <w:sz w:val="24"/>
          <w:szCs w:val="24"/>
        </w:rPr>
        <w:t>Nature Communications</w:t>
      </w:r>
      <w:r w:rsidRPr="0060384B">
        <w:rPr>
          <w:rFonts w:ascii="Lato" w:hAnsi="Lato"/>
          <w:color w:val="000000" w:themeColor="text1"/>
          <w:sz w:val="24"/>
          <w:szCs w:val="24"/>
        </w:rPr>
        <w:t xml:space="preserve"> 2018;9(1):4388. </w:t>
      </w:r>
      <w:hyperlink r:id="rId310" w:history="1">
        <w:r w:rsidRPr="0060384B">
          <w:rPr>
            <w:rFonts w:ascii="Lato" w:hAnsi="Lato"/>
            <w:color w:val="000000" w:themeColor="text1"/>
            <w:sz w:val="24"/>
            <w:szCs w:val="24"/>
          </w:rPr>
          <w:t>https://www.ncbi.nlm.nih.gov/pubmed/30348994</w:t>
        </w:r>
      </w:hyperlink>
    </w:p>
    <w:p w14:paraId="17CF40B8" w14:textId="77777777" w:rsidR="00000000" w:rsidRPr="0060384B" w:rsidRDefault="00CA5F6F">
      <w:pPr>
        <w:spacing w:line="251" w:lineRule="auto"/>
        <w:ind w:right="220"/>
        <w:rPr>
          <w:rFonts w:ascii="Lato" w:hAnsi="Lato"/>
          <w:color w:val="000000" w:themeColor="text1"/>
          <w:sz w:val="24"/>
          <w:szCs w:val="24"/>
        </w:rPr>
        <w:sectPr w:rsidR="00000000" w:rsidRPr="0060384B">
          <w:pgSz w:w="12240" w:h="15840"/>
          <w:pgMar w:top="1133" w:right="1440" w:bottom="0" w:left="1440" w:header="0" w:footer="0" w:gutter="0"/>
          <w:cols w:space="0" w:equalWidth="0">
            <w:col w:w="9360"/>
          </w:cols>
          <w:docGrid w:linePitch="360"/>
        </w:sectPr>
      </w:pPr>
    </w:p>
    <w:p w14:paraId="04F28F04" w14:textId="77777777" w:rsidR="00000000" w:rsidRPr="0060384B" w:rsidRDefault="00CA5F6F">
      <w:pPr>
        <w:spacing w:line="200" w:lineRule="exact"/>
        <w:rPr>
          <w:rFonts w:ascii="Lato" w:eastAsia="Times New Roman" w:hAnsi="Lato"/>
          <w:color w:val="000000" w:themeColor="text1"/>
          <w:sz w:val="24"/>
          <w:szCs w:val="24"/>
        </w:rPr>
      </w:pPr>
    </w:p>
    <w:p w14:paraId="68653A75" w14:textId="77777777" w:rsidR="00000000" w:rsidRPr="0060384B" w:rsidRDefault="00CA5F6F">
      <w:pPr>
        <w:spacing w:line="200" w:lineRule="exact"/>
        <w:rPr>
          <w:rFonts w:ascii="Lato" w:eastAsia="Times New Roman" w:hAnsi="Lato"/>
          <w:color w:val="000000" w:themeColor="text1"/>
          <w:sz w:val="24"/>
          <w:szCs w:val="24"/>
        </w:rPr>
      </w:pPr>
    </w:p>
    <w:p w14:paraId="0E808894" w14:textId="77777777" w:rsidR="00000000" w:rsidRPr="0060384B" w:rsidRDefault="00CA5F6F">
      <w:pPr>
        <w:spacing w:line="200" w:lineRule="exact"/>
        <w:rPr>
          <w:rFonts w:ascii="Lato" w:eastAsia="Times New Roman" w:hAnsi="Lato"/>
          <w:color w:val="000000" w:themeColor="text1"/>
          <w:sz w:val="24"/>
          <w:szCs w:val="24"/>
        </w:rPr>
      </w:pPr>
    </w:p>
    <w:p w14:paraId="740442B8" w14:textId="77777777" w:rsidR="00000000" w:rsidRPr="0060384B" w:rsidRDefault="00CA5F6F">
      <w:pPr>
        <w:spacing w:line="200" w:lineRule="exact"/>
        <w:rPr>
          <w:rFonts w:ascii="Lato" w:eastAsia="Times New Roman" w:hAnsi="Lato"/>
          <w:color w:val="000000" w:themeColor="text1"/>
          <w:sz w:val="24"/>
          <w:szCs w:val="24"/>
        </w:rPr>
      </w:pPr>
    </w:p>
    <w:p w14:paraId="62808C72" w14:textId="77777777" w:rsidR="00000000" w:rsidRPr="0060384B" w:rsidRDefault="00CA5F6F">
      <w:pPr>
        <w:spacing w:line="200" w:lineRule="exact"/>
        <w:rPr>
          <w:rFonts w:ascii="Lato" w:eastAsia="Times New Roman" w:hAnsi="Lato"/>
          <w:color w:val="000000" w:themeColor="text1"/>
          <w:sz w:val="24"/>
          <w:szCs w:val="24"/>
        </w:rPr>
      </w:pPr>
    </w:p>
    <w:p w14:paraId="7898D823" w14:textId="77777777" w:rsidR="00000000" w:rsidRPr="0060384B" w:rsidRDefault="00CA5F6F">
      <w:pPr>
        <w:spacing w:line="200" w:lineRule="exact"/>
        <w:rPr>
          <w:rFonts w:ascii="Lato" w:eastAsia="Times New Roman" w:hAnsi="Lato"/>
          <w:color w:val="000000" w:themeColor="text1"/>
          <w:sz w:val="24"/>
          <w:szCs w:val="24"/>
        </w:rPr>
      </w:pPr>
    </w:p>
    <w:p w14:paraId="1AA8B80B" w14:textId="77777777" w:rsidR="00000000" w:rsidRPr="0060384B" w:rsidRDefault="00CA5F6F">
      <w:pPr>
        <w:spacing w:line="200" w:lineRule="exact"/>
        <w:rPr>
          <w:rFonts w:ascii="Lato" w:eastAsia="Times New Roman" w:hAnsi="Lato"/>
          <w:color w:val="000000" w:themeColor="text1"/>
          <w:sz w:val="24"/>
          <w:szCs w:val="24"/>
        </w:rPr>
      </w:pPr>
    </w:p>
    <w:p w14:paraId="55A94540" w14:textId="77777777" w:rsidR="00000000" w:rsidRPr="0060384B" w:rsidRDefault="00CA5F6F">
      <w:pPr>
        <w:spacing w:line="200" w:lineRule="exact"/>
        <w:rPr>
          <w:rFonts w:ascii="Lato" w:eastAsia="Times New Roman" w:hAnsi="Lato"/>
          <w:color w:val="000000" w:themeColor="text1"/>
          <w:sz w:val="24"/>
          <w:szCs w:val="24"/>
        </w:rPr>
      </w:pPr>
    </w:p>
    <w:p w14:paraId="59D29E7C" w14:textId="77777777" w:rsidR="00000000" w:rsidRPr="0060384B" w:rsidRDefault="00CA5F6F">
      <w:pPr>
        <w:spacing w:line="200" w:lineRule="exact"/>
        <w:rPr>
          <w:rFonts w:ascii="Lato" w:eastAsia="Times New Roman" w:hAnsi="Lato"/>
          <w:color w:val="000000" w:themeColor="text1"/>
          <w:sz w:val="24"/>
          <w:szCs w:val="24"/>
        </w:rPr>
      </w:pPr>
    </w:p>
    <w:p w14:paraId="0016ED04" w14:textId="77777777" w:rsidR="00000000" w:rsidRPr="0060384B" w:rsidRDefault="00CA5F6F">
      <w:pPr>
        <w:spacing w:line="200" w:lineRule="exact"/>
        <w:rPr>
          <w:rFonts w:ascii="Lato" w:eastAsia="Times New Roman" w:hAnsi="Lato"/>
          <w:color w:val="000000" w:themeColor="text1"/>
          <w:sz w:val="24"/>
          <w:szCs w:val="24"/>
        </w:rPr>
      </w:pPr>
    </w:p>
    <w:p w14:paraId="0A8F707F" w14:textId="77777777" w:rsidR="00000000" w:rsidRPr="0060384B" w:rsidRDefault="00CA5F6F">
      <w:pPr>
        <w:spacing w:line="200" w:lineRule="exact"/>
        <w:rPr>
          <w:rFonts w:ascii="Lato" w:eastAsia="Times New Roman" w:hAnsi="Lato"/>
          <w:color w:val="000000" w:themeColor="text1"/>
          <w:sz w:val="24"/>
          <w:szCs w:val="24"/>
        </w:rPr>
      </w:pPr>
    </w:p>
    <w:p w14:paraId="3BDB7AE6" w14:textId="77777777" w:rsidR="00000000" w:rsidRPr="0060384B" w:rsidRDefault="00CA5F6F">
      <w:pPr>
        <w:spacing w:line="200" w:lineRule="exact"/>
        <w:rPr>
          <w:rFonts w:ascii="Lato" w:eastAsia="Times New Roman" w:hAnsi="Lato"/>
          <w:color w:val="000000" w:themeColor="text1"/>
          <w:sz w:val="24"/>
          <w:szCs w:val="24"/>
        </w:rPr>
      </w:pPr>
    </w:p>
    <w:p w14:paraId="6E06AAFA" w14:textId="77777777" w:rsidR="00000000" w:rsidRPr="0060384B" w:rsidRDefault="00CA5F6F">
      <w:pPr>
        <w:spacing w:line="200" w:lineRule="exact"/>
        <w:rPr>
          <w:rFonts w:ascii="Lato" w:eastAsia="Times New Roman" w:hAnsi="Lato"/>
          <w:color w:val="000000" w:themeColor="text1"/>
          <w:sz w:val="24"/>
          <w:szCs w:val="24"/>
        </w:rPr>
      </w:pPr>
    </w:p>
    <w:p w14:paraId="10DA3641" w14:textId="77777777" w:rsidR="00000000" w:rsidRPr="0060384B" w:rsidRDefault="00CA5F6F">
      <w:pPr>
        <w:spacing w:line="200" w:lineRule="exact"/>
        <w:rPr>
          <w:rFonts w:ascii="Lato" w:eastAsia="Times New Roman" w:hAnsi="Lato"/>
          <w:color w:val="000000" w:themeColor="text1"/>
          <w:sz w:val="24"/>
          <w:szCs w:val="24"/>
        </w:rPr>
      </w:pPr>
    </w:p>
    <w:p w14:paraId="1E6011CA" w14:textId="77777777" w:rsidR="00000000" w:rsidRPr="0060384B" w:rsidRDefault="00CA5F6F">
      <w:pPr>
        <w:spacing w:line="200" w:lineRule="exact"/>
        <w:rPr>
          <w:rFonts w:ascii="Lato" w:eastAsia="Times New Roman" w:hAnsi="Lato"/>
          <w:color w:val="000000" w:themeColor="text1"/>
          <w:sz w:val="24"/>
          <w:szCs w:val="24"/>
        </w:rPr>
      </w:pPr>
    </w:p>
    <w:p w14:paraId="6697325F" w14:textId="77777777" w:rsidR="00000000" w:rsidRPr="0060384B" w:rsidRDefault="00CA5F6F">
      <w:pPr>
        <w:spacing w:line="200" w:lineRule="exact"/>
        <w:rPr>
          <w:rFonts w:ascii="Lato" w:eastAsia="Times New Roman" w:hAnsi="Lato"/>
          <w:color w:val="000000" w:themeColor="text1"/>
          <w:sz w:val="24"/>
          <w:szCs w:val="24"/>
        </w:rPr>
      </w:pPr>
    </w:p>
    <w:p w14:paraId="517444FF" w14:textId="77777777" w:rsidR="00000000" w:rsidRPr="0060384B" w:rsidRDefault="00CA5F6F">
      <w:pPr>
        <w:spacing w:line="200" w:lineRule="exact"/>
        <w:rPr>
          <w:rFonts w:ascii="Lato" w:eastAsia="Times New Roman" w:hAnsi="Lato"/>
          <w:color w:val="000000" w:themeColor="text1"/>
          <w:sz w:val="24"/>
          <w:szCs w:val="24"/>
        </w:rPr>
      </w:pPr>
    </w:p>
    <w:p w14:paraId="7487C659" w14:textId="77777777" w:rsidR="00000000" w:rsidRPr="0060384B" w:rsidRDefault="00CA5F6F">
      <w:pPr>
        <w:spacing w:line="200" w:lineRule="exact"/>
        <w:rPr>
          <w:rFonts w:ascii="Lato" w:eastAsia="Times New Roman" w:hAnsi="Lato"/>
          <w:color w:val="000000" w:themeColor="text1"/>
          <w:sz w:val="24"/>
          <w:szCs w:val="24"/>
        </w:rPr>
      </w:pPr>
    </w:p>
    <w:p w14:paraId="17D12AC3" w14:textId="77777777" w:rsidR="00000000" w:rsidRPr="0060384B" w:rsidRDefault="00CA5F6F">
      <w:pPr>
        <w:spacing w:line="200" w:lineRule="exact"/>
        <w:rPr>
          <w:rFonts w:ascii="Lato" w:eastAsia="Times New Roman" w:hAnsi="Lato"/>
          <w:color w:val="000000" w:themeColor="text1"/>
          <w:sz w:val="24"/>
          <w:szCs w:val="24"/>
        </w:rPr>
      </w:pPr>
    </w:p>
    <w:p w14:paraId="4E623A01" w14:textId="77777777" w:rsidR="00000000" w:rsidRPr="0060384B" w:rsidRDefault="00CA5F6F">
      <w:pPr>
        <w:spacing w:line="200" w:lineRule="exact"/>
        <w:rPr>
          <w:rFonts w:ascii="Lato" w:eastAsia="Times New Roman" w:hAnsi="Lato"/>
          <w:color w:val="000000" w:themeColor="text1"/>
          <w:sz w:val="24"/>
          <w:szCs w:val="24"/>
        </w:rPr>
      </w:pPr>
    </w:p>
    <w:p w14:paraId="295816ED" w14:textId="77777777" w:rsidR="00000000" w:rsidRPr="0060384B" w:rsidRDefault="00CA5F6F">
      <w:pPr>
        <w:spacing w:line="200" w:lineRule="exact"/>
        <w:rPr>
          <w:rFonts w:ascii="Lato" w:eastAsia="Times New Roman" w:hAnsi="Lato"/>
          <w:color w:val="000000" w:themeColor="text1"/>
          <w:sz w:val="24"/>
          <w:szCs w:val="24"/>
        </w:rPr>
      </w:pPr>
    </w:p>
    <w:p w14:paraId="33743E6B" w14:textId="77777777" w:rsidR="00000000" w:rsidRPr="0060384B" w:rsidRDefault="00CA5F6F">
      <w:pPr>
        <w:spacing w:line="200" w:lineRule="exact"/>
        <w:rPr>
          <w:rFonts w:ascii="Lato" w:eastAsia="Times New Roman" w:hAnsi="Lato"/>
          <w:color w:val="000000" w:themeColor="text1"/>
          <w:sz w:val="24"/>
          <w:szCs w:val="24"/>
        </w:rPr>
      </w:pPr>
    </w:p>
    <w:p w14:paraId="0D8B4AD1" w14:textId="77777777" w:rsidR="00000000" w:rsidRPr="0060384B" w:rsidRDefault="00CA5F6F">
      <w:pPr>
        <w:spacing w:line="200" w:lineRule="exact"/>
        <w:rPr>
          <w:rFonts w:ascii="Lato" w:eastAsia="Times New Roman" w:hAnsi="Lato"/>
          <w:color w:val="000000" w:themeColor="text1"/>
          <w:sz w:val="24"/>
          <w:szCs w:val="24"/>
        </w:rPr>
      </w:pPr>
    </w:p>
    <w:p w14:paraId="33C1F364" w14:textId="77777777" w:rsidR="00000000" w:rsidRPr="0060384B" w:rsidRDefault="00CA5F6F">
      <w:pPr>
        <w:spacing w:line="200" w:lineRule="exact"/>
        <w:rPr>
          <w:rFonts w:ascii="Lato" w:eastAsia="Times New Roman" w:hAnsi="Lato"/>
          <w:color w:val="000000" w:themeColor="text1"/>
          <w:sz w:val="24"/>
          <w:szCs w:val="24"/>
        </w:rPr>
      </w:pPr>
    </w:p>
    <w:p w14:paraId="32A31766" w14:textId="77777777" w:rsidR="00000000" w:rsidRPr="0060384B" w:rsidRDefault="00CA5F6F">
      <w:pPr>
        <w:spacing w:line="200" w:lineRule="exact"/>
        <w:rPr>
          <w:rFonts w:ascii="Lato" w:eastAsia="Times New Roman" w:hAnsi="Lato"/>
          <w:color w:val="000000" w:themeColor="text1"/>
          <w:sz w:val="24"/>
          <w:szCs w:val="24"/>
        </w:rPr>
      </w:pPr>
    </w:p>
    <w:p w14:paraId="35C57641" w14:textId="77777777" w:rsidR="00000000" w:rsidRPr="0060384B" w:rsidRDefault="00CA5F6F">
      <w:pPr>
        <w:spacing w:line="200" w:lineRule="exact"/>
        <w:rPr>
          <w:rFonts w:ascii="Lato" w:eastAsia="Times New Roman" w:hAnsi="Lato"/>
          <w:color w:val="000000" w:themeColor="text1"/>
          <w:sz w:val="24"/>
          <w:szCs w:val="24"/>
        </w:rPr>
      </w:pPr>
    </w:p>
    <w:p w14:paraId="7356590D" w14:textId="77777777" w:rsidR="00000000" w:rsidRPr="0060384B" w:rsidRDefault="00CA5F6F">
      <w:pPr>
        <w:spacing w:line="200" w:lineRule="exact"/>
        <w:rPr>
          <w:rFonts w:ascii="Lato" w:eastAsia="Times New Roman" w:hAnsi="Lato"/>
          <w:color w:val="000000" w:themeColor="text1"/>
          <w:sz w:val="24"/>
          <w:szCs w:val="24"/>
        </w:rPr>
      </w:pPr>
    </w:p>
    <w:p w14:paraId="52A345D3" w14:textId="77777777" w:rsidR="00000000" w:rsidRPr="0060384B" w:rsidRDefault="00CA5F6F">
      <w:pPr>
        <w:spacing w:line="200" w:lineRule="exact"/>
        <w:rPr>
          <w:rFonts w:ascii="Lato" w:eastAsia="Times New Roman" w:hAnsi="Lato"/>
          <w:color w:val="000000" w:themeColor="text1"/>
          <w:sz w:val="24"/>
          <w:szCs w:val="24"/>
        </w:rPr>
      </w:pPr>
    </w:p>
    <w:p w14:paraId="5CBAA477" w14:textId="77777777" w:rsidR="00000000" w:rsidRPr="0060384B" w:rsidRDefault="00CA5F6F">
      <w:pPr>
        <w:spacing w:line="200" w:lineRule="exact"/>
        <w:rPr>
          <w:rFonts w:ascii="Lato" w:eastAsia="Times New Roman" w:hAnsi="Lato"/>
          <w:color w:val="000000" w:themeColor="text1"/>
          <w:sz w:val="24"/>
          <w:szCs w:val="24"/>
        </w:rPr>
      </w:pPr>
    </w:p>
    <w:p w14:paraId="7F4449E2" w14:textId="77777777" w:rsidR="00000000" w:rsidRPr="0060384B" w:rsidRDefault="00CA5F6F">
      <w:pPr>
        <w:spacing w:line="200" w:lineRule="exact"/>
        <w:rPr>
          <w:rFonts w:ascii="Lato" w:eastAsia="Times New Roman" w:hAnsi="Lato"/>
          <w:color w:val="000000" w:themeColor="text1"/>
          <w:sz w:val="24"/>
          <w:szCs w:val="24"/>
        </w:rPr>
      </w:pPr>
    </w:p>
    <w:p w14:paraId="79D36F70" w14:textId="77777777" w:rsidR="00000000" w:rsidRPr="0060384B" w:rsidRDefault="00CA5F6F">
      <w:pPr>
        <w:spacing w:line="200" w:lineRule="exact"/>
        <w:rPr>
          <w:rFonts w:ascii="Lato" w:eastAsia="Times New Roman" w:hAnsi="Lato"/>
          <w:color w:val="000000" w:themeColor="text1"/>
          <w:sz w:val="24"/>
          <w:szCs w:val="24"/>
        </w:rPr>
      </w:pPr>
    </w:p>
    <w:p w14:paraId="3F672422" w14:textId="77777777" w:rsidR="00000000" w:rsidRPr="0060384B" w:rsidRDefault="00CA5F6F">
      <w:pPr>
        <w:spacing w:line="200" w:lineRule="exact"/>
        <w:rPr>
          <w:rFonts w:ascii="Lato" w:eastAsia="Times New Roman" w:hAnsi="Lato"/>
          <w:color w:val="000000" w:themeColor="text1"/>
          <w:sz w:val="24"/>
          <w:szCs w:val="24"/>
        </w:rPr>
      </w:pPr>
    </w:p>
    <w:p w14:paraId="72E1FD59" w14:textId="77777777" w:rsidR="00000000" w:rsidRPr="0060384B" w:rsidRDefault="00CA5F6F">
      <w:pPr>
        <w:spacing w:line="200" w:lineRule="exact"/>
        <w:rPr>
          <w:rFonts w:ascii="Lato" w:eastAsia="Times New Roman" w:hAnsi="Lato"/>
          <w:color w:val="000000" w:themeColor="text1"/>
          <w:sz w:val="24"/>
          <w:szCs w:val="24"/>
        </w:rPr>
      </w:pPr>
    </w:p>
    <w:p w14:paraId="62C126BB" w14:textId="77777777" w:rsidR="00000000" w:rsidRPr="0060384B" w:rsidRDefault="00CA5F6F">
      <w:pPr>
        <w:spacing w:line="200" w:lineRule="exact"/>
        <w:rPr>
          <w:rFonts w:ascii="Lato" w:eastAsia="Times New Roman" w:hAnsi="Lato"/>
          <w:color w:val="000000" w:themeColor="text1"/>
          <w:sz w:val="24"/>
          <w:szCs w:val="24"/>
        </w:rPr>
      </w:pPr>
    </w:p>
    <w:p w14:paraId="26F7C740" w14:textId="77777777" w:rsidR="00000000" w:rsidRPr="0060384B" w:rsidRDefault="00CA5F6F">
      <w:pPr>
        <w:spacing w:line="200" w:lineRule="exact"/>
        <w:rPr>
          <w:rFonts w:ascii="Lato" w:eastAsia="Times New Roman" w:hAnsi="Lato"/>
          <w:color w:val="000000" w:themeColor="text1"/>
          <w:sz w:val="24"/>
          <w:szCs w:val="24"/>
        </w:rPr>
      </w:pPr>
    </w:p>
    <w:p w14:paraId="0AA3AAA2" w14:textId="77777777" w:rsidR="00000000" w:rsidRPr="0060384B" w:rsidRDefault="00CA5F6F">
      <w:pPr>
        <w:spacing w:line="200" w:lineRule="exact"/>
        <w:rPr>
          <w:rFonts w:ascii="Lato" w:eastAsia="Times New Roman" w:hAnsi="Lato"/>
          <w:color w:val="000000" w:themeColor="text1"/>
          <w:sz w:val="24"/>
          <w:szCs w:val="24"/>
        </w:rPr>
      </w:pPr>
    </w:p>
    <w:p w14:paraId="43D5CE29" w14:textId="77777777" w:rsidR="00000000" w:rsidRPr="0060384B" w:rsidRDefault="00CA5F6F">
      <w:pPr>
        <w:spacing w:line="200" w:lineRule="exact"/>
        <w:rPr>
          <w:rFonts w:ascii="Lato" w:eastAsia="Times New Roman" w:hAnsi="Lato"/>
          <w:color w:val="000000" w:themeColor="text1"/>
          <w:sz w:val="24"/>
          <w:szCs w:val="24"/>
        </w:rPr>
      </w:pPr>
    </w:p>
    <w:p w14:paraId="7C52D568" w14:textId="77777777" w:rsidR="00000000" w:rsidRPr="0060384B" w:rsidRDefault="00CA5F6F">
      <w:pPr>
        <w:spacing w:line="200" w:lineRule="exact"/>
        <w:rPr>
          <w:rFonts w:ascii="Lato" w:eastAsia="Times New Roman" w:hAnsi="Lato"/>
          <w:color w:val="000000" w:themeColor="text1"/>
          <w:sz w:val="24"/>
          <w:szCs w:val="24"/>
        </w:rPr>
      </w:pPr>
    </w:p>
    <w:p w14:paraId="10D1E0CF" w14:textId="77777777" w:rsidR="00000000" w:rsidRPr="0060384B" w:rsidRDefault="00CA5F6F">
      <w:pPr>
        <w:spacing w:line="200" w:lineRule="exact"/>
        <w:rPr>
          <w:rFonts w:ascii="Lato" w:eastAsia="Times New Roman" w:hAnsi="Lato"/>
          <w:color w:val="000000" w:themeColor="text1"/>
          <w:sz w:val="24"/>
          <w:szCs w:val="24"/>
        </w:rPr>
      </w:pPr>
    </w:p>
    <w:p w14:paraId="5EAA1993" w14:textId="77777777" w:rsidR="00000000" w:rsidRPr="0060384B" w:rsidRDefault="00CA5F6F">
      <w:pPr>
        <w:spacing w:line="200" w:lineRule="exact"/>
        <w:rPr>
          <w:rFonts w:ascii="Lato" w:eastAsia="Times New Roman" w:hAnsi="Lato"/>
          <w:color w:val="000000" w:themeColor="text1"/>
          <w:sz w:val="24"/>
          <w:szCs w:val="24"/>
        </w:rPr>
      </w:pPr>
    </w:p>
    <w:p w14:paraId="3EA3F4F8" w14:textId="77777777" w:rsidR="00000000" w:rsidRPr="0060384B" w:rsidRDefault="00CA5F6F">
      <w:pPr>
        <w:spacing w:line="200" w:lineRule="exact"/>
        <w:rPr>
          <w:rFonts w:ascii="Lato" w:eastAsia="Times New Roman" w:hAnsi="Lato"/>
          <w:color w:val="000000" w:themeColor="text1"/>
          <w:sz w:val="24"/>
          <w:szCs w:val="24"/>
        </w:rPr>
      </w:pPr>
    </w:p>
    <w:p w14:paraId="32F99C65" w14:textId="77777777" w:rsidR="00000000" w:rsidRPr="0060384B" w:rsidRDefault="00CA5F6F">
      <w:pPr>
        <w:spacing w:line="297" w:lineRule="exact"/>
        <w:rPr>
          <w:rFonts w:ascii="Lato" w:eastAsia="Times New Roman" w:hAnsi="Lato"/>
          <w:color w:val="000000" w:themeColor="text1"/>
          <w:sz w:val="24"/>
          <w:szCs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40"/>
        <w:gridCol w:w="2820"/>
      </w:tblGrid>
      <w:tr w:rsidR="00000000" w:rsidRPr="0060384B" w14:paraId="0254FC0C" w14:textId="77777777">
        <w:trPr>
          <w:trHeight w:val="245"/>
        </w:trPr>
        <w:tc>
          <w:tcPr>
            <w:tcW w:w="6540" w:type="dxa"/>
            <w:shd w:val="clear" w:color="auto" w:fill="auto"/>
            <w:vAlign w:val="bottom"/>
          </w:tcPr>
          <w:p w14:paraId="2CF1A16A"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TOGETHER WE SUCCEED</w:t>
            </w:r>
          </w:p>
        </w:tc>
        <w:tc>
          <w:tcPr>
            <w:tcW w:w="2820" w:type="dxa"/>
            <w:shd w:val="clear" w:color="auto" w:fill="auto"/>
            <w:vAlign w:val="bottom"/>
          </w:tcPr>
          <w:p w14:paraId="4CCA275D" w14:textId="77777777" w:rsidR="00000000" w:rsidRPr="0060384B" w:rsidRDefault="00CA5F6F">
            <w:pPr>
              <w:spacing w:line="0" w:lineRule="atLeast"/>
              <w:jc w:val="right"/>
              <w:rPr>
                <w:rFonts w:ascii="Lato" w:hAnsi="Lato"/>
                <w:color w:val="000000" w:themeColor="text1"/>
                <w:sz w:val="24"/>
                <w:szCs w:val="24"/>
              </w:rPr>
            </w:pPr>
            <w:r w:rsidRPr="0060384B">
              <w:rPr>
                <w:rFonts w:ascii="Lato" w:hAnsi="Lato"/>
                <w:color w:val="000000" w:themeColor="text1"/>
                <w:sz w:val="24"/>
                <w:szCs w:val="24"/>
              </w:rPr>
              <w:t>76</w:t>
            </w:r>
          </w:p>
        </w:tc>
      </w:tr>
      <w:tr w:rsidR="00000000" w:rsidRPr="0060384B" w14:paraId="27561DCE" w14:textId="77777777">
        <w:trPr>
          <w:trHeight w:val="258"/>
        </w:trPr>
        <w:tc>
          <w:tcPr>
            <w:tcW w:w="6540" w:type="dxa"/>
            <w:shd w:val="clear" w:color="auto" w:fill="auto"/>
            <w:vAlign w:val="bottom"/>
          </w:tcPr>
          <w:p w14:paraId="115602FF" w14:textId="77777777" w:rsidR="00000000" w:rsidRPr="0060384B" w:rsidRDefault="00CA5F6F">
            <w:pPr>
              <w:spacing w:line="0" w:lineRule="atLeast"/>
              <w:rPr>
                <w:rFonts w:ascii="Lato" w:hAnsi="Lato"/>
                <w:color w:val="000000" w:themeColor="text1"/>
                <w:sz w:val="24"/>
                <w:szCs w:val="24"/>
              </w:rPr>
            </w:pPr>
            <w:r w:rsidRPr="0060384B">
              <w:rPr>
                <w:rFonts w:ascii="Lato" w:hAnsi="Lato"/>
                <w:color w:val="000000" w:themeColor="text1"/>
                <w:sz w:val="24"/>
                <w:szCs w:val="24"/>
              </w:rPr>
              <w:t>NIH Bypass Budget Proposal for Fiscal Year 2021</w:t>
            </w:r>
          </w:p>
        </w:tc>
        <w:tc>
          <w:tcPr>
            <w:tcW w:w="2820" w:type="dxa"/>
            <w:shd w:val="clear" w:color="auto" w:fill="auto"/>
            <w:vAlign w:val="bottom"/>
          </w:tcPr>
          <w:p w14:paraId="2BBDB1AE" w14:textId="77777777" w:rsidR="00000000" w:rsidRPr="0060384B" w:rsidRDefault="00CA5F6F">
            <w:pPr>
              <w:spacing w:line="0" w:lineRule="atLeast"/>
              <w:rPr>
                <w:rFonts w:ascii="Lato" w:eastAsia="Times New Roman" w:hAnsi="Lato"/>
                <w:color w:val="000000" w:themeColor="text1"/>
                <w:sz w:val="24"/>
                <w:szCs w:val="24"/>
              </w:rPr>
            </w:pPr>
          </w:p>
        </w:tc>
      </w:tr>
    </w:tbl>
    <w:p w14:paraId="2DC22727" w14:textId="77777777" w:rsidR="00CA5F6F" w:rsidRPr="0060384B" w:rsidRDefault="00CA5F6F">
      <w:pPr>
        <w:spacing w:line="1" w:lineRule="exact"/>
        <w:rPr>
          <w:rFonts w:ascii="Lato" w:eastAsia="Times New Roman" w:hAnsi="Lato"/>
          <w:color w:val="000000" w:themeColor="text1"/>
          <w:sz w:val="24"/>
          <w:szCs w:val="24"/>
        </w:rPr>
      </w:pPr>
    </w:p>
    <w:sectPr w:rsidR="00CA5F6F" w:rsidRPr="0060384B">
      <w:type w:val="continuous"/>
      <w:pgSz w:w="12240" w:h="15840"/>
      <w:pgMar w:top="1133" w:right="1440" w:bottom="0" w:left="1440" w:header="0" w:footer="0" w:gutter="0"/>
      <w:cols w:space="0" w:equalWidth="0">
        <w:col w:w="93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1F16E9E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0000002"/>
    <w:multiLevelType w:val="hybridMultilevel"/>
    <w:tmpl w:val="1190CDE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03"/>
    <w:multiLevelType w:val="hybridMultilevel"/>
    <w:tmpl w:val="66EF438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04"/>
    <w:multiLevelType w:val="hybridMultilevel"/>
    <w:tmpl w:val="140E0F7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05"/>
    <w:multiLevelType w:val="hybridMultilevel"/>
    <w:tmpl w:val="3352255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0000006"/>
    <w:multiLevelType w:val="hybridMultilevel"/>
    <w:tmpl w:val="109CF92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0007"/>
    <w:multiLevelType w:val="hybridMultilevel"/>
    <w:tmpl w:val="0DED726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00000008"/>
    <w:multiLevelType w:val="hybridMultilevel"/>
    <w:tmpl w:val="7FDCC23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0000009"/>
    <w:multiLevelType w:val="hybridMultilevel"/>
    <w:tmpl w:val="1BEFD79E"/>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15:restartNumberingAfterBreak="0">
    <w:nsid w:val="0000000A"/>
    <w:multiLevelType w:val="hybridMultilevel"/>
    <w:tmpl w:val="41A7C4C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15:restartNumberingAfterBreak="0">
    <w:nsid w:val="0000000B"/>
    <w:multiLevelType w:val="hybridMultilevel"/>
    <w:tmpl w:val="6B68079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15:restartNumberingAfterBreak="0">
    <w:nsid w:val="0000000C"/>
    <w:multiLevelType w:val="hybridMultilevel"/>
    <w:tmpl w:val="4E6AFB6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15:restartNumberingAfterBreak="0">
    <w:nsid w:val="0000000D"/>
    <w:multiLevelType w:val="hybridMultilevel"/>
    <w:tmpl w:val="25E45D3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15:restartNumberingAfterBreak="0">
    <w:nsid w:val="0000000E"/>
    <w:multiLevelType w:val="hybridMultilevel"/>
    <w:tmpl w:val="519B500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15:restartNumberingAfterBreak="0">
    <w:nsid w:val="0000000F"/>
    <w:multiLevelType w:val="hybridMultilevel"/>
    <w:tmpl w:val="431BD7B6"/>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15:restartNumberingAfterBreak="0">
    <w:nsid w:val="00000010"/>
    <w:multiLevelType w:val="hybridMultilevel"/>
    <w:tmpl w:val="3F2DBA3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15:restartNumberingAfterBreak="0">
    <w:nsid w:val="00000011"/>
    <w:multiLevelType w:val="hybridMultilevel"/>
    <w:tmpl w:val="7C83E458"/>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15:restartNumberingAfterBreak="0">
    <w:nsid w:val="00000012"/>
    <w:multiLevelType w:val="hybridMultilevel"/>
    <w:tmpl w:val="257130A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15:restartNumberingAfterBreak="0">
    <w:nsid w:val="00000013"/>
    <w:multiLevelType w:val="hybridMultilevel"/>
    <w:tmpl w:val="62BBD95A"/>
    <w:lvl w:ilvl="0">
      <w:start w:val="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15:restartNumberingAfterBreak="0">
    <w:nsid w:val="00000014"/>
    <w:multiLevelType w:val="hybridMultilevel"/>
    <w:tmpl w:val="436C612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15:restartNumberingAfterBreak="0">
    <w:nsid w:val="00000015"/>
    <w:multiLevelType w:val="hybridMultilevel"/>
    <w:tmpl w:val="628C895C"/>
    <w:lvl w:ilvl="0">
      <w:start w:val="58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5BD"/>
    <w:rsid w:val="0060384B"/>
    <w:rsid w:val="00CA5F6F"/>
    <w:rsid w:val="00FB4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9D1359"/>
  <w15:chartTrackingRefBased/>
  <w15:docId w15:val="{CCE1392E-6819-45DA-A9AC-27E488CD1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https://grants.nih.gov/grants/guide/rfa-files/RFA-MH-19-510.html" TargetMode="External"/><Relationship Id="rId299" Type="http://schemas.openxmlformats.org/officeDocument/2006/relationships/hyperlink" Target="https://www.ncbi.nlm.nih.gov/pubmed/29937276" TargetMode="External"/><Relationship Id="rId21" Type="http://schemas.openxmlformats.org/officeDocument/2006/relationships/hyperlink" Target="https://www.nia.nih.gov/" TargetMode="External"/><Relationship Id="rId63" Type="http://schemas.openxmlformats.org/officeDocument/2006/relationships/hyperlink" Target="https://hrs.isr.umich.edu/data-products/cognition-data#hcap" TargetMode="External"/><Relationship Id="rId159" Type="http://schemas.openxmlformats.org/officeDocument/2006/relationships/hyperlink" Target="https://grants.nih.gov/grants/guide/pa-files/par-18-661.html" TargetMode="External"/><Relationship Id="rId170" Type="http://schemas.openxmlformats.org/officeDocument/2006/relationships/hyperlink" Target="https://www.ncbi.nlm.nih.gov/pubmed/30615028" TargetMode="External"/><Relationship Id="rId226" Type="http://schemas.openxmlformats.org/officeDocument/2006/relationships/hyperlink" Target="https://www.nia.nih.gov/research/recruitment-strategy" TargetMode="External"/><Relationship Id="rId268" Type="http://schemas.openxmlformats.org/officeDocument/2006/relationships/hyperlink" Target="https://www.ncbi.nlm.nih.gov/pubmed/29335605" TargetMode="External"/><Relationship Id="rId32" Type="http://schemas.openxmlformats.org/officeDocument/2006/relationships/hyperlink" Target="http://www.nia.nih.gov/research/adc" TargetMode="External"/><Relationship Id="rId74" Type="http://schemas.openxmlformats.org/officeDocument/2006/relationships/hyperlink" Target="http://www.nia.nih.gov/research/resource/national-centralized-repository-alzheimers-disease-and-related-dementias-ncrad" TargetMode="External"/><Relationship Id="rId128" Type="http://schemas.openxmlformats.org/officeDocument/2006/relationships/hyperlink" Target="https://www.ncbi.nlm.nih.gov/pubmed/30679382" TargetMode="External"/><Relationship Id="rId5" Type="http://schemas.openxmlformats.org/officeDocument/2006/relationships/image" Target="media/image1.png"/><Relationship Id="rId181" Type="http://schemas.openxmlformats.org/officeDocument/2006/relationships/hyperlink" Target="https://www.ncbi.nlm.nih.gov/pubmed/29963365" TargetMode="External"/><Relationship Id="rId237" Type="http://schemas.openxmlformats.org/officeDocument/2006/relationships/hyperlink" Target="https://aspe.hhs.gov/national-research-summit-care-services-and-supports-persons-dementia-and-their-caregivers" TargetMode="External"/><Relationship Id="rId279" Type="http://schemas.openxmlformats.org/officeDocument/2006/relationships/hyperlink" Target="https://www.ncbi.nlm.nih.gov/pubmed/30679382" TargetMode="External"/><Relationship Id="rId43" Type="http://schemas.openxmlformats.org/officeDocument/2006/relationships/hyperlink" Target="https://www.ncbi.nlm.nih.gov/pubmed/28329815" TargetMode="External"/><Relationship Id="rId139" Type="http://schemas.openxmlformats.org/officeDocument/2006/relationships/hyperlink" Target="https://grants.nih.gov/grants/guide/rfa-files/rfa-ag-18-024.html" TargetMode="External"/><Relationship Id="rId290" Type="http://schemas.openxmlformats.org/officeDocument/2006/relationships/hyperlink" Target="https://www.ncbi.nlm.nih.gov/pubmed/29311653" TargetMode="External"/><Relationship Id="rId304" Type="http://schemas.openxmlformats.org/officeDocument/2006/relationships/hyperlink" Target="https://www.ncbi.nlm.nih.gov/pubmed/29370177" TargetMode="External"/><Relationship Id="rId85" Type="http://schemas.openxmlformats.org/officeDocument/2006/relationships/hyperlink" Target="http://www.nia.nih.gov/research/amp-ad" TargetMode="External"/><Relationship Id="rId150" Type="http://schemas.openxmlformats.org/officeDocument/2006/relationships/hyperlink" Target="https://www.ncbi.nlm.nih.gov/pubmed/30232451" TargetMode="External"/><Relationship Id="rId192" Type="http://schemas.openxmlformats.org/officeDocument/2006/relationships/hyperlink" Target="https://projectreporter.nih.gov/project_info_description.cfm?aid=9594565&amp;icde=44030966&amp;ddparam=&amp;ddvalue=&amp;ddsub=&amp;cr=1&amp;csb=default&amp;cs=ASC&amp;pball=" TargetMode="External"/><Relationship Id="rId206" Type="http://schemas.openxmlformats.org/officeDocument/2006/relationships/hyperlink" Target="https://neuroscienceblueprint.nih.gov/neurotherapeutics/blueprint-neurotherapeutics-bpn-network" TargetMode="External"/><Relationship Id="rId248" Type="http://schemas.openxmlformats.org/officeDocument/2006/relationships/hyperlink" Target="https://projectreporter.nih.gov/project_info_description.cfm?aid=9567449&amp;icde=43127026" TargetMode="External"/><Relationship Id="rId12" Type="http://schemas.openxmlformats.org/officeDocument/2006/relationships/hyperlink" Target="https://www.ncbi.nlm.nih.gov/pmc/articles/PMC4130738/" TargetMode="External"/><Relationship Id="rId108" Type="http://schemas.openxmlformats.org/officeDocument/2006/relationships/hyperlink" Target="https://www.nia.nih.gov/research/dbsr/resource-centers-minority-aging-research-rcmar" TargetMode="External"/><Relationship Id="rId54" Type="http://schemas.openxmlformats.org/officeDocument/2006/relationships/image" Target="media/image6.jpeg"/><Relationship Id="rId96" Type="http://schemas.openxmlformats.org/officeDocument/2006/relationships/hyperlink" Target="https://model-ad.org/" TargetMode="External"/><Relationship Id="rId161" Type="http://schemas.openxmlformats.org/officeDocument/2006/relationships/hyperlink" Target="https://www.ncbi.nlm.nih.gov/pubmed/29335605" TargetMode="External"/><Relationship Id="rId217" Type="http://schemas.openxmlformats.org/officeDocument/2006/relationships/hyperlink" Target="https://www.ncbi.nlm.nih.gov/pubmed/30208380" TargetMode="External"/><Relationship Id="rId259" Type="http://schemas.openxmlformats.org/officeDocument/2006/relationships/hyperlink" Target="https://www.ncbi.nlm.nih.gov/pubmed/21775213" TargetMode="External"/><Relationship Id="rId23" Type="http://schemas.openxmlformats.org/officeDocument/2006/relationships/hyperlink" Target="https://www.ninds.nih.gov/" TargetMode="External"/><Relationship Id="rId119" Type="http://schemas.openxmlformats.org/officeDocument/2006/relationships/hyperlink" Target="https://grants.nih.gov/grants/guide/pa-files/pa-19-095.html" TargetMode="External"/><Relationship Id="rId270" Type="http://schemas.openxmlformats.org/officeDocument/2006/relationships/hyperlink" Target="https://www.ncbi.nlm.nih.gov/pubmed/29963365" TargetMode="External"/><Relationship Id="rId44" Type="http://schemas.openxmlformats.org/officeDocument/2006/relationships/hyperlink" Target="https://www.nia.nih.gov/news/national-academies-committee-sees-promising-inconclusive-evidence-interventions-prevent" TargetMode="External"/><Relationship Id="rId65" Type="http://schemas.openxmlformats.org/officeDocument/2006/relationships/hyperlink" Target="http://www.regardsstudy.org/" TargetMode="External"/><Relationship Id="rId86" Type="http://schemas.openxmlformats.org/officeDocument/2006/relationships/hyperlink" Target="https://ampadportal.org/" TargetMode="External"/><Relationship Id="rId130" Type="http://schemas.openxmlformats.org/officeDocument/2006/relationships/hyperlink" Target="https://www.ncbi.nlm.nih.gov/pubmed/30626715" TargetMode="External"/><Relationship Id="rId151" Type="http://schemas.openxmlformats.org/officeDocument/2006/relationships/hyperlink" Target="https://www.ncbi.nlm.nih.gov/pubmed/29200205" TargetMode="External"/><Relationship Id="rId172" Type="http://schemas.openxmlformats.org/officeDocument/2006/relationships/hyperlink" Target="https://www.ncbi.nlm.nih.gov/pubmed/30014145" TargetMode="External"/><Relationship Id="rId193" Type="http://schemas.openxmlformats.org/officeDocument/2006/relationships/hyperlink" Target="https://projectreporter.nih.gov/project_info_description.cfm?aid=9673257&amp;icde=44032263" TargetMode="External"/><Relationship Id="rId207" Type="http://schemas.openxmlformats.org/officeDocument/2006/relationships/hyperlink" Target="https://neuroscienceblueprint.nih.gov/neurotherapeutics/blueprint-neurotherapeutics-bpn-network" TargetMode="External"/><Relationship Id="rId228" Type="http://schemas.openxmlformats.org/officeDocument/2006/relationships/hyperlink" Target="https://www.nia.nih.gov/research/alzheimers-dementia-outreach-recruitment-engagement-resources" TargetMode="External"/><Relationship Id="rId249" Type="http://schemas.openxmlformats.org/officeDocument/2006/relationships/hyperlink" Target="https://projectreporter.nih.gov/project_info_description.cfm?aid=9567449&amp;icde=43127026" TargetMode="External"/><Relationship Id="rId13" Type="http://schemas.openxmlformats.org/officeDocument/2006/relationships/hyperlink" Target="https://www.census.gov/content/dam/Census/library/publications/2010/demo/p25-1138.pdf" TargetMode="External"/><Relationship Id="rId109" Type="http://schemas.openxmlformats.org/officeDocument/2006/relationships/hyperlink" Target="https://grants.nih.gov/grants/guide/rfa-files/RFA-AG-19-016.html" TargetMode="External"/><Relationship Id="rId260" Type="http://schemas.openxmlformats.org/officeDocument/2006/relationships/hyperlink" Target="https://www.ncbi.nlm.nih.gov/pubmed/30615027" TargetMode="External"/><Relationship Id="rId281" Type="http://schemas.openxmlformats.org/officeDocument/2006/relationships/hyperlink" Target="https://www.ncbi.nlm.nih.gov/pubmed/30002152" TargetMode="External"/><Relationship Id="rId34" Type="http://schemas.openxmlformats.org/officeDocument/2006/relationships/hyperlink" Target="http://www.nia.nih.gov/research/dn/national-alzheimers-coordinating-center-nacc" TargetMode="External"/><Relationship Id="rId55" Type="http://schemas.openxmlformats.org/officeDocument/2006/relationships/hyperlink" Target="https://www.ncbi.nlm.nih.gov/pubmed/29340569" TargetMode="External"/><Relationship Id="rId76" Type="http://schemas.openxmlformats.org/officeDocument/2006/relationships/hyperlink" Target="https://www.nia.nih.gov/research/dbsr/edward-r-roybal-centers-translational-research-behavioral-and-social-sciences-aging" TargetMode="External"/><Relationship Id="rId97" Type="http://schemas.openxmlformats.org/officeDocument/2006/relationships/hyperlink" Target="https://ampadportal.org/#/" TargetMode="External"/><Relationship Id="rId120" Type="http://schemas.openxmlformats.org/officeDocument/2006/relationships/hyperlink" Target="https://sites.duke.edu/adnimetab/" TargetMode="External"/><Relationship Id="rId141" Type="http://schemas.openxmlformats.org/officeDocument/2006/relationships/hyperlink" Target="https://projectreporter.nih.gov/project_info_description.cfm?aid=9654946&amp;icde=44220141&amp;ddparam=&amp;ddvalue=&amp;ddsub=&amp;cr=4&amp;csb=default&amp;cs=ASC&amp;pball=" TargetMode="External"/><Relationship Id="rId7" Type="http://schemas.openxmlformats.org/officeDocument/2006/relationships/image" Target="media/image2.jpeg"/><Relationship Id="rId162" Type="http://schemas.openxmlformats.org/officeDocument/2006/relationships/hyperlink" Target="https://www.ncbi.nlm.nih.gov/pubmed/29937276" TargetMode="External"/><Relationship Id="rId183" Type="http://schemas.openxmlformats.org/officeDocument/2006/relationships/image" Target="media/image11.jpeg"/><Relationship Id="rId218" Type="http://schemas.openxmlformats.org/officeDocument/2006/relationships/hyperlink" Target="https://projectreporter.nih.gov/project_info_description.cfm?aid=9564038&amp;icde=42152866" TargetMode="External"/><Relationship Id="rId239" Type="http://schemas.openxmlformats.org/officeDocument/2006/relationships/hyperlink" Target="https://grants.nih.gov/grants/guide/notice-files/NOT-AG-18-056.html" TargetMode="External"/><Relationship Id="rId250" Type="http://schemas.openxmlformats.org/officeDocument/2006/relationships/hyperlink" Target="https://projectreporter.nih.gov/project_info_description.cfm?aid=9775655&amp;icde=43637992" TargetMode="External"/><Relationship Id="rId271" Type="http://schemas.openxmlformats.org/officeDocument/2006/relationships/hyperlink" Target="https://www.ncbi.nlm.nih.gov/pubmed/28212683" TargetMode="External"/><Relationship Id="rId292" Type="http://schemas.openxmlformats.org/officeDocument/2006/relationships/hyperlink" Target="https://www.ncbi.nlm.nih.gov/pubmed/29868778" TargetMode="External"/><Relationship Id="rId306" Type="http://schemas.openxmlformats.org/officeDocument/2006/relationships/hyperlink" Target="https://www.ncbi.nlm.nih.gov/pubmed/29246677" TargetMode="External"/><Relationship Id="rId24" Type="http://schemas.openxmlformats.org/officeDocument/2006/relationships/hyperlink" Target="https://iadrp.nia.nih.gov/" TargetMode="External"/><Relationship Id="rId45" Type="http://schemas.openxmlformats.org/officeDocument/2006/relationships/hyperlink" Target="https://www.nia.nih.gov/news/national-academies-committee-sees-promising-inconclusive-evidence-interventions-prevent" TargetMode="External"/><Relationship Id="rId66" Type="http://schemas.openxmlformats.org/officeDocument/2006/relationships/hyperlink" Target="http://columbianomas.org/study.html" TargetMode="External"/><Relationship Id="rId87" Type="http://schemas.openxmlformats.org/officeDocument/2006/relationships/hyperlink" Target="https://www.nia.nih.gov/research/dn/amp-ad-biomarkers-project" TargetMode="External"/><Relationship Id="rId110" Type="http://schemas.openxmlformats.org/officeDocument/2006/relationships/hyperlink" Target="http://www.nia.nih.gov/research/milestones/focus-area/enabling-infrastructure" TargetMode="External"/><Relationship Id="rId131" Type="http://schemas.openxmlformats.org/officeDocument/2006/relationships/hyperlink" Target="https://grants.nih.gov/grants/guide/pa-files/PAR-17-029.html" TargetMode="External"/><Relationship Id="rId152" Type="http://schemas.openxmlformats.org/officeDocument/2006/relationships/hyperlink" Target="https://grants.nih.gov/grants/guide/rfa-files/RFA-AG-18-025.html" TargetMode="External"/><Relationship Id="rId173" Type="http://schemas.openxmlformats.org/officeDocument/2006/relationships/hyperlink" Target="https://www.ncbi.nlm.nih.gov/pubmed/30580127" TargetMode="External"/><Relationship Id="rId194" Type="http://schemas.openxmlformats.org/officeDocument/2006/relationships/hyperlink" Target="https://projectreporter.nih.gov/project_info_description.cfm?aid=9621847&amp;icde=42152260" TargetMode="External"/><Relationship Id="rId208" Type="http://schemas.openxmlformats.org/officeDocument/2006/relationships/hyperlink" Target="https://projectreporter.nih.gov/project_info_details.cfm?aid=9199688&amp;icde=0" TargetMode="External"/><Relationship Id="rId229" Type="http://schemas.openxmlformats.org/officeDocument/2006/relationships/hyperlink" Target="https://www.nia.nih.gov/research/alzheimers-dementia-outreach-recruitment-engagement-resources" TargetMode="External"/><Relationship Id="rId240" Type="http://schemas.openxmlformats.org/officeDocument/2006/relationships/hyperlink" Target="https://grants.nih.gov/grants/guide/notice-files/NOT-AG-18-057.html" TargetMode="External"/><Relationship Id="rId261" Type="http://schemas.openxmlformats.org/officeDocument/2006/relationships/hyperlink" Target="https://www.ncbi.nlm.nih.gov/pubmed/29802030" TargetMode="External"/><Relationship Id="rId14" Type="http://schemas.openxmlformats.org/officeDocument/2006/relationships/hyperlink" Target="https://www.census.gov/content/dam/Census/library/publications/2010/demo/p25-1138.pdf" TargetMode="External"/><Relationship Id="rId35" Type="http://schemas.openxmlformats.org/officeDocument/2006/relationships/hyperlink" Target="http://www.nia.nih.gov/research/dn/national-alzheimers-coordinating-center-nacc" TargetMode="External"/><Relationship Id="rId56" Type="http://schemas.openxmlformats.org/officeDocument/2006/relationships/hyperlink" Target="https://www.nia.nih.gov/research/dn/alzheimers-disease-neuroimaging-initiative-adni" TargetMode="External"/><Relationship Id="rId77" Type="http://schemas.openxmlformats.org/officeDocument/2006/relationships/hyperlink" Target="https://www.nia.nih.gov/research/dbsr/edward-r-roybal-centers-translational-research-behavioral-and-social-sciences-aging" TargetMode="External"/><Relationship Id="rId100" Type="http://schemas.openxmlformats.org/officeDocument/2006/relationships/hyperlink" Target="https://www.nia.nih.gov/research/adc" TargetMode="External"/><Relationship Id="rId282" Type="http://schemas.openxmlformats.org/officeDocument/2006/relationships/hyperlink" Target="https://www.ncbi.nlm.nih.gov/pubmed/26438739" TargetMode="External"/><Relationship Id="rId8" Type="http://schemas.openxmlformats.org/officeDocument/2006/relationships/image" Target="media/image3.jpeg"/><Relationship Id="rId98" Type="http://schemas.openxmlformats.org/officeDocument/2006/relationships/hyperlink" Target="https://alzped.nia.nih.gov/" TargetMode="External"/><Relationship Id="rId121" Type="http://schemas.openxmlformats.org/officeDocument/2006/relationships/hyperlink" Target="https://www.ncbi.nlm.nih.gov/pubmed/30337151" TargetMode="External"/><Relationship Id="rId142" Type="http://schemas.openxmlformats.org/officeDocument/2006/relationships/hyperlink" Target="https://grants.nih.gov/grants/guide/rfa-files/rfa-ag-19-025.html" TargetMode="External"/><Relationship Id="rId163" Type="http://schemas.openxmlformats.org/officeDocument/2006/relationships/hyperlink" Target="https://www.nia.nih.gov/research/amp-ad" TargetMode="External"/><Relationship Id="rId184" Type="http://schemas.openxmlformats.org/officeDocument/2006/relationships/hyperlink" Target="https://www.nia.nih.gov/research/amp-ad" TargetMode="External"/><Relationship Id="rId219" Type="http://schemas.openxmlformats.org/officeDocument/2006/relationships/hyperlink" Target="https://projectreporter.nih.gov/project_info_description.cfm?aid=9564038&amp;icde=42152866" TargetMode="External"/><Relationship Id="rId230" Type="http://schemas.openxmlformats.org/officeDocument/2006/relationships/hyperlink" Target="http://www.nia.nih.gov/research/milestones/focus-area/trial-innovation" TargetMode="External"/><Relationship Id="rId251" Type="http://schemas.openxmlformats.org/officeDocument/2006/relationships/hyperlink" Target="https://www.ncbi.nlm.nih.gov/pubmed/29868778" TargetMode="External"/><Relationship Id="rId25" Type="http://schemas.openxmlformats.org/officeDocument/2006/relationships/hyperlink" Target="https://iadrp.nia.nih.gov/" TargetMode="External"/><Relationship Id="rId46" Type="http://schemas.openxmlformats.org/officeDocument/2006/relationships/hyperlink" Target="https://www.ncbi.nlm.nih.gov/pubmed/30321503" TargetMode="External"/><Relationship Id="rId67" Type="http://schemas.openxmlformats.org/officeDocument/2006/relationships/hyperlink" Target="http://columbianomas.org/study.html" TargetMode="External"/><Relationship Id="rId272" Type="http://schemas.openxmlformats.org/officeDocument/2006/relationships/hyperlink" Target="https://www.ncbi.nlm.nih.gov/pubmed/29316249" TargetMode="External"/><Relationship Id="rId293" Type="http://schemas.openxmlformats.org/officeDocument/2006/relationships/hyperlink" Target="https://www.ncbi.nlm.nih.gov/pubmed/30615028" TargetMode="External"/><Relationship Id="rId307" Type="http://schemas.openxmlformats.org/officeDocument/2006/relationships/hyperlink" Target="https://www.ncbi.nlm.nih.gov/pubmed/30022409" TargetMode="External"/><Relationship Id="rId88" Type="http://schemas.openxmlformats.org/officeDocument/2006/relationships/hyperlink" Target="http://www.gaain.org/" TargetMode="External"/><Relationship Id="rId111" Type="http://schemas.openxmlformats.org/officeDocument/2006/relationships/image" Target="media/image9.jpeg"/><Relationship Id="rId132" Type="http://schemas.openxmlformats.org/officeDocument/2006/relationships/hyperlink" Target="https://www.ncbi.nlm.nih.gov/pubmed/29967007" TargetMode="External"/><Relationship Id="rId153" Type="http://schemas.openxmlformats.org/officeDocument/2006/relationships/hyperlink" Target="https://projectreporter.nih.gov/project_info_description.cfm?icde=0&amp;aid=9674854" TargetMode="External"/><Relationship Id="rId174" Type="http://schemas.openxmlformats.org/officeDocument/2006/relationships/hyperlink" Target="https://www.ncbi.nlm.nih.gov/pubmed/29370177" TargetMode="External"/><Relationship Id="rId195" Type="http://schemas.openxmlformats.org/officeDocument/2006/relationships/hyperlink" Target="https://sbir.nih.gov/" TargetMode="External"/><Relationship Id="rId209" Type="http://schemas.openxmlformats.org/officeDocument/2006/relationships/hyperlink" Target="https://clinicaltrials.gov/ct2/show/NCT03817684" TargetMode="External"/><Relationship Id="rId220" Type="http://schemas.openxmlformats.org/officeDocument/2006/relationships/hyperlink" Target="https://www.nia.nih.gov/alzheimers/clinical-trials/exercise-adults-mild-memory-problems-exert" TargetMode="External"/><Relationship Id="rId241" Type="http://schemas.openxmlformats.org/officeDocument/2006/relationships/hyperlink" Target="https://grants.nih.gov/grants/guide/notice-files/NOT-AG-18-057.html" TargetMode="External"/><Relationship Id="rId15" Type="http://schemas.openxmlformats.org/officeDocument/2006/relationships/hyperlink" Target="https://www.ncbi.nlm.nih.gov/pubmed/21775213" TargetMode="External"/><Relationship Id="rId36" Type="http://schemas.openxmlformats.org/officeDocument/2006/relationships/hyperlink" Target="http://www.niagads.org/adsp" TargetMode="External"/><Relationship Id="rId57" Type="http://schemas.openxmlformats.org/officeDocument/2006/relationships/hyperlink" Target="https://www.ncbi.nlm.nih.gov/pubmed/30412497" TargetMode="External"/><Relationship Id="rId262" Type="http://schemas.openxmlformats.org/officeDocument/2006/relationships/hyperlink" Target="https://www.ncbi.nlm.nih.gov/pubmed/30232451" TargetMode="External"/><Relationship Id="rId283" Type="http://schemas.openxmlformats.org/officeDocument/2006/relationships/hyperlink" Target="https://www.ncbi.nlm.nih.gov/pubmed/26502320" TargetMode="External"/><Relationship Id="rId78" Type="http://schemas.openxmlformats.org/officeDocument/2006/relationships/hyperlink" Target="https://www.nia.nih.gov/research/dbsr/resource-centers-minority-aging-research-rcmar" TargetMode="External"/><Relationship Id="rId99" Type="http://schemas.openxmlformats.org/officeDocument/2006/relationships/hyperlink" Target="https://alzped.nia.nih.gov/" TargetMode="External"/><Relationship Id="rId101" Type="http://schemas.openxmlformats.org/officeDocument/2006/relationships/hyperlink" Target="https://www.nia.nih.gov/news/expert-panel-offers-transformative-recommendations-nih-alzheimers-research-centers" TargetMode="External"/><Relationship Id="rId122" Type="http://schemas.openxmlformats.org/officeDocument/2006/relationships/hyperlink" Target="https://www.ncbi.nlm.nih.gov/pubmed/30337152" TargetMode="External"/><Relationship Id="rId143" Type="http://schemas.openxmlformats.org/officeDocument/2006/relationships/hyperlink" Target="https://grants.nih.gov/grants/guide/rfa-files/rfa-ag-19-026.html" TargetMode="External"/><Relationship Id="rId164" Type="http://schemas.openxmlformats.org/officeDocument/2006/relationships/hyperlink" Target="https://www.nia.nih.gov/research/amp-ad" TargetMode="External"/><Relationship Id="rId185" Type="http://schemas.openxmlformats.org/officeDocument/2006/relationships/hyperlink" Target="https://www.nia.nih.gov/research/amp-ad" TargetMode="External"/><Relationship Id="rId9" Type="http://schemas.openxmlformats.org/officeDocument/2006/relationships/hyperlink" Target="https://www.ncbi.nlm.nih.gov/pubmed/23390181" TargetMode="External"/><Relationship Id="rId210" Type="http://schemas.openxmlformats.org/officeDocument/2006/relationships/hyperlink" Target="http://www.nia.nih.gov/research/milestones/focus-area/translational-clinical-research-pharmacological" TargetMode="External"/><Relationship Id="rId26" Type="http://schemas.openxmlformats.org/officeDocument/2006/relationships/hyperlink" Target="https://meetings.ninds.nih.gov/?ID=21149" TargetMode="External"/><Relationship Id="rId231" Type="http://schemas.openxmlformats.org/officeDocument/2006/relationships/hyperlink" Target="https://www.nia.nih.gov/research/alzheimers-dementia-outreach-recruitment-engagement-resources/why-i-participate-alzheimers" TargetMode="External"/><Relationship Id="rId252" Type="http://schemas.openxmlformats.org/officeDocument/2006/relationships/hyperlink" Target="https://www.ncbi.nlm.nih.gov/pubmed/30022409" TargetMode="External"/><Relationship Id="rId273" Type="http://schemas.openxmlformats.org/officeDocument/2006/relationships/hyperlink" Target="https://www.ncbi.nlm.nih.gov/pubmed/30546063" TargetMode="External"/><Relationship Id="rId294" Type="http://schemas.openxmlformats.org/officeDocument/2006/relationships/hyperlink" Target="https://www.ncbi.nlm.nih.gov/pubmed/30643288" TargetMode="External"/><Relationship Id="rId308" Type="http://schemas.openxmlformats.org/officeDocument/2006/relationships/hyperlink" Target="https://www.ncbi.nlm.nih.gov/pubmed/29967007" TargetMode="External"/><Relationship Id="rId47" Type="http://schemas.openxmlformats.org/officeDocument/2006/relationships/hyperlink" Target="https://www.ncbi.nlm.nih.gov/pubmed/29669098" TargetMode="External"/><Relationship Id="rId68" Type="http://schemas.openxmlformats.org/officeDocument/2006/relationships/hyperlink" Target="http://www.nia.nih.gov/research/milestones/focus-area/population-studies-epidemiology-precision-medicine" TargetMode="External"/><Relationship Id="rId89" Type="http://schemas.openxmlformats.org/officeDocument/2006/relationships/hyperlink" Target="http://www.gaain.org/" TargetMode="External"/><Relationship Id="rId112" Type="http://schemas.openxmlformats.org/officeDocument/2006/relationships/hyperlink" Target="https://www.ncbi.nlm.nih.gov/pubmed/28975188" TargetMode="External"/><Relationship Id="rId133" Type="http://schemas.openxmlformats.org/officeDocument/2006/relationships/hyperlink" Target="https://grants.nih.gov/grants/guide/rfa-files/RFA-AG-17-056.html" TargetMode="External"/><Relationship Id="rId154" Type="http://schemas.openxmlformats.org/officeDocument/2006/relationships/hyperlink" Target="https://www.ncbi.nlm.nih.gov/pubmed/29316249" TargetMode="External"/><Relationship Id="rId175" Type="http://schemas.openxmlformats.org/officeDocument/2006/relationships/hyperlink" Target="https://www.ncbi.nlm.nih.gov/pubmed/29328928" TargetMode="External"/><Relationship Id="rId196" Type="http://schemas.openxmlformats.org/officeDocument/2006/relationships/hyperlink" Target="https://sbir.nih.gov/" TargetMode="External"/><Relationship Id="rId200" Type="http://schemas.openxmlformats.org/officeDocument/2006/relationships/hyperlink" Target="https://grants.nih.gov/grants/guide/pa-files/PAR-16-365.html" TargetMode="External"/><Relationship Id="rId16" Type="http://schemas.openxmlformats.org/officeDocument/2006/relationships/hyperlink" Target="https://www.ncbi.nlm.nih.gov/pubmed/26438739" TargetMode="External"/><Relationship Id="rId221" Type="http://schemas.openxmlformats.org/officeDocument/2006/relationships/hyperlink" Target="https://projectreporter.nih.gov/project_info_description.cfm?aid=9784931&amp;icde=42893624" TargetMode="External"/><Relationship Id="rId242" Type="http://schemas.openxmlformats.org/officeDocument/2006/relationships/hyperlink" Target="https://grants.nih.gov/grants/guide/rfa-files/rfa-ag-19-009.html" TargetMode="External"/><Relationship Id="rId263" Type="http://schemas.openxmlformats.org/officeDocument/2006/relationships/hyperlink" Target="https://www.ncbi.nlm.nih.gov/pubmed/30014145" TargetMode="External"/><Relationship Id="rId284" Type="http://schemas.openxmlformats.org/officeDocument/2006/relationships/hyperlink" Target="https://www.ncbi.nlm.nih.gov/pubmed/29382695" TargetMode="External"/><Relationship Id="rId37" Type="http://schemas.openxmlformats.org/officeDocument/2006/relationships/hyperlink" Target="http://www.nia.nih.gov/research/resource/health-and-retirement-study-hrs" TargetMode="External"/><Relationship Id="rId58" Type="http://schemas.openxmlformats.org/officeDocument/2006/relationships/hyperlink" Target="https://www.ncbi.nlm.nih.gov/pubmed/30002152" TargetMode="External"/><Relationship Id="rId79" Type="http://schemas.openxmlformats.org/officeDocument/2006/relationships/hyperlink" Target="http://www.nia.nih.gov/news/decoding-molecular-ties-between-vascular-disease-and-alzheimers" TargetMode="External"/><Relationship Id="rId102" Type="http://schemas.openxmlformats.org/officeDocument/2006/relationships/hyperlink" Target="https://grants.nih.gov/grants/guide/rfa-files/RFA-AG-19-001.html" TargetMode="External"/><Relationship Id="rId123" Type="http://schemas.openxmlformats.org/officeDocument/2006/relationships/hyperlink" Target="https://www.ncbi.nlm.nih.gov/pubmed/30337152" TargetMode="External"/><Relationship Id="rId144" Type="http://schemas.openxmlformats.org/officeDocument/2006/relationships/hyperlink" Target="https://grants.nih.gov/grants/guide/rfa-files/rfa-ag-19-026.html" TargetMode="External"/><Relationship Id="rId90" Type="http://schemas.openxmlformats.org/officeDocument/2006/relationships/hyperlink" Target="https://www.nia.nih.gov/research/dn/alzheimers-clinical-trials-consortium-actc" TargetMode="External"/><Relationship Id="rId165" Type="http://schemas.openxmlformats.org/officeDocument/2006/relationships/hyperlink" Target="https://www.ncbi.nlm.nih.gov/pubmed/30001512" TargetMode="External"/><Relationship Id="rId186" Type="http://schemas.openxmlformats.org/officeDocument/2006/relationships/hyperlink" Target="https://www.synapse.org/#!Synapse:syn2580853/wiki/409840" TargetMode="External"/><Relationship Id="rId211" Type="http://schemas.openxmlformats.org/officeDocument/2006/relationships/hyperlink" Target="http://www.nia.nih.gov/research/milestones/focus-area/translational-clinical-research-pharmacological" TargetMode="External"/><Relationship Id="rId232" Type="http://schemas.openxmlformats.org/officeDocument/2006/relationships/hyperlink" Target="https://www.nia.nih.gov/alzheimers/alzheimers-scientific-images-and-video" TargetMode="External"/><Relationship Id="rId253" Type="http://schemas.openxmlformats.org/officeDocument/2006/relationships/hyperlink" Target="https://www.ncbi.nlm.nih.gov/pmc/articles/PMC5756157/" TargetMode="External"/><Relationship Id="rId274" Type="http://schemas.openxmlformats.org/officeDocument/2006/relationships/hyperlink" Target="https://www.ncbi.nlm.nih.gov/pubmed/29263008" TargetMode="External"/><Relationship Id="rId295" Type="http://schemas.openxmlformats.org/officeDocument/2006/relationships/hyperlink" Target="https://www.ncbi.nlm.nih.gov/pubmed/30595332" TargetMode="External"/><Relationship Id="rId309" Type="http://schemas.openxmlformats.org/officeDocument/2006/relationships/hyperlink" Target="https://www.ncbi.nlm.nih.gov/pubmed/30093249" TargetMode="External"/><Relationship Id="rId27" Type="http://schemas.openxmlformats.org/officeDocument/2006/relationships/hyperlink" Target="https://www.nia.nih.gov/research/milestones" TargetMode="External"/><Relationship Id="rId48" Type="http://schemas.openxmlformats.org/officeDocument/2006/relationships/hyperlink" Target="https://www.ncbi.nlm.nih.gov/pubmed/29246677" TargetMode="External"/><Relationship Id="rId69" Type="http://schemas.openxmlformats.org/officeDocument/2006/relationships/hyperlink" Target="http://www.nia.nih.gov/research/milestones/focus-area/population-studies-epidemiology-precision-medicine" TargetMode="External"/><Relationship Id="rId113" Type="http://schemas.openxmlformats.org/officeDocument/2006/relationships/hyperlink" Target="https://www.ncbi.nlm.nih.gov/pubmed/28975188" TargetMode="External"/><Relationship Id="rId134" Type="http://schemas.openxmlformats.org/officeDocument/2006/relationships/hyperlink" Target="https://grants.nih.gov/grants/guide/rfa-files/RFA-AG-17-056.html" TargetMode="External"/><Relationship Id="rId80" Type="http://schemas.openxmlformats.org/officeDocument/2006/relationships/hyperlink" Target="https://www.ncbi.nlm.nih.gov/pubmed/30820047" TargetMode="External"/><Relationship Id="rId155" Type="http://schemas.openxmlformats.org/officeDocument/2006/relationships/hyperlink" Target="https://www.ncbi.nlm.nih.gov/pubmed/30093249" TargetMode="External"/><Relationship Id="rId176" Type="http://schemas.openxmlformats.org/officeDocument/2006/relationships/hyperlink" Target="https://www.sciencedirect.com/topics/medicine-and-dentistry/clinical-dementia-rating" TargetMode="External"/><Relationship Id="rId197" Type="http://schemas.openxmlformats.org/officeDocument/2006/relationships/hyperlink" Target="https://grants.nih.gov/grants/guide/pa-files/par-18-175.html" TargetMode="External"/><Relationship Id="rId201" Type="http://schemas.openxmlformats.org/officeDocument/2006/relationships/hyperlink" Target="https://grants.nih.gov/grants/guide/pa-files/PAR-16-365.html" TargetMode="External"/><Relationship Id="rId222" Type="http://schemas.openxmlformats.org/officeDocument/2006/relationships/hyperlink" Target="https://projectreporter.nih.gov/project_info_description.cfm?aid=9781086&amp;icde=42893624" TargetMode="External"/><Relationship Id="rId243" Type="http://schemas.openxmlformats.org/officeDocument/2006/relationships/hyperlink" Target="https://projectreporter.nih.gov/project_info_history.cfm?aid=9530573&amp;icde=42937084" TargetMode="External"/><Relationship Id="rId264" Type="http://schemas.openxmlformats.org/officeDocument/2006/relationships/hyperlink" Target="https://www.ncbi.nlm.nih.gov/pubmed/29311743" TargetMode="External"/><Relationship Id="rId285" Type="http://schemas.openxmlformats.org/officeDocument/2006/relationships/hyperlink" Target="https://www.ncbi.nlm.nih.gov/pubmed/30820047" TargetMode="External"/><Relationship Id="rId17" Type="http://schemas.openxmlformats.org/officeDocument/2006/relationships/hyperlink" Target="https://www.ncbi.nlm.nih.gov/pubmed/26502320" TargetMode="External"/><Relationship Id="rId38" Type="http://schemas.openxmlformats.org/officeDocument/2006/relationships/hyperlink" Target="http://www.adgenomics.org/" TargetMode="External"/><Relationship Id="rId59" Type="http://schemas.openxmlformats.org/officeDocument/2006/relationships/hyperlink" Target="https://www.ncbi.nlm.nih.gov/pubmed/30002152" TargetMode="External"/><Relationship Id="rId103" Type="http://schemas.openxmlformats.org/officeDocument/2006/relationships/hyperlink" Target="https://grants.nih.gov/grants/guide/rfa-files/RFA-AG-20-004.html" TargetMode="External"/><Relationship Id="rId124" Type="http://schemas.openxmlformats.org/officeDocument/2006/relationships/hyperlink" Target="https://www.ncbi.nlm.nih.gov/pubmed/30737131" TargetMode="External"/><Relationship Id="rId310" Type="http://schemas.openxmlformats.org/officeDocument/2006/relationships/hyperlink" Target="https://www.ncbi.nlm.nih.gov/pubmed/30348994" TargetMode="External"/><Relationship Id="rId70" Type="http://schemas.openxmlformats.org/officeDocument/2006/relationships/image" Target="media/image7.jpeg"/><Relationship Id="rId91" Type="http://schemas.openxmlformats.org/officeDocument/2006/relationships/hyperlink" Target="http://www.rarediseasesnetwork.org/cms/artfl" TargetMode="External"/><Relationship Id="rId145" Type="http://schemas.openxmlformats.org/officeDocument/2006/relationships/hyperlink" Target="https://grants.nih.gov/grants/guide/notice-files/NOT-AG-18-051.html" TargetMode="External"/><Relationship Id="rId166" Type="http://schemas.openxmlformats.org/officeDocument/2006/relationships/hyperlink" Target="https://www.ncbi.nlm.nih.gov/pubmed/30348994" TargetMode="External"/><Relationship Id="rId187" Type="http://schemas.openxmlformats.org/officeDocument/2006/relationships/hyperlink" Target="https://agora.ampadportal.org/genes" TargetMode="External"/><Relationship Id="rId1" Type="http://schemas.openxmlformats.org/officeDocument/2006/relationships/numbering" Target="numbering.xml"/><Relationship Id="rId212" Type="http://schemas.openxmlformats.org/officeDocument/2006/relationships/image" Target="media/image12.jpeg"/><Relationship Id="rId233" Type="http://schemas.openxmlformats.org/officeDocument/2006/relationships/hyperlink" Target="https://www.nia.nih.gov/alzheimers/alzheimers-scientific-images-and-video" TargetMode="External"/><Relationship Id="rId254" Type="http://schemas.openxmlformats.org/officeDocument/2006/relationships/hyperlink" Target="http://www.nia.nih.gov/research/milestones/focus-area/care-caregiver-support" TargetMode="External"/><Relationship Id="rId28" Type="http://schemas.openxmlformats.org/officeDocument/2006/relationships/hyperlink" Target="https://www.nia.nih.gov/research/milestones" TargetMode="External"/><Relationship Id="rId49" Type="http://schemas.openxmlformats.org/officeDocument/2006/relationships/hyperlink" Target="https://www.ncbi.nlm.nih.gov/pubmed/29246677" TargetMode="External"/><Relationship Id="rId114" Type="http://schemas.openxmlformats.org/officeDocument/2006/relationships/hyperlink" Target="https://www.ncbi.nlm.nih.gov/pubmed/28627380" TargetMode="External"/><Relationship Id="rId275" Type="http://schemas.openxmlformats.org/officeDocument/2006/relationships/hyperlink" Target="https://www.ncbi.nlm.nih.gov/pubmed/29200205" TargetMode="External"/><Relationship Id="rId296" Type="http://schemas.openxmlformats.org/officeDocument/2006/relationships/hyperlink" Target="https://www.ncbi.nlm.nih.gov/pubmed/30337152" TargetMode="External"/><Relationship Id="rId300" Type="http://schemas.openxmlformats.org/officeDocument/2006/relationships/hyperlink" Target="https://www.ncbi.nlm.nih.gov/pubmed/30208380" TargetMode="External"/><Relationship Id="rId60" Type="http://schemas.openxmlformats.org/officeDocument/2006/relationships/hyperlink" Target="https://www.ncbi.nlm.nih.gov/pubmed/29311653" TargetMode="External"/><Relationship Id="rId81" Type="http://schemas.openxmlformats.org/officeDocument/2006/relationships/hyperlink" Target="http://www.adgenomics.org/" TargetMode="External"/><Relationship Id="rId135" Type="http://schemas.openxmlformats.org/officeDocument/2006/relationships/hyperlink" Target="http://www.nia.nih.gov/resilienceandaging" TargetMode="External"/><Relationship Id="rId156" Type="http://schemas.openxmlformats.org/officeDocument/2006/relationships/hyperlink" Target="https://www.ncbi.nlm.nih.gov/pubmed/29311743" TargetMode="External"/><Relationship Id="rId177" Type="http://schemas.openxmlformats.org/officeDocument/2006/relationships/hyperlink" Target="http://www.healthmeasures.net/explore-measurement-systems/nih-toolbox/intro-to-nih-toolbox" TargetMode="External"/><Relationship Id="rId198" Type="http://schemas.openxmlformats.org/officeDocument/2006/relationships/hyperlink" Target="https://grants.nih.gov/grants/guide/pa-files/par-18-175.html" TargetMode="External"/><Relationship Id="rId202" Type="http://schemas.openxmlformats.org/officeDocument/2006/relationships/hyperlink" Target="https://projectreporter.nih.gov/project_info_description.cfm?aid=9565371&amp;icde=42152260" TargetMode="External"/><Relationship Id="rId223" Type="http://schemas.openxmlformats.org/officeDocument/2006/relationships/hyperlink" Target="http://www.nia.nih.gov/research/milestones/focus-area/translational-clinical-research-non-pharmacological" TargetMode="External"/><Relationship Id="rId244" Type="http://schemas.openxmlformats.org/officeDocument/2006/relationships/hyperlink" Target="https://projectreporter.nih.gov/project_info_history.cfm?aid=9530573&amp;icde=42937084" TargetMode="External"/><Relationship Id="rId18" Type="http://schemas.openxmlformats.org/officeDocument/2006/relationships/hyperlink" Target="https://aspe.hhs.gov/national-alzheimers-project-act#NAPA" TargetMode="External"/><Relationship Id="rId39" Type="http://schemas.openxmlformats.org/officeDocument/2006/relationships/hyperlink" Target="https://www.niagads.org/" TargetMode="External"/><Relationship Id="rId265" Type="http://schemas.openxmlformats.org/officeDocument/2006/relationships/hyperlink" Target="https://www.ncbi.nlm.nih.gov/pubmed/29669097" TargetMode="External"/><Relationship Id="rId286" Type="http://schemas.openxmlformats.org/officeDocument/2006/relationships/hyperlink" Target="https://www.ncbi.nlm.nih.gov/pmc/articles/PMC4130738/" TargetMode="External"/><Relationship Id="rId50" Type="http://schemas.openxmlformats.org/officeDocument/2006/relationships/hyperlink" Target="https://www.ncbi.nlm.nih.gov/pubmed/30546063" TargetMode="External"/><Relationship Id="rId104" Type="http://schemas.openxmlformats.org/officeDocument/2006/relationships/hyperlink" Target="https://www.alz.washington.edu/WEB/tissueweb.html" TargetMode="External"/><Relationship Id="rId125" Type="http://schemas.openxmlformats.org/officeDocument/2006/relationships/hyperlink" Target="https://www.ncbi.nlm.nih.gov/pubmed/30643288" TargetMode="External"/><Relationship Id="rId146" Type="http://schemas.openxmlformats.org/officeDocument/2006/relationships/hyperlink" Target="https://grants.nih.gov/grants/guide/rfa-files/RFA-AG-20-013.html" TargetMode="External"/><Relationship Id="rId167" Type="http://schemas.openxmlformats.org/officeDocument/2006/relationships/hyperlink" Target="http://www.nia.nih.gov/research/milestones/focus-area/disease-mechanisms" TargetMode="External"/><Relationship Id="rId188" Type="http://schemas.openxmlformats.org/officeDocument/2006/relationships/hyperlink" Target="https://grants.nih.gov/grants/guide/pa-files/par-18-820.html" TargetMode="External"/><Relationship Id="rId311" Type="http://schemas.openxmlformats.org/officeDocument/2006/relationships/fontTable" Target="fontTable.xml"/><Relationship Id="rId71" Type="http://schemas.openxmlformats.org/officeDocument/2006/relationships/hyperlink" Target="http://www.nia.nih.gov/research/adc" TargetMode="External"/><Relationship Id="rId92" Type="http://schemas.openxmlformats.org/officeDocument/2006/relationships/hyperlink" Target="http://www.rarediseasesnetwork.org/" TargetMode="External"/><Relationship Id="rId213" Type="http://schemas.openxmlformats.org/officeDocument/2006/relationships/hyperlink" Target="https://www.ncbi.nlm.nih.gov/pubmed/30688979" TargetMode="External"/><Relationship Id="rId234" Type="http://schemas.openxmlformats.org/officeDocument/2006/relationships/image" Target="media/image14.jpeg"/><Relationship Id="rId2" Type="http://schemas.openxmlformats.org/officeDocument/2006/relationships/styles" Target="styles.xml"/><Relationship Id="rId29" Type="http://schemas.openxmlformats.org/officeDocument/2006/relationships/hyperlink" Target="https://report.nih.gov/categorical_spending.aspx" TargetMode="External"/><Relationship Id="rId255" Type="http://schemas.openxmlformats.org/officeDocument/2006/relationships/hyperlink" Target="https://www.nia.nih.gov/research/milestones" TargetMode="External"/><Relationship Id="rId276" Type="http://schemas.openxmlformats.org/officeDocument/2006/relationships/hyperlink" Target="https://www.ncbi.nlm.nih.gov/pubmed/23390181" TargetMode="External"/><Relationship Id="rId297" Type="http://schemas.openxmlformats.org/officeDocument/2006/relationships/hyperlink" Target="https://www.ncbi.nlm.nih.gov/pubmed/30321503" TargetMode="External"/><Relationship Id="rId40" Type="http://schemas.openxmlformats.org/officeDocument/2006/relationships/hyperlink" Target="https://www.niagads.org/" TargetMode="External"/><Relationship Id="rId115" Type="http://schemas.openxmlformats.org/officeDocument/2006/relationships/hyperlink" Target="https://grants.nih.gov/grants/guide/notice-files/NOT-AG-18-001.html" TargetMode="External"/><Relationship Id="rId136" Type="http://schemas.openxmlformats.org/officeDocument/2006/relationships/hyperlink" Target="https://grants.nih.gov/grants/guide/rfa-files/rfa-ag-18-029.html" TargetMode="External"/><Relationship Id="rId157" Type="http://schemas.openxmlformats.org/officeDocument/2006/relationships/hyperlink" Target="https://grants.nih.gov/grants/guide/rfa-files/rfa-ns-18-015.html" TargetMode="External"/><Relationship Id="rId178" Type="http://schemas.openxmlformats.org/officeDocument/2006/relationships/hyperlink" Target="https://projectreporter.nih.gov/project_info_description.cfm?aid=9593254&amp;icde=42940188&amp;ddparam=&amp;ddvalue=&amp;ddsub=&amp;cr=4&amp;csb=default&amp;cs=ASC&amp;pball=" TargetMode="External"/><Relationship Id="rId301" Type="http://schemas.openxmlformats.org/officeDocument/2006/relationships/hyperlink" Target="https://www.ncbi.nlm.nih.gov/pubmed/30688979" TargetMode="External"/><Relationship Id="rId61" Type="http://schemas.openxmlformats.org/officeDocument/2006/relationships/hyperlink" Target="https://www.ncbi.nlm.nih.gov/pubmed/29263008" TargetMode="External"/><Relationship Id="rId82" Type="http://schemas.openxmlformats.org/officeDocument/2006/relationships/hyperlink" Target="https://www.nia.nih.gov/research/dn/alzheimers-disease-sequencing-project-adsp-description-discovery-phase-and-follow-study" TargetMode="External"/><Relationship Id="rId199" Type="http://schemas.openxmlformats.org/officeDocument/2006/relationships/hyperlink" Target="https://projectreporter.nih.gov/project_info_description.cfm?aid=9590459&amp;icde=42152260&amp;ddparam=&amp;ddvalue=&amp;ddsub=&amp;cr=1&amp;csb=default&amp;cs=ASC&amp;pball=" TargetMode="External"/><Relationship Id="rId203" Type="http://schemas.openxmlformats.org/officeDocument/2006/relationships/hyperlink" Target="https://projectreporter.nih.gov/project_info_description.cfm?aid=9642036&amp;icde=44153471&amp;ddparam=&amp;ddvalue=&amp;ddsub=&amp;cr=1&amp;csb=default&amp;cs=ASC&amp;pball=" TargetMode="External"/><Relationship Id="rId19" Type="http://schemas.openxmlformats.org/officeDocument/2006/relationships/hyperlink" Target="https://aspe.hhs.gov/national-alzheimers-project-act#NAPA" TargetMode="External"/><Relationship Id="rId224" Type="http://schemas.openxmlformats.org/officeDocument/2006/relationships/hyperlink" Target="http://www.nia.nih.gov/research/milestones/focus-area/translational-clinical-research-non-pharmacological" TargetMode="External"/><Relationship Id="rId245" Type="http://schemas.openxmlformats.org/officeDocument/2006/relationships/hyperlink" Target="https://projectreporter.nih.gov/project_info_description.cfm?aid=9469467&amp;icde=43126422" TargetMode="External"/><Relationship Id="rId266" Type="http://schemas.openxmlformats.org/officeDocument/2006/relationships/hyperlink" Target="https://www.ncbi.nlm.nih.gov/pubmed/30742116" TargetMode="External"/><Relationship Id="rId287" Type="http://schemas.openxmlformats.org/officeDocument/2006/relationships/hyperlink" Target="https://www.ncbi.nlm.nih.gov/pubmed/28329815" TargetMode="External"/><Relationship Id="rId30" Type="http://schemas.openxmlformats.org/officeDocument/2006/relationships/image" Target="media/image4.jpeg"/><Relationship Id="rId105" Type="http://schemas.openxmlformats.org/officeDocument/2006/relationships/hyperlink" Target="https://www.nia.nih.gov/research/dbsr/edward-r-roybal-centers-translation-research-behavioral-and-social-sciences-aging" TargetMode="External"/><Relationship Id="rId126" Type="http://schemas.openxmlformats.org/officeDocument/2006/relationships/hyperlink" Target="https://www.ncbi.nlm.nih.gov/pubmed/30742116" TargetMode="External"/><Relationship Id="rId147" Type="http://schemas.openxmlformats.org/officeDocument/2006/relationships/hyperlink" Target="https://grants.nih.gov/grants/guide/rfa-files/RFA-AG-20-014.html" TargetMode="External"/><Relationship Id="rId168" Type="http://schemas.openxmlformats.org/officeDocument/2006/relationships/image" Target="media/image10.jpeg"/><Relationship Id="rId312" Type="http://schemas.openxmlformats.org/officeDocument/2006/relationships/theme" Target="theme/theme1.xml"/><Relationship Id="rId51" Type="http://schemas.openxmlformats.org/officeDocument/2006/relationships/hyperlink" Target="http://web.pasteur-lille.fr/en/recherche/u744/igap/igap_download.php" TargetMode="External"/><Relationship Id="rId72" Type="http://schemas.openxmlformats.org/officeDocument/2006/relationships/hyperlink" Target="http://www.nia.nih.gov/research/dn/national-alzheimers-coordinating-center-nacc" TargetMode="External"/><Relationship Id="rId93" Type="http://schemas.openxmlformats.org/officeDocument/2006/relationships/hyperlink" Target="http://www.rarediseasesnetwork.org/" TargetMode="External"/><Relationship Id="rId189" Type="http://schemas.openxmlformats.org/officeDocument/2006/relationships/hyperlink" Target="https://projectreporter.nih.gov/project_info_description.cfm?aid=9520552&amp;icde=44013095" TargetMode="External"/><Relationship Id="rId3" Type="http://schemas.openxmlformats.org/officeDocument/2006/relationships/settings" Target="settings.xml"/><Relationship Id="rId214" Type="http://schemas.openxmlformats.org/officeDocument/2006/relationships/hyperlink" Target="https://www.ncbi.nlm.nih.gov/pubmed/30688979" TargetMode="External"/><Relationship Id="rId235" Type="http://schemas.openxmlformats.org/officeDocument/2006/relationships/hyperlink" Target="http://www.nationalacademies.org/hmd/Activities/Aging/CareInterventionsforIndividualswithDementiaandTheirCaregivers.aspx" TargetMode="External"/><Relationship Id="rId256" Type="http://schemas.openxmlformats.org/officeDocument/2006/relationships/hyperlink" Target="https://www.nia.nih.gov/research/milestones" TargetMode="External"/><Relationship Id="rId277" Type="http://schemas.openxmlformats.org/officeDocument/2006/relationships/hyperlink" Target="https://www.ncbi.nlm.nih.gov/pubmed/29669098" TargetMode="External"/><Relationship Id="rId298" Type="http://schemas.openxmlformats.org/officeDocument/2006/relationships/hyperlink" Target="https://www.ncbi.nlm.nih.gov/pubmed/30412497" TargetMode="External"/><Relationship Id="rId116" Type="http://schemas.openxmlformats.org/officeDocument/2006/relationships/hyperlink" Target="https://grants.nih.gov/grants/guide/notice-files/NOT-AG-18-001.html" TargetMode="External"/><Relationship Id="rId137" Type="http://schemas.openxmlformats.org/officeDocument/2006/relationships/hyperlink" Target="https://grants.nih.gov/grants/guide/rfa-files/rfa-ag-18-029.html" TargetMode="External"/><Relationship Id="rId158" Type="http://schemas.openxmlformats.org/officeDocument/2006/relationships/hyperlink" Target="https://grants.nih.gov/grants/guide/rfa-files/rfa-ns-18-015.html" TargetMode="External"/><Relationship Id="rId302" Type="http://schemas.openxmlformats.org/officeDocument/2006/relationships/hyperlink" Target="https://www.ncbi.nlm.nih.gov/pubmed/29328928" TargetMode="External"/><Relationship Id="rId20" Type="http://schemas.openxmlformats.org/officeDocument/2006/relationships/hyperlink" Target="https://aspe.hhs.gov/national-plans-address-alzheimers-disease" TargetMode="External"/><Relationship Id="rId41" Type="http://schemas.openxmlformats.org/officeDocument/2006/relationships/hyperlink" Target="https://www.ncbi.nlm.nih.gov/pubmed/29396109" TargetMode="External"/><Relationship Id="rId62" Type="http://schemas.openxmlformats.org/officeDocument/2006/relationships/hyperlink" Target="https://www.ncbi.nlm.nih.gov/pubmed/29802030" TargetMode="External"/><Relationship Id="rId83" Type="http://schemas.openxmlformats.org/officeDocument/2006/relationships/hyperlink" Target="https://www.nia.nih.gov/research/dn/alzheimers-disease-sequencing-project-adsp-description-discovery-phase-and-follow-study" TargetMode="External"/><Relationship Id="rId179" Type="http://schemas.openxmlformats.org/officeDocument/2006/relationships/hyperlink" Target="https://projectreporter.nih.gov/project_info_description.cfm?aid=9593880&amp;icde=43011920&amp;ddparam=&amp;ddvalue=&amp;ddsub=&amp;cr=2&amp;csb=default&amp;cs=ASC&amp;pball=" TargetMode="External"/><Relationship Id="rId190" Type="http://schemas.openxmlformats.org/officeDocument/2006/relationships/hyperlink" Target="https://projectreporter.nih.gov/project_info_description.cfm?aid=9525788&amp;icde=44030592&amp;ddparam=&amp;ddvalue=&amp;ddsub=&amp;cr=2&amp;csb=default&amp;cs=ASC&amp;pball=" TargetMode="External"/><Relationship Id="rId204" Type="http://schemas.openxmlformats.org/officeDocument/2006/relationships/hyperlink" Target="https://grants.nih.gov/grants/guide/pa-files/PAR-17-032.html" TargetMode="External"/><Relationship Id="rId225" Type="http://schemas.openxmlformats.org/officeDocument/2006/relationships/image" Target="media/image13.jpeg"/><Relationship Id="rId246" Type="http://schemas.openxmlformats.org/officeDocument/2006/relationships/hyperlink" Target="https://projectreporter.nih.gov/project_info_description.cfm?aid=9469467&amp;icde=43126422" TargetMode="External"/><Relationship Id="rId267" Type="http://schemas.openxmlformats.org/officeDocument/2006/relationships/hyperlink" Target="https://www.ncbi.nlm.nih.gov/pubmed/30001512" TargetMode="External"/><Relationship Id="rId288" Type="http://schemas.openxmlformats.org/officeDocument/2006/relationships/hyperlink" Target="https://www.ncbi.nlm.nih.gov/pubmed/30626715" TargetMode="External"/><Relationship Id="rId106" Type="http://schemas.openxmlformats.org/officeDocument/2006/relationships/hyperlink" Target="https://www.nia.nih.gov/research/dbsr/edward-r-roybal-centers-translation-research-behavioral-and-social-sciences-aging" TargetMode="External"/><Relationship Id="rId127" Type="http://schemas.openxmlformats.org/officeDocument/2006/relationships/hyperlink" Target="https://www.ncbi.nlm.nih.gov/pubmed/29382695" TargetMode="External"/><Relationship Id="rId10" Type="http://schemas.openxmlformats.org/officeDocument/2006/relationships/hyperlink" Target="https://www.ncbi.nlm.nih.gov/pubmed/23390181" TargetMode="External"/><Relationship Id="rId31" Type="http://schemas.openxmlformats.org/officeDocument/2006/relationships/image" Target="media/image5.jpeg"/><Relationship Id="rId52" Type="http://schemas.openxmlformats.org/officeDocument/2006/relationships/hyperlink" Target="https://www.ncbi.nlm.nih.gov/pubmed/30820047" TargetMode="External"/><Relationship Id="rId73" Type="http://schemas.openxmlformats.org/officeDocument/2006/relationships/hyperlink" Target="http://www.nia.nih.gov/research/dn/national-alzheimers-coordinating-center-nacc" TargetMode="External"/><Relationship Id="rId94" Type="http://schemas.openxmlformats.org/officeDocument/2006/relationships/image" Target="media/image8.png"/><Relationship Id="rId148" Type="http://schemas.openxmlformats.org/officeDocument/2006/relationships/hyperlink" Target="https://grants.nih.gov/grants/guide/rfa-files/RFA-AG-20-014.html" TargetMode="External"/><Relationship Id="rId169" Type="http://schemas.openxmlformats.org/officeDocument/2006/relationships/hyperlink" Target="https://www.ncbi.nlm.nih.gov/pubmed/29653606" TargetMode="External"/><Relationship Id="rId4" Type="http://schemas.openxmlformats.org/officeDocument/2006/relationships/webSettings" Target="webSettings.xml"/><Relationship Id="rId180" Type="http://schemas.openxmlformats.org/officeDocument/2006/relationships/hyperlink" Target="https://www.detectcid.org/" TargetMode="External"/><Relationship Id="rId215" Type="http://schemas.openxmlformats.org/officeDocument/2006/relationships/hyperlink" Target="https://www.nhlbi.nih.gov/science/systolic-blood-pressure-intervention-trial-sprint-study" TargetMode="External"/><Relationship Id="rId236" Type="http://schemas.openxmlformats.org/officeDocument/2006/relationships/hyperlink" Target="https://aspe.hhs.gov/national-research-summit-care-services-and-supports-persons-dementia-and-their-caregivers" TargetMode="External"/><Relationship Id="rId257" Type="http://schemas.openxmlformats.org/officeDocument/2006/relationships/hyperlink" Target="https://www.ncbi.nlm.nih.gov/pubmed/30580127" TargetMode="External"/><Relationship Id="rId278" Type="http://schemas.openxmlformats.org/officeDocument/2006/relationships/hyperlink" Target="https://www.cdc.gov/nchs/data/nvsr/nvsr67/nvsr67_06.pdf" TargetMode="External"/><Relationship Id="rId303" Type="http://schemas.openxmlformats.org/officeDocument/2006/relationships/hyperlink" Target="https://www.ncbi.nlm.nih.gov/pubmed/28975188" TargetMode="External"/><Relationship Id="rId42" Type="http://schemas.openxmlformats.org/officeDocument/2006/relationships/hyperlink" Target="https://www.ncbi.nlm.nih.gov/pubmed/29669097" TargetMode="External"/><Relationship Id="rId84" Type="http://schemas.openxmlformats.org/officeDocument/2006/relationships/hyperlink" Target="http://www.nia.nih.gov/research/amp-ad" TargetMode="External"/><Relationship Id="rId138" Type="http://schemas.openxmlformats.org/officeDocument/2006/relationships/hyperlink" Target="https://www.ncbi.nlm.nih.gov/pubmed/30595332" TargetMode="External"/><Relationship Id="rId191" Type="http://schemas.openxmlformats.org/officeDocument/2006/relationships/hyperlink" Target="https://projectreporter.nih.gov/project_info_description.cfm?aid=9519769&amp;icde=44030776&amp;ddparam=&amp;ddvalue=&amp;ddsub=&amp;cr=1&amp;csb=default&amp;cs=ASC&amp;pball=" TargetMode="External"/><Relationship Id="rId205" Type="http://schemas.openxmlformats.org/officeDocument/2006/relationships/hyperlink" Target="https://www.ncbi.nlm.nih.gov/pubmed/28212683" TargetMode="External"/><Relationship Id="rId247" Type="http://schemas.openxmlformats.org/officeDocument/2006/relationships/hyperlink" Target="https://projectreporter.nih.gov/project_info_description.cfm?aid=9747540&amp;icde=43126911" TargetMode="External"/><Relationship Id="rId107" Type="http://schemas.openxmlformats.org/officeDocument/2006/relationships/hyperlink" Target="https://www.nia.nih.gov/research/dbsr/resource-centers-minority-aging-research-rcmar" TargetMode="External"/><Relationship Id="rId289" Type="http://schemas.openxmlformats.org/officeDocument/2006/relationships/hyperlink" Target="https://www.ncbi.nlm.nih.gov/pubmed/30337151" TargetMode="External"/><Relationship Id="rId11" Type="http://schemas.openxmlformats.org/officeDocument/2006/relationships/hyperlink" Target="https://www.cdc.gov/nchs/data/nvsr/nvsr67/nvsr67_06.pdf" TargetMode="External"/><Relationship Id="rId53" Type="http://schemas.openxmlformats.org/officeDocument/2006/relationships/hyperlink" Target="https://www.ncbi.nlm.nih.gov/pubmed/30820047" TargetMode="External"/><Relationship Id="rId149" Type="http://schemas.openxmlformats.org/officeDocument/2006/relationships/hyperlink" Target="https://www.ncbi.nlm.nih.gov/pubmed/30232451" TargetMode="External"/><Relationship Id="rId95" Type="http://schemas.microsoft.com/office/2007/relationships/hdphoto" Target="media/hdphoto2.wdp"/><Relationship Id="rId160" Type="http://schemas.openxmlformats.org/officeDocument/2006/relationships/hyperlink" Target="https://www.ncbi.nlm.nih.gov/pubmed/29335605" TargetMode="External"/><Relationship Id="rId216" Type="http://schemas.openxmlformats.org/officeDocument/2006/relationships/hyperlink" Target="https://projectreporter.nih.gov/project_info_description.cfm?aid=9288712&amp;icde=36839619&amp;ddparam=&amp;ddvalue=&amp;ddsub=&amp;cr=10&amp;csb=default&amp;cs=ASC&amp;pball" TargetMode="External"/><Relationship Id="rId258" Type="http://schemas.openxmlformats.org/officeDocument/2006/relationships/hyperlink" Target="https://www.ncbi.nlm.nih.gov/pubmed/29340569" TargetMode="External"/><Relationship Id="rId22" Type="http://schemas.openxmlformats.org/officeDocument/2006/relationships/hyperlink" Target="https://www.nia.nih.gov/" TargetMode="External"/><Relationship Id="rId64" Type="http://schemas.openxmlformats.org/officeDocument/2006/relationships/hyperlink" Target="https://projectreporter.nih.gov/project_info_description.cfm?aid=9618704&amp;icde=42939202" TargetMode="External"/><Relationship Id="rId118" Type="http://schemas.openxmlformats.org/officeDocument/2006/relationships/hyperlink" Target="https://grants.nih.gov/grants/guide/pa-files/pa-19-095.html" TargetMode="External"/><Relationship Id="rId171" Type="http://schemas.openxmlformats.org/officeDocument/2006/relationships/hyperlink" Target="https://www.ncbi.nlm.nih.gov/pubmed/30615027" TargetMode="External"/><Relationship Id="rId227" Type="http://schemas.openxmlformats.org/officeDocument/2006/relationships/hyperlink" Target="https://www.nia.nih.gov/research/recruitment-strategy" TargetMode="External"/><Relationship Id="rId269" Type="http://schemas.openxmlformats.org/officeDocument/2006/relationships/hyperlink" Target="https://www.ncbi.nlm.nih.gov/pubmed/28627380" TargetMode="External"/><Relationship Id="rId33" Type="http://schemas.openxmlformats.org/officeDocument/2006/relationships/hyperlink" Target="http://www.nia.nih.gov/research/resource/national-centralized-repository-alzheimers-disease-and-related-dementias-ncrad" TargetMode="External"/><Relationship Id="rId129" Type="http://schemas.openxmlformats.org/officeDocument/2006/relationships/hyperlink" Target="https://www.ncbi.nlm.nih.gov/pubmed/30626715" TargetMode="External"/><Relationship Id="rId280" Type="http://schemas.openxmlformats.org/officeDocument/2006/relationships/hyperlink" Target="https://www.ncbi.nlm.nih.gov/pubmed/29396109" TargetMode="External"/><Relationship Id="rId75" Type="http://schemas.openxmlformats.org/officeDocument/2006/relationships/hyperlink" Target="http://adni.loni.usc.edu/" TargetMode="External"/><Relationship Id="rId140" Type="http://schemas.openxmlformats.org/officeDocument/2006/relationships/hyperlink" Target="https://grants.nih.gov/grants/guide/rfa-files/rfa-ag-18-024.html" TargetMode="External"/><Relationship Id="rId182" Type="http://schemas.openxmlformats.org/officeDocument/2006/relationships/hyperlink" Target="http://www.nia.nih.gov/research/milestones/focus-area/biomarkers-diagnosis" TargetMode="External"/><Relationship Id="rId6" Type="http://schemas.microsoft.com/office/2007/relationships/hdphoto" Target="media/hdphoto1.wdp"/><Relationship Id="rId238" Type="http://schemas.openxmlformats.org/officeDocument/2006/relationships/hyperlink" Target="https://aspe.hhs.gov/national-research-summit-care-services-and-supports-persons-dementia-and-their-caregivers-recommendations" TargetMode="External"/><Relationship Id="rId291" Type="http://schemas.openxmlformats.org/officeDocument/2006/relationships/hyperlink" Target="https://www.ncbi.nlm.nih.gov/pubmed/30737131" TargetMode="External"/><Relationship Id="rId305" Type="http://schemas.openxmlformats.org/officeDocument/2006/relationships/hyperlink" Target="https://www.census.gov/content/dam/Census/library/publications/2010/demo/p25-113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146</Pages>
  <Words>38081</Words>
  <Characters>217067</Characters>
  <Application>Microsoft Office Word</Application>
  <DocSecurity>0</DocSecurity>
  <Lines>1808</Lines>
  <Paragraphs>509</Paragraphs>
  <ScaleCrop>false</ScaleCrop>
  <Company/>
  <LinksUpToDate>false</LinksUpToDate>
  <CharactersWithSpaces>254639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samreen</dc:creator>
  <cp:keywords/>
  <cp:lastModifiedBy>samreen</cp:lastModifiedBy>
  <cp:revision>3</cp:revision>
  <dcterms:created xsi:type="dcterms:W3CDTF">2021-12-02T03:06:00Z</dcterms:created>
  <dcterms:modified xsi:type="dcterms:W3CDTF">2021-12-02T03:10:00Z</dcterms:modified>
</cp:coreProperties>
</file>