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5A33" w14:textId="51804957" w:rsidR="00690C54" w:rsidRPr="002B526C" w:rsidRDefault="002B526C" w:rsidP="00690C54">
      <w:pPr>
        <w:spacing w:line="276" w:lineRule="auto"/>
        <w:ind w:right="515"/>
        <w:jc w:val="center"/>
        <w:rPr>
          <w:rFonts w:ascii="Lato" w:eastAsia="Garamond" w:hAnsi="Lato"/>
          <w:b/>
          <w:color w:val="231F20"/>
          <w:sz w:val="32"/>
          <w:szCs w:val="32"/>
        </w:rPr>
      </w:pPr>
      <w:r w:rsidRPr="002B526C">
        <w:rPr>
          <w:rFonts w:ascii="Lato" w:eastAsia="Garamond" w:hAnsi="Lato"/>
          <w:b/>
          <w:color w:val="231F20"/>
          <w:sz w:val="32"/>
          <w:szCs w:val="32"/>
        </w:rPr>
        <w:t>YOUR NAME</w:t>
      </w:r>
    </w:p>
    <w:p w14:paraId="5D353BAE" w14:textId="77777777" w:rsidR="00690C54" w:rsidRPr="00072D75" w:rsidRDefault="00690C54" w:rsidP="00690C54">
      <w:pPr>
        <w:spacing w:line="276" w:lineRule="auto"/>
        <w:ind w:right="515"/>
        <w:jc w:val="center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McDowell #309, 4400 Massachusetts Avenue, NW, Washington, DC 20016</w:t>
      </w:r>
    </w:p>
    <w:p w14:paraId="5E3F6471" w14:textId="77777777" w:rsidR="00690C54" w:rsidRPr="00072D75" w:rsidRDefault="00690C54" w:rsidP="00690C54">
      <w:pPr>
        <w:spacing w:line="276" w:lineRule="auto"/>
        <w:ind w:right="515"/>
        <w:jc w:val="center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202-885-5555, kwilla@american.edu</w:t>
      </w:r>
    </w:p>
    <w:p w14:paraId="40FD21E9" w14:textId="6FE389C7" w:rsidR="00690C54" w:rsidRDefault="00690C54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0729884A" w14:textId="77777777" w:rsidR="00CC40AB" w:rsidRDefault="00CC40AB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3F067DFA" w14:textId="77777777" w:rsidR="00CC40AB" w:rsidRPr="00072D75" w:rsidRDefault="00CC40AB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4A0ABFD6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EDUCATION</w:t>
      </w:r>
    </w:p>
    <w:p w14:paraId="196E4691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American University, Washington, DC</w:t>
      </w:r>
    </w:p>
    <w:p w14:paraId="3695E9A4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BSBA, Marketing, May 2008</w:t>
      </w:r>
    </w:p>
    <w:p w14:paraId="3030FE90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Overall GPA: 3.3/4.0</w:t>
      </w:r>
    </w:p>
    <w:p w14:paraId="62A2A6D0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proofErr w:type="spellStart"/>
      <w:r w:rsidRPr="00072D75">
        <w:rPr>
          <w:rFonts w:ascii="Lato" w:eastAsia="Garamond" w:hAnsi="Lato"/>
          <w:i/>
          <w:color w:val="231F20"/>
          <w:sz w:val="24"/>
          <w:szCs w:val="24"/>
        </w:rPr>
        <w:t>Honors</w:t>
      </w:r>
      <w:proofErr w:type="spellEnd"/>
      <w:r w:rsidRPr="00072D75">
        <w:rPr>
          <w:rFonts w:ascii="Lato" w:eastAsia="Garamond" w:hAnsi="Lato"/>
          <w:i/>
          <w:color w:val="231F20"/>
          <w:sz w:val="24"/>
          <w:szCs w:val="24"/>
        </w:rPr>
        <w:t xml:space="preserve">: </w:t>
      </w:r>
      <w:r w:rsidRPr="00072D75">
        <w:rPr>
          <w:rFonts w:ascii="Lato" w:eastAsia="Garamond" w:hAnsi="Lato"/>
          <w:color w:val="231F20"/>
          <w:sz w:val="24"/>
          <w:szCs w:val="24"/>
        </w:rPr>
        <w:t>McNair Scholar, 2006 - present</w:t>
      </w:r>
    </w:p>
    <w:p w14:paraId="14E664DD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i/>
          <w:color w:val="231F20"/>
          <w:sz w:val="24"/>
          <w:szCs w:val="24"/>
        </w:rPr>
      </w:pPr>
      <w:r w:rsidRPr="00072D75">
        <w:rPr>
          <w:rFonts w:ascii="Lato" w:eastAsia="Garamond" w:hAnsi="Lato"/>
          <w:i/>
          <w:color w:val="231F20"/>
          <w:sz w:val="24"/>
          <w:szCs w:val="24"/>
        </w:rPr>
        <w:t>Relevant Courses and Projects:</w:t>
      </w:r>
    </w:p>
    <w:p w14:paraId="65B829F4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 xml:space="preserve">Consumer </w:t>
      </w:r>
      <w:proofErr w:type="spellStart"/>
      <w:r w:rsidRPr="00072D75">
        <w:rPr>
          <w:rFonts w:ascii="Lato" w:eastAsia="Garamond" w:hAnsi="Lato"/>
          <w:b/>
          <w:color w:val="231F20"/>
          <w:sz w:val="24"/>
          <w:szCs w:val="24"/>
        </w:rPr>
        <w:t>Behavior</w:t>
      </w:r>
      <w:proofErr w:type="spellEnd"/>
    </w:p>
    <w:p w14:paraId="652E7444" w14:textId="77777777" w:rsidR="00690C54" w:rsidRPr="00072D75" w:rsidRDefault="00690C54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2CB0DBC4" w14:textId="4E34A686" w:rsidR="00690C54" w:rsidRPr="00CC40AB" w:rsidRDefault="00690C54" w:rsidP="00690C54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Created marketing campaign for local restaurant; worked in team of five; discussed findings with company using 20-minute PowerPoint presentation</w:t>
      </w:r>
    </w:p>
    <w:p w14:paraId="17EBB490" w14:textId="77777777" w:rsidR="00690C54" w:rsidRPr="00072D75" w:rsidRDefault="00690C54" w:rsidP="00690C54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proofErr w:type="spellStart"/>
      <w:r w:rsidRPr="00072D75">
        <w:rPr>
          <w:rFonts w:ascii="Lato" w:eastAsia="Garamond" w:hAnsi="Lato"/>
          <w:color w:val="231F20"/>
          <w:sz w:val="24"/>
          <w:szCs w:val="24"/>
        </w:rPr>
        <w:t>Analyzed</w:t>
      </w:r>
      <w:proofErr w:type="spellEnd"/>
      <w:r w:rsidRPr="00072D75">
        <w:rPr>
          <w:rFonts w:ascii="Lato" w:eastAsia="Garamond" w:hAnsi="Lato"/>
          <w:color w:val="231F20"/>
          <w:sz w:val="24"/>
          <w:szCs w:val="24"/>
        </w:rPr>
        <w:t xml:space="preserve"> purchasing </w:t>
      </w:r>
      <w:proofErr w:type="spellStart"/>
      <w:r w:rsidRPr="00072D75">
        <w:rPr>
          <w:rFonts w:ascii="Lato" w:eastAsia="Garamond" w:hAnsi="Lato"/>
          <w:color w:val="231F20"/>
          <w:sz w:val="24"/>
          <w:szCs w:val="24"/>
        </w:rPr>
        <w:t>behavior</w:t>
      </w:r>
      <w:proofErr w:type="spellEnd"/>
      <w:r w:rsidRPr="00072D75">
        <w:rPr>
          <w:rFonts w:ascii="Lato" w:eastAsia="Garamond" w:hAnsi="Lato"/>
          <w:color w:val="231F20"/>
          <w:sz w:val="24"/>
          <w:szCs w:val="24"/>
        </w:rPr>
        <w:t xml:space="preserve"> of consumers to determine marketing strategies; wrote 30-page analysis</w:t>
      </w:r>
    </w:p>
    <w:p w14:paraId="487AC14B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Marketing Research</w:t>
      </w:r>
    </w:p>
    <w:p w14:paraId="285630F1" w14:textId="77777777" w:rsidR="00690C54" w:rsidRPr="00072D75" w:rsidRDefault="00690C54" w:rsidP="00690C54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Conducted three student focus groups of 10 to test new advertising campaign; wrote summary report of findings</w:t>
      </w:r>
    </w:p>
    <w:p w14:paraId="0DA04719" w14:textId="77777777" w:rsidR="00690C54" w:rsidRPr="00072D75" w:rsidRDefault="00690C54" w:rsidP="00690C54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Developed quantitative survey to test likes and dislikes of new product; utilized SPSS to compile results</w:t>
      </w:r>
    </w:p>
    <w:p w14:paraId="58D450BD" w14:textId="1720E37D" w:rsidR="00690C54" w:rsidRDefault="00690C54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63C3F6E5" w14:textId="77777777" w:rsidR="00CC40AB" w:rsidRPr="00072D75" w:rsidRDefault="00CC40AB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642A4783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EXPERIENCE</w:t>
      </w:r>
    </w:p>
    <w:p w14:paraId="45065929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American University Office of the Registrar</w:t>
      </w:r>
    </w:p>
    <w:p w14:paraId="1F975B4E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 xml:space="preserve">Administrative Assistant to University Registrar, </w:t>
      </w:r>
      <w:r w:rsidRPr="00072D75">
        <w:rPr>
          <w:rFonts w:ascii="Lato" w:eastAsia="Garamond" w:hAnsi="Lato"/>
          <w:color w:val="231F20"/>
          <w:sz w:val="24"/>
          <w:szCs w:val="24"/>
        </w:rPr>
        <w:t>December 2005 - present</w:t>
      </w:r>
    </w:p>
    <w:p w14:paraId="0C9677E9" w14:textId="77777777" w:rsidR="00690C54" w:rsidRPr="00072D75" w:rsidRDefault="00690C54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4E9C62C0" w14:textId="2B91E592" w:rsidR="00690C54" w:rsidRPr="00CC40AB" w:rsidRDefault="00690C54" w:rsidP="00690C54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Collect and interpret university professor evaluations of performance that are later used in decisions on tenure, contract renewals, and merit</w:t>
      </w:r>
    </w:p>
    <w:p w14:paraId="60854773" w14:textId="77777777" w:rsidR="00690C54" w:rsidRPr="00072D75" w:rsidRDefault="00690C54" w:rsidP="00690C54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Work closely with university registrar and faculty on key issues which affect university community</w:t>
      </w:r>
    </w:p>
    <w:p w14:paraId="7412EF99" w14:textId="77777777" w:rsidR="00690C54" w:rsidRPr="00072D75" w:rsidRDefault="00690C54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157EC535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American University Office of Judicial Affairs</w:t>
      </w:r>
    </w:p>
    <w:p w14:paraId="3B604936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 xml:space="preserve">Board Member of Conduct Council, </w:t>
      </w:r>
      <w:r w:rsidRPr="00072D75">
        <w:rPr>
          <w:rFonts w:ascii="Lato" w:eastAsia="Garamond" w:hAnsi="Lato"/>
          <w:color w:val="231F20"/>
          <w:sz w:val="24"/>
          <w:szCs w:val="24"/>
        </w:rPr>
        <w:t>October 2005 - present</w:t>
      </w:r>
    </w:p>
    <w:p w14:paraId="77E576FA" w14:textId="77777777" w:rsidR="00690C54" w:rsidRPr="00072D75" w:rsidRDefault="00690C54" w:rsidP="00690C54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Appointed by Director of Judicial Affairs and Dean of Students to participate in forum for resolution of complaints against students</w:t>
      </w:r>
    </w:p>
    <w:p w14:paraId="39125745" w14:textId="77777777" w:rsidR="00690C54" w:rsidRPr="00072D75" w:rsidRDefault="00690C54" w:rsidP="00690C54">
      <w:pPr>
        <w:spacing w:line="276" w:lineRule="auto"/>
        <w:ind w:right="515"/>
        <w:rPr>
          <w:rFonts w:ascii="Lato" w:eastAsia="Symbol" w:hAnsi="Lato"/>
          <w:color w:val="231F20"/>
          <w:sz w:val="24"/>
          <w:szCs w:val="24"/>
        </w:rPr>
      </w:pPr>
    </w:p>
    <w:p w14:paraId="27BC052D" w14:textId="2DD7B532" w:rsidR="00690C54" w:rsidRPr="00CC40AB" w:rsidRDefault="00690C54" w:rsidP="00690C54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lastRenderedPageBreak/>
        <w:t>Create and enforce academic and social sanctions against students who violate Code of Conduct</w:t>
      </w:r>
    </w:p>
    <w:p w14:paraId="731F64B0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 xml:space="preserve">American University Undergraduate Admissions Office Ambassador, </w:t>
      </w:r>
      <w:r w:rsidRPr="00072D75">
        <w:rPr>
          <w:rFonts w:ascii="Lato" w:eastAsia="Garamond" w:hAnsi="Lato"/>
          <w:color w:val="231F20"/>
          <w:sz w:val="24"/>
          <w:szCs w:val="24"/>
        </w:rPr>
        <w:t>September 2005 - present</w:t>
      </w:r>
    </w:p>
    <w:p w14:paraId="1666AFDF" w14:textId="77777777" w:rsidR="00690C54" w:rsidRPr="00072D75" w:rsidRDefault="00690C54" w:rsidP="00690C5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Represent university at official functions designed to recruit over 200 prospective students each year</w:t>
      </w:r>
    </w:p>
    <w:p w14:paraId="7C75C245" w14:textId="77777777" w:rsidR="00690C54" w:rsidRPr="00072D75" w:rsidRDefault="00690C54" w:rsidP="00690C5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Selected to speak on student panel held during AU Open House for 400 parents and prospective students</w:t>
      </w:r>
    </w:p>
    <w:p w14:paraId="4CAABD1D" w14:textId="77777777" w:rsidR="00690C54" w:rsidRPr="00072D75" w:rsidRDefault="00690C54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4D25D8AD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American University New Student Programs</w:t>
      </w:r>
    </w:p>
    <w:p w14:paraId="3FF64834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 xml:space="preserve">Orientation Leader, </w:t>
      </w:r>
      <w:r w:rsidRPr="00072D75">
        <w:rPr>
          <w:rFonts w:ascii="Lato" w:eastAsia="Garamond" w:hAnsi="Lato"/>
          <w:color w:val="231F20"/>
          <w:sz w:val="24"/>
          <w:szCs w:val="24"/>
        </w:rPr>
        <w:t>May - September 2005</w:t>
      </w:r>
    </w:p>
    <w:p w14:paraId="663CC72F" w14:textId="77777777" w:rsidR="00690C54" w:rsidRPr="00072D75" w:rsidRDefault="00690C54" w:rsidP="00690C54">
      <w:pPr>
        <w:numPr>
          <w:ilvl w:val="0"/>
          <w:numId w:val="5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Selected as orientation leader to welcome more than 1,200 new freshmen to AU</w:t>
      </w:r>
    </w:p>
    <w:p w14:paraId="44B23D2D" w14:textId="77777777" w:rsidR="00690C54" w:rsidRPr="00072D75" w:rsidRDefault="00690C54" w:rsidP="00690C54">
      <w:pPr>
        <w:numPr>
          <w:ilvl w:val="0"/>
          <w:numId w:val="5"/>
        </w:numPr>
        <w:tabs>
          <w:tab w:val="left" w:pos="720"/>
        </w:tabs>
        <w:spacing w:line="276" w:lineRule="auto"/>
        <w:ind w:left="720" w:right="515" w:hanging="358"/>
        <w:rPr>
          <w:rFonts w:ascii="Lato" w:eastAsia="Symbol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color w:val="231F20"/>
          <w:sz w:val="24"/>
          <w:szCs w:val="24"/>
        </w:rPr>
        <w:t>Led groups of 20 - 25 students throughout two-day orientation focusing on academic preparation, diversity training, community building, and alcohol awareness</w:t>
      </w:r>
    </w:p>
    <w:p w14:paraId="04E1BECB" w14:textId="5F5E2F0F" w:rsidR="00690C54" w:rsidRDefault="00690C54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3B404AC9" w14:textId="77777777" w:rsidR="00CC40AB" w:rsidRPr="00072D75" w:rsidRDefault="00CC40AB" w:rsidP="00690C54">
      <w:pPr>
        <w:spacing w:line="276" w:lineRule="auto"/>
        <w:ind w:right="515"/>
        <w:rPr>
          <w:rFonts w:ascii="Lato" w:eastAsia="Times New Roman" w:hAnsi="Lato"/>
          <w:sz w:val="24"/>
          <w:szCs w:val="24"/>
        </w:rPr>
      </w:pPr>
    </w:p>
    <w:p w14:paraId="6361243F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b/>
          <w:color w:val="231F20"/>
          <w:sz w:val="24"/>
          <w:szCs w:val="24"/>
        </w:rPr>
      </w:pPr>
      <w:r w:rsidRPr="00072D75">
        <w:rPr>
          <w:rFonts w:ascii="Lato" w:eastAsia="Garamond" w:hAnsi="Lato"/>
          <w:b/>
          <w:color w:val="231F20"/>
          <w:sz w:val="24"/>
          <w:szCs w:val="24"/>
        </w:rPr>
        <w:t>SKILLS</w:t>
      </w:r>
    </w:p>
    <w:p w14:paraId="20B86F10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i/>
          <w:color w:val="231F20"/>
          <w:sz w:val="24"/>
          <w:szCs w:val="24"/>
        </w:rPr>
        <w:t xml:space="preserve">Computer: </w:t>
      </w:r>
      <w:r w:rsidRPr="00072D75">
        <w:rPr>
          <w:rFonts w:ascii="Lato" w:eastAsia="Garamond" w:hAnsi="Lato"/>
          <w:color w:val="231F20"/>
          <w:sz w:val="24"/>
          <w:szCs w:val="24"/>
        </w:rPr>
        <w:t>Proficient in Microsoft Office (Word, Excel, PowerPoint) and SPSS</w:t>
      </w:r>
    </w:p>
    <w:p w14:paraId="5E897B0C" w14:textId="77777777" w:rsidR="00690C54" w:rsidRPr="00072D75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  <w:r w:rsidRPr="00072D75">
        <w:rPr>
          <w:rFonts w:ascii="Lato" w:eastAsia="Garamond" w:hAnsi="Lato"/>
          <w:i/>
          <w:color w:val="231F20"/>
          <w:sz w:val="24"/>
          <w:szCs w:val="24"/>
        </w:rPr>
        <w:t xml:space="preserve">Language: </w:t>
      </w:r>
      <w:r w:rsidRPr="00072D75">
        <w:rPr>
          <w:rFonts w:ascii="Lato" w:eastAsia="Garamond" w:hAnsi="Lato"/>
          <w:color w:val="231F20"/>
          <w:sz w:val="24"/>
          <w:szCs w:val="24"/>
        </w:rPr>
        <w:t>Conversational Spanish</w:t>
      </w:r>
    </w:p>
    <w:p w14:paraId="5B426B13" w14:textId="77777777" w:rsidR="00690C54" w:rsidRDefault="00690C54" w:rsidP="00690C54">
      <w:pPr>
        <w:spacing w:line="276" w:lineRule="auto"/>
        <w:ind w:right="515"/>
        <w:rPr>
          <w:rFonts w:ascii="Lato" w:eastAsia="Garamond" w:hAnsi="Lato"/>
          <w:color w:val="231F20"/>
          <w:sz w:val="24"/>
          <w:szCs w:val="24"/>
        </w:rPr>
      </w:pPr>
    </w:p>
    <w:p w14:paraId="13AFFC54" w14:textId="77777777" w:rsidR="00F34B6A" w:rsidRDefault="00F34B6A"/>
    <w:sectPr w:rsidR="00F3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85558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0A64E2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D4ED4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54"/>
    <w:rsid w:val="002B526C"/>
    <w:rsid w:val="00690C54"/>
    <w:rsid w:val="00CC40AB"/>
    <w:rsid w:val="00F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3053"/>
  <w15:chartTrackingRefBased/>
  <w15:docId w15:val="{F8B61941-07C7-4B24-BDF8-9AD917F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5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2022-02-21T10:07:00Z</dcterms:created>
  <dcterms:modified xsi:type="dcterms:W3CDTF">2022-02-22T10:55:00Z</dcterms:modified>
</cp:coreProperties>
</file>