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8" w:space="0" w:color="auto"/>
          <w:left w:val="single" w:sz="8" w:space="0" w:color="auto"/>
          <w:right w:val="single" w:sz="8" w:space="0" w:color="auto"/>
        </w:tblBorders>
        <w:tblLook w:val="0000" w:firstRow="0" w:lastRow="0" w:firstColumn="0" w:lastColumn="0" w:noHBand="0" w:noVBand="0"/>
      </w:tblPr>
      <w:tblGrid>
        <w:gridCol w:w="4874"/>
        <w:gridCol w:w="274"/>
        <w:gridCol w:w="3374"/>
      </w:tblGrid>
      <w:tr w:rsidR="00833F86" w14:paraId="1C044E76" w14:textId="77777777" w:rsidTr="008D0CF2">
        <w:trPr>
          <w:trHeight w:val="640"/>
        </w:trPr>
        <w:tc>
          <w:tcPr>
            <w:tcW w:w="4874" w:type="dxa"/>
            <w:tcBorders>
              <w:top w:val="single" w:sz="8" w:space="0" w:color="auto"/>
              <w:bottom w:val="single" w:sz="4" w:space="0" w:color="auto"/>
              <w:right w:val="single" w:sz="18" w:space="0" w:color="auto"/>
            </w:tcBorders>
            <w:shd w:val="clear" w:color="auto" w:fill="EEECE1" w:themeFill="background2"/>
          </w:tcPr>
          <w:p w14:paraId="2F30FE5E" w14:textId="77777777" w:rsidR="00833F86" w:rsidRPr="008D0CF2" w:rsidRDefault="00833F86" w:rsidP="008C1CF5">
            <w:pPr>
              <w:spacing w:before="180" w:after="120"/>
              <w:rPr>
                <w:rFonts w:ascii="Abadi" w:hAnsi="Abadi" w:cs="Arial"/>
                <w:b/>
                <w:bCs/>
              </w:rPr>
            </w:pPr>
            <w:r w:rsidRPr="008D0CF2">
              <w:rPr>
                <w:rFonts w:ascii="Abadi" w:hAnsi="Abadi" w:cs="Arial"/>
                <w:b/>
                <w:bCs/>
                <w:szCs w:val="22"/>
              </w:rPr>
              <w:t>JOB DESCRIPTION TEMPLATE</w:t>
            </w:r>
          </w:p>
        </w:tc>
        <w:tc>
          <w:tcPr>
            <w:tcW w:w="274" w:type="dxa"/>
            <w:tcBorders>
              <w:top w:val="nil"/>
              <w:left w:val="single" w:sz="18" w:space="0" w:color="auto"/>
              <w:right w:val="single" w:sz="8" w:space="0" w:color="auto"/>
            </w:tcBorders>
          </w:tcPr>
          <w:p w14:paraId="059B3817" w14:textId="77777777" w:rsidR="00833F86" w:rsidRDefault="00833F86" w:rsidP="008C1CF5">
            <w:pPr>
              <w:spacing w:before="180" w:after="120"/>
              <w:ind w:right="1644"/>
              <w:rPr>
                <w:rFonts w:ascii="Arial" w:hAnsi="Arial" w:cs="Arial"/>
                <w:b/>
                <w:bCs/>
                <w:u w:val="single"/>
              </w:rPr>
            </w:pPr>
          </w:p>
        </w:tc>
        <w:tc>
          <w:tcPr>
            <w:tcW w:w="3374" w:type="dxa"/>
            <w:tcBorders>
              <w:top w:val="single" w:sz="8" w:space="0" w:color="auto"/>
              <w:left w:val="single" w:sz="8" w:space="0" w:color="auto"/>
              <w:bottom w:val="single" w:sz="18" w:space="0" w:color="auto"/>
              <w:right w:val="single" w:sz="18" w:space="0" w:color="auto"/>
            </w:tcBorders>
            <w:shd w:val="clear" w:color="auto" w:fill="EEECE1" w:themeFill="background2"/>
          </w:tcPr>
          <w:p w14:paraId="2EC378F6" w14:textId="77777777" w:rsidR="00833F86" w:rsidRDefault="00833F86" w:rsidP="008C1CF5">
            <w:pPr>
              <w:spacing w:before="180" w:after="120"/>
              <w:ind w:right="24"/>
              <w:jc w:val="center"/>
              <w:rPr>
                <w:rFonts w:ascii="Arial" w:hAnsi="Arial" w:cs="Arial"/>
                <w:b/>
                <w:bCs/>
                <w:i/>
                <w:iCs/>
                <w:u w:val="single"/>
              </w:rPr>
            </w:pPr>
          </w:p>
        </w:tc>
      </w:tr>
    </w:tbl>
    <w:p w14:paraId="6C42B737" w14:textId="77777777" w:rsidR="00833F86" w:rsidRDefault="00833F86" w:rsidP="00833F86">
      <w:pPr>
        <w:tabs>
          <w:tab w:val="right" w:pos="8690"/>
        </w:tabs>
        <w:jc w:val="both"/>
        <w:rPr>
          <w:rFonts w:ascii="Arial" w:hAnsi="Arial" w:cs="Arial"/>
          <w:b/>
          <w:bCs/>
          <w:sz w:val="22"/>
          <w:szCs w:val="22"/>
        </w:rPr>
      </w:pPr>
      <w:r>
        <w:rPr>
          <w:rFonts w:ascii="Arial" w:hAnsi="Arial" w:cs="Arial"/>
          <w:b/>
          <w:bCs/>
          <w:sz w:val="22"/>
          <w:szCs w:val="22"/>
        </w:rPr>
        <w:tab/>
      </w:r>
    </w:p>
    <w:p w14:paraId="567BBB94" w14:textId="77777777" w:rsidR="00833F86" w:rsidRPr="008D0CF2" w:rsidRDefault="00833F86" w:rsidP="00833F86">
      <w:pPr>
        <w:rPr>
          <w:rFonts w:ascii="Abadi" w:hAnsi="Abadi" w:cs="Arial"/>
          <w:b/>
          <w:bCs/>
          <w:sz w:val="22"/>
          <w:szCs w:val="22"/>
        </w:rPr>
      </w:pPr>
      <w:r w:rsidRPr="008D0CF2">
        <w:rPr>
          <w:rFonts w:ascii="Abadi" w:hAnsi="Abadi" w:cs="Arial"/>
          <w:b/>
          <w:bCs/>
          <w:sz w:val="22"/>
          <w:szCs w:val="22"/>
        </w:rPr>
        <w:t xml:space="preserve">Job Title: </w:t>
      </w:r>
      <w:r w:rsidRPr="008D0CF2">
        <w:rPr>
          <w:rFonts w:ascii="Abadi" w:hAnsi="Abadi" w:cs="Arial"/>
          <w:bCs/>
          <w:sz w:val="22"/>
          <w:szCs w:val="22"/>
        </w:rPr>
        <w:t>Health and Safety Officer</w:t>
      </w:r>
    </w:p>
    <w:p w14:paraId="63D80DAE" w14:textId="77777777" w:rsidR="00833F86" w:rsidRPr="008D0CF2" w:rsidRDefault="00833F86" w:rsidP="00833F86">
      <w:pPr>
        <w:jc w:val="both"/>
        <w:rPr>
          <w:rFonts w:ascii="Abadi" w:hAnsi="Abadi" w:cs="Arial"/>
          <w:b/>
          <w:bCs/>
          <w:sz w:val="22"/>
          <w:szCs w:val="22"/>
        </w:rPr>
      </w:pPr>
    </w:p>
    <w:p w14:paraId="7291C225" w14:textId="77777777" w:rsidR="00833F86" w:rsidRPr="008D0CF2" w:rsidRDefault="00833F86" w:rsidP="00833F86">
      <w:pPr>
        <w:rPr>
          <w:rFonts w:ascii="Abadi" w:hAnsi="Abadi" w:cs="Arial"/>
          <w:b/>
          <w:bCs/>
          <w:sz w:val="22"/>
          <w:szCs w:val="22"/>
        </w:rPr>
      </w:pPr>
      <w:r w:rsidRPr="008D0CF2">
        <w:rPr>
          <w:rFonts w:ascii="Abadi" w:hAnsi="Abadi" w:cs="Arial"/>
          <w:b/>
          <w:bCs/>
          <w:sz w:val="22"/>
          <w:szCs w:val="22"/>
        </w:rPr>
        <w:t xml:space="preserve">Reports To:  </w:t>
      </w:r>
      <w:r w:rsidRPr="008D0CF2">
        <w:rPr>
          <w:rFonts w:ascii="Abadi" w:hAnsi="Abadi" w:cs="Arial"/>
          <w:bCs/>
          <w:sz w:val="22"/>
          <w:szCs w:val="22"/>
        </w:rPr>
        <w:t>Corporate Health and Safety Manager</w:t>
      </w:r>
    </w:p>
    <w:p w14:paraId="5CD201E5" w14:textId="77777777" w:rsidR="00833F86" w:rsidRPr="008D0CF2" w:rsidRDefault="00833F86" w:rsidP="00833F86">
      <w:pPr>
        <w:jc w:val="both"/>
        <w:rPr>
          <w:rFonts w:ascii="Abadi" w:hAnsi="Abadi" w:cs="Arial"/>
          <w:b/>
          <w:bCs/>
          <w:sz w:val="22"/>
          <w:szCs w:val="22"/>
        </w:rPr>
      </w:pPr>
    </w:p>
    <w:p w14:paraId="7F9FA327" w14:textId="77777777" w:rsidR="00833F86" w:rsidRPr="008D0CF2" w:rsidRDefault="00833F86" w:rsidP="00833F86">
      <w:pPr>
        <w:rPr>
          <w:rFonts w:ascii="Abadi" w:hAnsi="Abadi" w:cs="Arial"/>
          <w:b/>
          <w:bCs/>
          <w:sz w:val="22"/>
          <w:szCs w:val="22"/>
        </w:rPr>
      </w:pPr>
      <w:r w:rsidRPr="008D0CF2">
        <w:rPr>
          <w:rFonts w:ascii="Abadi" w:hAnsi="Abadi" w:cs="Arial"/>
          <w:b/>
          <w:bCs/>
          <w:sz w:val="22"/>
          <w:szCs w:val="22"/>
        </w:rPr>
        <w:t xml:space="preserve">Responsible For: </w:t>
      </w:r>
      <w:r w:rsidRPr="008D0CF2">
        <w:rPr>
          <w:rFonts w:ascii="Abadi" w:hAnsi="Abadi" w:cs="Arial"/>
          <w:bCs/>
          <w:sz w:val="22"/>
          <w:szCs w:val="22"/>
        </w:rPr>
        <w:t>N/A</w:t>
      </w:r>
    </w:p>
    <w:p w14:paraId="2A42FDC4" w14:textId="77777777" w:rsidR="00833F86" w:rsidRPr="008D0CF2" w:rsidRDefault="00833F86" w:rsidP="00833F86">
      <w:pPr>
        <w:jc w:val="both"/>
        <w:rPr>
          <w:rFonts w:ascii="Abadi" w:hAnsi="Abadi" w:cs="Arial"/>
          <w:b/>
          <w:bCs/>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3541"/>
      </w:tblGrid>
      <w:tr w:rsidR="00833F86" w:rsidRPr="008D0CF2" w14:paraId="25BE20CF" w14:textId="77777777" w:rsidTr="00833F86">
        <w:tc>
          <w:tcPr>
            <w:tcW w:w="5027" w:type="dxa"/>
          </w:tcPr>
          <w:p w14:paraId="670DFF93" w14:textId="77777777" w:rsidR="00833F86" w:rsidRPr="008D0CF2" w:rsidRDefault="00833F86" w:rsidP="00833F86">
            <w:pPr>
              <w:rPr>
                <w:rFonts w:ascii="Abadi" w:hAnsi="Abadi" w:cs="Arial"/>
                <w:b/>
                <w:bCs/>
                <w:sz w:val="22"/>
                <w:szCs w:val="22"/>
              </w:rPr>
            </w:pPr>
            <w:r w:rsidRPr="008D0CF2">
              <w:rPr>
                <w:rFonts w:ascii="Abadi" w:hAnsi="Abadi" w:cs="Arial"/>
                <w:b/>
                <w:bCs/>
                <w:sz w:val="22"/>
                <w:szCs w:val="22"/>
              </w:rPr>
              <w:t xml:space="preserve">Department: </w:t>
            </w:r>
            <w:r w:rsidR="008C1CF5" w:rsidRPr="008D0CF2">
              <w:rPr>
                <w:rFonts w:ascii="Abadi" w:hAnsi="Abadi" w:cs="Arial"/>
                <w:bCs/>
                <w:sz w:val="22"/>
                <w:szCs w:val="22"/>
              </w:rPr>
              <w:t>Facilities Management</w:t>
            </w:r>
          </w:p>
        </w:tc>
        <w:tc>
          <w:tcPr>
            <w:tcW w:w="3541" w:type="dxa"/>
          </w:tcPr>
          <w:p w14:paraId="1F128D29" w14:textId="77777777" w:rsidR="00833F86" w:rsidRPr="008D0CF2" w:rsidRDefault="00833F86" w:rsidP="008C1CF5">
            <w:pPr>
              <w:jc w:val="both"/>
              <w:rPr>
                <w:rFonts w:ascii="Abadi" w:hAnsi="Abadi" w:cs="Arial"/>
                <w:b/>
                <w:bCs/>
                <w:sz w:val="22"/>
                <w:szCs w:val="22"/>
              </w:rPr>
            </w:pPr>
            <w:r w:rsidRPr="008D0CF2">
              <w:rPr>
                <w:rFonts w:ascii="Abadi" w:hAnsi="Abadi" w:cs="Arial"/>
                <w:b/>
                <w:bCs/>
                <w:sz w:val="22"/>
                <w:szCs w:val="22"/>
              </w:rPr>
              <w:t>Post Number</w:t>
            </w:r>
          </w:p>
        </w:tc>
      </w:tr>
      <w:tr w:rsidR="00833F86" w:rsidRPr="008D0CF2" w14:paraId="7D2B5439" w14:textId="77777777" w:rsidTr="00833F86">
        <w:tc>
          <w:tcPr>
            <w:tcW w:w="5027" w:type="dxa"/>
          </w:tcPr>
          <w:p w14:paraId="09FD608C" w14:textId="77777777" w:rsidR="00833F86" w:rsidRPr="008D0CF2" w:rsidRDefault="00833F86" w:rsidP="008C1CF5">
            <w:pPr>
              <w:jc w:val="both"/>
              <w:rPr>
                <w:rFonts w:ascii="Abadi" w:hAnsi="Abadi" w:cs="Arial"/>
                <w:b/>
                <w:bCs/>
                <w:sz w:val="22"/>
                <w:szCs w:val="22"/>
              </w:rPr>
            </w:pPr>
            <w:r w:rsidRPr="008D0CF2">
              <w:rPr>
                <w:rFonts w:ascii="Abadi" w:hAnsi="Abadi" w:cs="Arial"/>
                <w:b/>
                <w:bCs/>
                <w:sz w:val="22"/>
                <w:szCs w:val="22"/>
              </w:rPr>
              <w:t xml:space="preserve">Section: </w:t>
            </w:r>
            <w:r w:rsidRPr="008D0CF2">
              <w:rPr>
                <w:rFonts w:ascii="Abadi" w:hAnsi="Abadi" w:cs="Arial"/>
                <w:bCs/>
                <w:sz w:val="22"/>
                <w:szCs w:val="22"/>
              </w:rPr>
              <w:t>Corporate Health and Safety Unit</w:t>
            </w:r>
            <w:r w:rsidRPr="008D0CF2">
              <w:rPr>
                <w:rFonts w:ascii="Abadi" w:hAnsi="Abadi" w:cs="Arial"/>
                <w:b/>
                <w:bCs/>
                <w:sz w:val="22"/>
                <w:szCs w:val="22"/>
              </w:rPr>
              <w:t xml:space="preserve"> </w:t>
            </w:r>
          </w:p>
        </w:tc>
        <w:tc>
          <w:tcPr>
            <w:tcW w:w="3541" w:type="dxa"/>
          </w:tcPr>
          <w:p w14:paraId="586D88F0" w14:textId="77777777" w:rsidR="00833F86" w:rsidRPr="008D0CF2" w:rsidRDefault="00833F86" w:rsidP="008C1CF5">
            <w:pPr>
              <w:jc w:val="both"/>
              <w:rPr>
                <w:rFonts w:ascii="Abadi" w:hAnsi="Abadi" w:cs="Arial"/>
                <w:b/>
                <w:bCs/>
                <w:sz w:val="22"/>
                <w:szCs w:val="22"/>
              </w:rPr>
            </w:pPr>
            <w:r w:rsidRPr="008D0CF2">
              <w:rPr>
                <w:rFonts w:ascii="Abadi" w:hAnsi="Abadi" w:cs="Arial"/>
                <w:b/>
                <w:bCs/>
                <w:sz w:val="22"/>
                <w:szCs w:val="22"/>
              </w:rPr>
              <w:t xml:space="preserve">Grade: </w:t>
            </w:r>
            <w:r w:rsidRPr="008D0CF2">
              <w:rPr>
                <w:rFonts w:ascii="Abadi" w:hAnsi="Abadi" w:cs="Arial"/>
                <w:bCs/>
                <w:sz w:val="22"/>
                <w:szCs w:val="22"/>
              </w:rPr>
              <w:t>SO1 – PO3</w:t>
            </w:r>
          </w:p>
        </w:tc>
      </w:tr>
      <w:tr w:rsidR="00833F86" w:rsidRPr="008D0CF2" w14:paraId="12EFA4C2" w14:textId="77777777" w:rsidTr="00833F86">
        <w:trPr>
          <w:gridAfter w:val="1"/>
          <w:wAfter w:w="3541" w:type="dxa"/>
        </w:trPr>
        <w:tc>
          <w:tcPr>
            <w:tcW w:w="5027" w:type="dxa"/>
          </w:tcPr>
          <w:p w14:paraId="024B0446" w14:textId="77777777" w:rsidR="00833F86" w:rsidRPr="008D0CF2" w:rsidRDefault="00833F86" w:rsidP="008C1CF5">
            <w:pPr>
              <w:jc w:val="both"/>
              <w:rPr>
                <w:rFonts w:ascii="Abadi" w:hAnsi="Abadi" w:cs="Arial"/>
                <w:b/>
                <w:bCs/>
                <w:sz w:val="22"/>
                <w:szCs w:val="22"/>
              </w:rPr>
            </w:pPr>
            <w:r w:rsidRPr="008D0CF2">
              <w:rPr>
                <w:rFonts w:ascii="Abadi" w:hAnsi="Abadi" w:cs="Arial"/>
                <w:b/>
                <w:bCs/>
                <w:sz w:val="22"/>
                <w:szCs w:val="22"/>
              </w:rPr>
              <w:t xml:space="preserve">Date: </w:t>
            </w:r>
            <w:r w:rsidR="00454C3E" w:rsidRPr="008D0CF2">
              <w:rPr>
                <w:rFonts w:ascii="Abadi" w:hAnsi="Abadi" w:cs="Arial"/>
                <w:bCs/>
                <w:sz w:val="22"/>
                <w:szCs w:val="22"/>
              </w:rPr>
              <w:t>February</w:t>
            </w:r>
            <w:r w:rsidRPr="008D0CF2">
              <w:rPr>
                <w:rFonts w:ascii="Abadi" w:hAnsi="Abadi" w:cs="Arial"/>
                <w:bCs/>
                <w:sz w:val="22"/>
                <w:szCs w:val="22"/>
              </w:rPr>
              <w:t xml:space="preserve"> 2010</w:t>
            </w:r>
          </w:p>
        </w:tc>
      </w:tr>
    </w:tbl>
    <w:p w14:paraId="0E906A38" w14:textId="77777777" w:rsidR="00833F86" w:rsidRPr="008D0CF2" w:rsidRDefault="00833F86" w:rsidP="00833F86">
      <w:pPr>
        <w:jc w:val="both"/>
        <w:rPr>
          <w:rFonts w:ascii="Abadi" w:hAnsi="Abadi" w:cs="Arial"/>
          <w:b/>
          <w:bCs/>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833F86" w:rsidRPr="008D0CF2" w14:paraId="447768E0" w14:textId="77777777" w:rsidTr="00833F86">
        <w:tc>
          <w:tcPr>
            <w:tcW w:w="8568" w:type="dxa"/>
          </w:tcPr>
          <w:p w14:paraId="55479240" w14:textId="77777777" w:rsidR="00833F86" w:rsidRPr="008D0CF2" w:rsidRDefault="00833F86" w:rsidP="008C1CF5">
            <w:pPr>
              <w:jc w:val="both"/>
              <w:rPr>
                <w:rFonts w:ascii="Abadi" w:hAnsi="Abadi" w:cs="Arial"/>
                <w:b/>
                <w:bCs/>
                <w:sz w:val="12"/>
                <w:szCs w:val="22"/>
              </w:rPr>
            </w:pPr>
          </w:p>
          <w:p w14:paraId="35C28C06" w14:textId="77777777" w:rsidR="00833F86" w:rsidRPr="008D0CF2" w:rsidRDefault="00833F86" w:rsidP="008C1CF5">
            <w:pPr>
              <w:jc w:val="both"/>
              <w:rPr>
                <w:rFonts w:ascii="Abadi" w:hAnsi="Abadi" w:cs="Arial"/>
                <w:b/>
                <w:bCs/>
                <w:sz w:val="22"/>
                <w:szCs w:val="22"/>
              </w:rPr>
            </w:pPr>
            <w:r w:rsidRPr="008D0CF2">
              <w:rPr>
                <w:rFonts w:ascii="Abadi" w:hAnsi="Abadi" w:cs="Arial"/>
                <w:b/>
                <w:bCs/>
                <w:sz w:val="22"/>
                <w:szCs w:val="22"/>
              </w:rPr>
              <w:t>Main Purpose of the Job</w:t>
            </w:r>
          </w:p>
          <w:p w14:paraId="038295CE" w14:textId="77777777" w:rsidR="00833F86" w:rsidRPr="008D0CF2" w:rsidRDefault="00833F86" w:rsidP="00833F86">
            <w:pPr>
              <w:pStyle w:val="BodyText3"/>
              <w:rPr>
                <w:rFonts w:ascii="Abadi" w:hAnsi="Abadi"/>
                <w:color w:val="auto"/>
              </w:rPr>
            </w:pPr>
            <w:r w:rsidRPr="008D0CF2">
              <w:rPr>
                <w:rFonts w:ascii="Abadi" w:hAnsi="Abadi"/>
                <w:color w:val="auto"/>
              </w:rPr>
              <w:t xml:space="preserve">Working to the Corporate Health and Safety Manager and alongside another Health and Safety Officer the core function is to provide an advice, monitoring and training service to the Council on all matters relating to Health and Safety at work, and to help promote a safer environment for all staff, pupils, service users, volunteers, visitors and partnering agencies. </w:t>
            </w:r>
          </w:p>
          <w:p w14:paraId="43B9A839" w14:textId="77777777" w:rsidR="00833F86" w:rsidRPr="008D0CF2" w:rsidRDefault="00833F86" w:rsidP="00833F86">
            <w:pPr>
              <w:pStyle w:val="BodyText3"/>
              <w:rPr>
                <w:rFonts w:ascii="Abadi" w:hAnsi="Abadi"/>
                <w:color w:val="auto"/>
                <w:szCs w:val="22"/>
              </w:rPr>
            </w:pPr>
          </w:p>
        </w:tc>
      </w:tr>
    </w:tbl>
    <w:p w14:paraId="33FF2EDF" w14:textId="77777777" w:rsidR="00833F86" w:rsidRPr="008D0CF2" w:rsidRDefault="00833F86" w:rsidP="00833F86">
      <w:pPr>
        <w:ind w:left="360"/>
        <w:rPr>
          <w:rFonts w:ascii="Abadi" w:hAnsi="Abadi" w:cs="Arial"/>
          <w:sz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833F86" w:rsidRPr="008D0CF2" w14:paraId="468AEE8F" w14:textId="77777777" w:rsidTr="00833F86">
        <w:tc>
          <w:tcPr>
            <w:tcW w:w="8568" w:type="dxa"/>
          </w:tcPr>
          <w:p w14:paraId="5FB5DE27" w14:textId="77777777" w:rsidR="00833F86" w:rsidRPr="008D0CF2" w:rsidRDefault="00833F86" w:rsidP="008C1CF5">
            <w:pPr>
              <w:tabs>
                <w:tab w:val="right" w:pos="9790"/>
              </w:tabs>
              <w:ind w:right="41"/>
              <w:jc w:val="both"/>
              <w:rPr>
                <w:rFonts w:ascii="Abadi" w:hAnsi="Abadi" w:cs="Arial"/>
                <w:bCs/>
                <w:sz w:val="12"/>
                <w:szCs w:val="22"/>
              </w:rPr>
            </w:pPr>
          </w:p>
          <w:p w14:paraId="5F186066" w14:textId="77777777" w:rsidR="00833F86" w:rsidRPr="008D0CF2" w:rsidRDefault="00833F86" w:rsidP="008A5B4C">
            <w:pPr>
              <w:tabs>
                <w:tab w:val="right" w:pos="9790"/>
              </w:tabs>
              <w:ind w:right="41"/>
              <w:rPr>
                <w:rFonts w:ascii="Abadi" w:hAnsi="Abadi" w:cs="Arial"/>
                <w:b/>
                <w:bCs/>
                <w:sz w:val="22"/>
                <w:szCs w:val="22"/>
              </w:rPr>
            </w:pPr>
            <w:r w:rsidRPr="008D0CF2">
              <w:rPr>
                <w:rFonts w:ascii="Abadi" w:hAnsi="Abadi" w:cs="Arial"/>
                <w:b/>
                <w:sz w:val="22"/>
                <w:szCs w:val="22"/>
              </w:rPr>
              <w:t>K</w:t>
            </w:r>
            <w:r w:rsidRPr="008D0CF2">
              <w:rPr>
                <w:rFonts w:ascii="Abadi" w:hAnsi="Abadi" w:cs="Arial"/>
                <w:b/>
                <w:bCs/>
                <w:sz w:val="22"/>
                <w:szCs w:val="22"/>
              </w:rPr>
              <w:t>ey Accountabilities</w:t>
            </w:r>
          </w:p>
          <w:p w14:paraId="453707EA" w14:textId="77777777" w:rsidR="00833F86" w:rsidRPr="008D0CF2" w:rsidRDefault="00833F86" w:rsidP="008A5B4C">
            <w:pPr>
              <w:tabs>
                <w:tab w:val="right" w:pos="9790"/>
              </w:tabs>
              <w:ind w:right="41"/>
              <w:rPr>
                <w:rFonts w:ascii="Abadi" w:hAnsi="Abadi" w:cs="Arial"/>
                <w:b/>
                <w:bCs/>
                <w:sz w:val="22"/>
                <w:szCs w:val="22"/>
              </w:rPr>
            </w:pPr>
          </w:p>
          <w:p w14:paraId="6B377432" w14:textId="77777777" w:rsidR="00833F86" w:rsidRPr="008D0CF2" w:rsidRDefault="00833F86" w:rsidP="008A5B4C">
            <w:pPr>
              <w:numPr>
                <w:ilvl w:val="0"/>
                <w:numId w:val="1"/>
              </w:numPr>
              <w:tabs>
                <w:tab w:val="clear" w:pos="540"/>
                <w:tab w:val="left" w:pos="330"/>
                <w:tab w:val="right" w:pos="9790"/>
              </w:tabs>
              <w:ind w:left="330" w:right="41" w:hanging="330"/>
              <w:rPr>
                <w:rFonts w:ascii="Abadi" w:hAnsi="Abadi" w:cs="Arial"/>
                <w:bCs/>
                <w:sz w:val="22"/>
                <w:szCs w:val="22"/>
              </w:rPr>
            </w:pPr>
            <w:r w:rsidRPr="008D0CF2">
              <w:rPr>
                <w:rFonts w:ascii="Abadi" w:hAnsi="Abadi" w:cs="Arial"/>
                <w:sz w:val="22"/>
                <w:szCs w:val="22"/>
              </w:rPr>
              <w:t>To undertake all duties and inter-actions with employees, partner providers and customer fairly, without unlawful discrimination and with due regard to the Council’s Equality and Diversity in Employment and Service Delivery Policy.</w:t>
            </w:r>
          </w:p>
          <w:p w14:paraId="49719A59" w14:textId="77777777" w:rsidR="00833F86" w:rsidRPr="008D0CF2" w:rsidRDefault="00833F86" w:rsidP="008A5B4C">
            <w:pPr>
              <w:tabs>
                <w:tab w:val="left" w:pos="330"/>
                <w:tab w:val="right" w:pos="9790"/>
              </w:tabs>
              <w:ind w:right="41"/>
              <w:rPr>
                <w:rFonts w:ascii="Abadi" w:hAnsi="Abadi" w:cs="Arial"/>
                <w:bCs/>
                <w:sz w:val="22"/>
                <w:szCs w:val="22"/>
              </w:rPr>
            </w:pPr>
          </w:p>
          <w:p w14:paraId="263B2FA9" w14:textId="77777777" w:rsidR="00833F86" w:rsidRPr="008D0CF2" w:rsidRDefault="00833F86" w:rsidP="008A5B4C">
            <w:pPr>
              <w:numPr>
                <w:ilvl w:val="0"/>
                <w:numId w:val="1"/>
              </w:numPr>
              <w:tabs>
                <w:tab w:val="clear" w:pos="540"/>
                <w:tab w:val="left" w:pos="330"/>
                <w:tab w:val="right" w:pos="9790"/>
              </w:tabs>
              <w:ind w:left="330" w:right="41" w:hanging="330"/>
              <w:rPr>
                <w:rFonts w:ascii="Abadi" w:hAnsi="Abadi" w:cs="Arial"/>
                <w:bCs/>
                <w:sz w:val="22"/>
                <w:szCs w:val="22"/>
              </w:rPr>
            </w:pPr>
            <w:r w:rsidRPr="008D0CF2">
              <w:rPr>
                <w:rFonts w:ascii="Abadi" w:hAnsi="Abadi" w:cs="Arial"/>
                <w:sz w:val="22"/>
                <w:szCs w:val="22"/>
              </w:rPr>
              <w:t xml:space="preserve">To co-ordinate the completion of the Safer People / Safer Places risk assessments registers by ensuring the risk register matrices are up to date. To review findings of assessments, and to present </w:t>
            </w:r>
            <w:r w:rsidR="00D51022" w:rsidRPr="008D0CF2">
              <w:rPr>
                <w:rFonts w:ascii="Abadi" w:hAnsi="Abadi" w:cs="Arial"/>
                <w:sz w:val="22"/>
                <w:szCs w:val="22"/>
              </w:rPr>
              <w:t>regular updates</w:t>
            </w:r>
            <w:r w:rsidRPr="008D0CF2">
              <w:rPr>
                <w:rFonts w:ascii="Abadi" w:hAnsi="Abadi" w:cs="Arial"/>
                <w:sz w:val="22"/>
                <w:szCs w:val="22"/>
              </w:rPr>
              <w:t xml:space="preserve"> to the appropriate Senior Management Team. </w:t>
            </w:r>
          </w:p>
          <w:p w14:paraId="47A02C61" w14:textId="77777777" w:rsidR="00833F86" w:rsidRPr="008D0CF2" w:rsidRDefault="00833F86" w:rsidP="008A5B4C">
            <w:pPr>
              <w:tabs>
                <w:tab w:val="left" w:pos="330"/>
                <w:tab w:val="right" w:pos="9790"/>
              </w:tabs>
              <w:ind w:right="41"/>
              <w:rPr>
                <w:rFonts w:ascii="Abadi" w:hAnsi="Abadi" w:cs="Arial"/>
                <w:sz w:val="22"/>
                <w:szCs w:val="22"/>
              </w:rPr>
            </w:pPr>
          </w:p>
          <w:p w14:paraId="66D351BD" w14:textId="77777777" w:rsidR="00833F86" w:rsidRPr="008D0CF2" w:rsidRDefault="00833F86" w:rsidP="008A5B4C">
            <w:pPr>
              <w:numPr>
                <w:ilvl w:val="0"/>
                <w:numId w:val="1"/>
              </w:numPr>
              <w:tabs>
                <w:tab w:val="clear" w:pos="540"/>
                <w:tab w:val="left" w:pos="330"/>
                <w:tab w:val="right" w:pos="9790"/>
              </w:tabs>
              <w:ind w:left="330" w:right="41" w:hanging="330"/>
              <w:rPr>
                <w:rFonts w:ascii="Abadi" w:hAnsi="Abadi" w:cs="Arial"/>
                <w:bCs/>
                <w:sz w:val="22"/>
                <w:szCs w:val="22"/>
              </w:rPr>
            </w:pPr>
            <w:r w:rsidRPr="008D0CF2">
              <w:rPr>
                <w:rFonts w:ascii="Abadi" w:hAnsi="Abadi" w:cs="Arial"/>
                <w:sz w:val="22"/>
                <w:szCs w:val="22"/>
              </w:rPr>
              <w:t xml:space="preserve">To liaise with the Corporate Property Officers and Education Building Development Officers to prioritise property related health and safety issues.  </w:t>
            </w:r>
          </w:p>
          <w:p w14:paraId="53F3AAF5" w14:textId="77777777" w:rsidR="00833F86" w:rsidRPr="008D0CF2" w:rsidRDefault="00833F86" w:rsidP="008A5B4C">
            <w:pPr>
              <w:tabs>
                <w:tab w:val="left" w:pos="330"/>
                <w:tab w:val="right" w:pos="9790"/>
              </w:tabs>
              <w:ind w:right="41"/>
              <w:rPr>
                <w:rFonts w:ascii="Abadi" w:hAnsi="Abadi" w:cs="Arial"/>
                <w:sz w:val="22"/>
                <w:szCs w:val="22"/>
              </w:rPr>
            </w:pPr>
          </w:p>
          <w:p w14:paraId="45F2570A" w14:textId="77777777" w:rsidR="00833F86" w:rsidRPr="008D0CF2" w:rsidRDefault="00833F86" w:rsidP="008A5B4C">
            <w:pPr>
              <w:numPr>
                <w:ilvl w:val="0"/>
                <w:numId w:val="1"/>
              </w:numPr>
              <w:tabs>
                <w:tab w:val="clear" w:pos="540"/>
                <w:tab w:val="left" w:pos="330"/>
                <w:tab w:val="right" w:pos="9790"/>
              </w:tabs>
              <w:ind w:left="330" w:right="41" w:hanging="330"/>
              <w:rPr>
                <w:rFonts w:ascii="Abadi" w:hAnsi="Abadi" w:cs="Arial"/>
                <w:bCs/>
                <w:sz w:val="22"/>
                <w:szCs w:val="22"/>
              </w:rPr>
            </w:pPr>
            <w:r w:rsidRPr="008D0CF2">
              <w:rPr>
                <w:rFonts w:ascii="Abadi" w:hAnsi="Abadi" w:cs="Arial"/>
                <w:sz w:val="22"/>
                <w:szCs w:val="22"/>
              </w:rPr>
              <w:t>To develop and maintain Directorate Health &amp; Safety Groups and to unde</w:t>
            </w:r>
            <w:r w:rsidR="00D51022" w:rsidRPr="008D0CF2">
              <w:rPr>
                <w:rFonts w:ascii="Abadi" w:hAnsi="Abadi" w:cs="Arial"/>
                <w:sz w:val="22"/>
                <w:szCs w:val="22"/>
              </w:rPr>
              <w:t>rtake the role of Secretary to these</w:t>
            </w:r>
            <w:r w:rsidRPr="008D0CF2">
              <w:rPr>
                <w:rFonts w:ascii="Abadi" w:hAnsi="Abadi" w:cs="Arial"/>
                <w:sz w:val="22"/>
                <w:szCs w:val="22"/>
              </w:rPr>
              <w:t xml:space="preserve"> group</w:t>
            </w:r>
            <w:r w:rsidR="00D51022" w:rsidRPr="008D0CF2">
              <w:rPr>
                <w:rFonts w:ascii="Abadi" w:hAnsi="Abadi" w:cs="Arial"/>
                <w:sz w:val="22"/>
                <w:szCs w:val="22"/>
              </w:rPr>
              <w:t>s</w:t>
            </w:r>
            <w:r w:rsidRPr="008D0CF2">
              <w:rPr>
                <w:rFonts w:ascii="Abadi" w:hAnsi="Abadi" w:cs="Arial"/>
                <w:sz w:val="22"/>
                <w:szCs w:val="22"/>
              </w:rPr>
              <w:t xml:space="preserve">. To take an active role </w:t>
            </w:r>
            <w:r w:rsidR="00D51022" w:rsidRPr="008D0CF2">
              <w:rPr>
                <w:rFonts w:ascii="Abadi" w:hAnsi="Abadi" w:cs="Arial"/>
                <w:sz w:val="22"/>
                <w:szCs w:val="22"/>
              </w:rPr>
              <w:t xml:space="preserve">leading </w:t>
            </w:r>
            <w:r w:rsidRPr="008D0CF2">
              <w:rPr>
                <w:rFonts w:ascii="Abadi" w:hAnsi="Abadi" w:cs="Arial"/>
                <w:sz w:val="22"/>
                <w:szCs w:val="22"/>
              </w:rPr>
              <w:t xml:space="preserve">the work of the group, </w:t>
            </w:r>
            <w:r w:rsidR="00D51022" w:rsidRPr="008D0CF2">
              <w:rPr>
                <w:rFonts w:ascii="Abadi" w:hAnsi="Abadi" w:cs="Arial"/>
                <w:sz w:val="22"/>
                <w:szCs w:val="22"/>
              </w:rPr>
              <w:t xml:space="preserve">and </w:t>
            </w:r>
            <w:r w:rsidRPr="008D0CF2">
              <w:rPr>
                <w:rFonts w:ascii="Abadi" w:hAnsi="Abadi" w:cs="Arial"/>
                <w:sz w:val="22"/>
                <w:szCs w:val="22"/>
              </w:rPr>
              <w:t>ensuring the terms of reference and membership reflect good practice.</w:t>
            </w:r>
          </w:p>
          <w:p w14:paraId="7D01F2E5" w14:textId="77777777" w:rsidR="00833F86" w:rsidRPr="008D0CF2" w:rsidRDefault="00833F86" w:rsidP="008A5B4C">
            <w:pPr>
              <w:tabs>
                <w:tab w:val="left" w:pos="330"/>
                <w:tab w:val="right" w:pos="9790"/>
              </w:tabs>
              <w:ind w:right="41"/>
              <w:rPr>
                <w:rFonts w:ascii="Abadi" w:hAnsi="Abadi" w:cs="Arial"/>
                <w:sz w:val="22"/>
                <w:szCs w:val="22"/>
              </w:rPr>
            </w:pPr>
          </w:p>
          <w:p w14:paraId="4ED03A58" w14:textId="77777777" w:rsidR="00833F86" w:rsidRPr="008D0CF2" w:rsidRDefault="00833F86" w:rsidP="008A5B4C">
            <w:pPr>
              <w:numPr>
                <w:ilvl w:val="0"/>
                <w:numId w:val="1"/>
              </w:numPr>
              <w:tabs>
                <w:tab w:val="clear" w:pos="540"/>
                <w:tab w:val="left" w:pos="330"/>
                <w:tab w:val="right" w:pos="9790"/>
              </w:tabs>
              <w:ind w:left="330" w:right="41" w:hanging="330"/>
              <w:rPr>
                <w:rFonts w:ascii="Abadi" w:hAnsi="Abadi" w:cs="Arial"/>
                <w:bCs/>
                <w:sz w:val="22"/>
                <w:szCs w:val="22"/>
              </w:rPr>
            </w:pPr>
            <w:r w:rsidRPr="008D0CF2">
              <w:rPr>
                <w:rFonts w:ascii="Abadi" w:hAnsi="Abadi" w:cs="Arial"/>
                <w:sz w:val="22"/>
                <w:szCs w:val="22"/>
              </w:rPr>
              <w:t>To maintain and develop health and safety systems including accident reporting, workstation assessment systems and educational visit monitoring service. To identify areas where online systems or e-learning tools can assist in the effective and efficient delivery of the Corporate Health and Safety Unit’s objectives.</w:t>
            </w:r>
          </w:p>
          <w:p w14:paraId="255B2540" w14:textId="77777777" w:rsidR="00833F86" w:rsidRPr="008D0CF2" w:rsidRDefault="00833F86" w:rsidP="008A5B4C">
            <w:pPr>
              <w:tabs>
                <w:tab w:val="left" w:pos="330"/>
                <w:tab w:val="right" w:pos="9790"/>
              </w:tabs>
              <w:ind w:right="41"/>
              <w:rPr>
                <w:rFonts w:ascii="Abadi" w:hAnsi="Abadi" w:cs="Arial"/>
                <w:sz w:val="22"/>
                <w:szCs w:val="22"/>
              </w:rPr>
            </w:pPr>
          </w:p>
          <w:p w14:paraId="34B0D594" w14:textId="77777777" w:rsidR="00833F86" w:rsidRPr="008D0CF2" w:rsidRDefault="00833F86" w:rsidP="008A5B4C">
            <w:pPr>
              <w:numPr>
                <w:ilvl w:val="0"/>
                <w:numId w:val="1"/>
              </w:numPr>
              <w:tabs>
                <w:tab w:val="clear" w:pos="540"/>
                <w:tab w:val="left" w:pos="330"/>
                <w:tab w:val="right" w:pos="9790"/>
              </w:tabs>
              <w:ind w:left="330" w:right="41" w:hanging="330"/>
              <w:rPr>
                <w:rFonts w:ascii="Abadi" w:hAnsi="Abadi" w:cs="Arial"/>
                <w:bCs/>
                <w:sz w:val="22"/>
                <w:szCs w:val="22"/>
              </w:rPr>
            </w:pPr>
            <w:r w:rsidRPr="008D0CF2">
              <w:rPr>
                <w:rFonts w:ascii="Abadi" w:hAnsi="Abadi" w:cs="Arial"/>
                <w:sz w:val="22"/>
                <w:szCs w:val="22"/>
              </w:rPr>
              <w:t xml:space="preserve">To monitor and review accident reports received by the Corporate Health and Safety Unit and to decide whether further investigation is required. </w:t>
            </w:r>
          </w:p>
          <w:p w14:paraId="7EFE539F" w14:textId="77777777" w:rsidR="00833F86" w:rsidRPr="008D0CF2" w:rsidRDefault="00833F86" w:rsidP="008A5B4C">
            <w:pPr>
              <w:tabs>
                <w:tab w:val="left" w:pos="330"/>
                <w:tab w:val="right" w:pos="9790"/>
              </w:tabs>
              <w:ind w:right="41"/>
              <w:rPr>
                <w:rFonts w:ascii="Abadi" w:hAnsi="Abadi" w:cs="Arial"/>
                <w:sz w:val="22"/>
                <w:szCs w:val="22"/>
              </w:rPr>
            </w:pPr>
          </w:p>
          <w:p w14:paraId="7DDAF830" w14:textId="77777777" w:rsidR="00833F86" w:rsidRPr="008D0CF2" w:rsidRDefault="00833F86" w:rsidP="008A5B4C">
            <w:pPr>
              <w:numPr>
                <w:ilvl w:val="0"/>
                <w:numId w:val="1"/>
              </w:numPr>
              <w:tabs>
                <w:tab w:val="clear" w:pos="540"/>
                <w:tab w:val="left" w:pos="330"/>
                <w:tab w:val="right" w:pos="9790"/>
              </w:tabs>
              <w:ind w:left="330" w:right="41" w:hanging="330"/>
              <w:rPr>
                <w:rFonts w:ascii="Abadi" w:hAnsi="Abadi" w:cs="Arial"/>
                <w:bCs/>
                <w:sz w:val="22"/>
                <w:szCs w:val="22"/>
              </w:rPr>
            </w:pPr>
            <w:r w:rsidRPr="008D0CF2">
              <w:rPr>
                <w:rFonts w:ascii="Abadi" w:hAnsi="Abadi" w:cs="Arial"/>
                <w:sz w:val="22"/>
                <w:szCs w:val="22"/>
              </w:rPr>
              <w:t>To liaise with and carry out joint inspections with Trade Union Safety Representatives.</w:t>
            </w:r>
          </w:p>
          <w:p w14:paraId="54704C56" w14:textId="77777777" w:rsidR="00833F86" w:rsidRPr="008D0CF2" w:rsidRDefault="00833F86" w:rsidP="008A5B4C">
            <w:pPr>
              <w:tabs>
                <w:tab w:val="left" w:pos="330"/>
                <w:tab w:val="right" w:pos="9790"/>
              </w:tabs>
              <w:ind w:right="41"/>
              <w:rPr>
                <w:rFonts w:ascii="Abadi" w:hAnsi="Abadi" w:cs="Arial"/>
                <w:sz w:val="22"/>
                <w:szCs w:val="22"/>
              </w:rPr>
            </w:pPr>
          </w:p>
          <w:p w14:paraId="732D65AB" w14:textId="77777777" w:rsidR="00833F86" w:rsidRPr="008D0CF2" w:rsidRDefault="00833F86" w:rsidP="008A5B4C">
            <w:pPr>
              <w:numPr>
                <w:ilvl w:val="0"/>
                <w:numId w:val="1"/>
              </w:numPr>
              <w:tabs>
                <w:tab w:val="clear" w:pos="540"/>
                <w:tab w:val="left" w:pos="330"/>
                <w:tab w:val="right" w:pos="9790"/>
              </w:tabs>
              <w:ind w:left="330" w:right="41" w:hanging="330"/>
              <w:rPr>
                <w:rFonts w:ascii="Abadi" w:hAnsi="Abadi" w:cs="Arial"/>
                <w:bCs/>
                <w:sz w:val="22"/>
                <w:szCs w:val="22"/>
              </w:rPr>
            </w:pPr>
            <w:r w:rsidRPr="008D0CF2">
              <w:rPr>
                <w:rFonts w:ascii="Abadi" w:hAnsi="Abadi" w:cs="Arial"/>
                <w:sz w:val="22"/>
                <w:szCs w:val="22"/>
              </w:rPr>
              <w:t>To assist in the maintenance of the health and safety content of the Council’s Intranet and Education Extranet pages.</w:t>
            </w:r>
          </w:p>
          <w:p w14:paraId="2FA23693" w14:textId="77777777" w:rsidR="00833F86" w:rsidRPr="008D0CF2" w:rsidRDefault="00833F86" w:rsidP="008A5B4C">
            <w:pPr>
              <w:tabs>
                <w:tab w:val="left" w:pos="330"/>
                <w:tab w:val="right" w:pos="9790"/>
              </w:tabs>
              <w:ind w:right="41"/>
              <w:rPr>
                <w:rFonts w:ascii="Abadi" w:hAnsi="Abadi" w:cs="Arial"/>
                <w:sz w:val="22"/>
                <w:szCs w:val="22"/>
              </w:rPr>
            </w:pPr>
          </w:p>
          <w:p w14:paraId="7D147D24" w14:textId="77777777" w:rsidR="00833F86" w:rsidRPr="008D0CF2" w:rsidRDefault="00833F86" w:rsidP="008A5B4C">
            <w:pPr>
              <w:numPr>
                <w:ilvl w:val="0"/>
                <w:numId w:val="1"/>
              </w:numPr>
              <w:tabs>
                <w:tab w:val="clear" w:pos="540"/>
                <w:tab w:val="left" w:pos="330"/>
                <w:tab w:val="right" w:pos="9790"/>
              </w:tabs>
              <w:ind w:left="330" w:right="41" w:hanging="330"/>
              <w:rPr>
                <w:rFonts w:ascii="Abadi" w:hAnsi="Abadi" w:cs="Arial"/>
                <w:bCs/>
                <w:sz w:val="22"/>
                <w:szCs w:val="22"/>
              </w:rPr>
            </w:pPr>
            <w:r w:rsidRPr="008D0CF2">
              <w:rPr>
                <w:rFonts w:ascii="Abadi" w:hAnsi="Abadi" w:cs="Arial"/>
                <w:sz w:val="22"/>
                <w:szCs w:val="22"/>
              </w:rPr>
              <w:lastRenderedPageBreak/>
              <w:t>To undertake joint tasks and projects with other members of the Corporate Health and Safety Unit to meet strategic objectives.</w:t>
            </w:r>
          </w:p>
          <w:p w14:paraId="1611C2D2" w14:textId="77777777" w:rsidR="00833F86" w:rsidRPr="008D0CF2" w:rsidRDefault="00833F86" w:rsidP="008A5B4C">
            <w:pPr>
              <w:tabs>
                <w:tab w:val="left" w:pos="330"/>
                <w:tab w:val="right" w:pos="9790"/>
              </w:tabs>
              <w:ind w:right="41"/>
              <w:rPr>
                <w:rFonts w:ascii="Abadi" w:hAnsi="Abadi" w:cs="Arial"/>
                <w:bCs/>
                <w:sz w:val="22"/>
                <w:szCs w:val="22"/>
              </w:rPr>
            </w:pPr>
          </w:p>
          <w:p w14:paraId="426BA5C4" w14:textId="77777777" w:rsidR="00833F86" w:rsidRPr="008D0CF2" w:rsidRDefault="00833F86" w:rsidP="008A5B4C">
            <w:pPr>
              <w:numPr>
                <w:ilvl w:val="0"/>
                <w:numId w:val="1"/>
              </w:numPr>
              <w:tabs>
                <w:tab w:val="clear" w:pos="540"/>
                <w:tab w:val="left" w:pos="330"/>
                <w:tab w:val="right" w:pos="9790"/>
              </w:tabs>
              <w:ind w:left="330" w:right="41" w:hanging="330"/>
              <w:rPr>
                <w:rFonts w:ascii="Abadi" w:hAnsi="Abadi" w:cs="Arial"/>
                <w:bCs/>
                <w:sz w:val="22"/>
                <w:szCs w:val="22"/>
              </w:rPr>
            </w:pPr>
            <w:r w:rsidRPr="008D0CF2">
              <w:rPr>
                <w:rFonts w:ascii="Abadi" w:hAnsi="Abadi" w:cs="Arial"/>
                <w:bCs/>
                <w:sz w:val="22"/>
                <w:szCs w:val="22"/>
              </w:rPr>
              <w:t>Any other duties which are in line with the grade and general level of responsibility of the post</w:t>
            </w:r>
          </w:p>
          <w:p w14:paraId="36C321E0" w14:textId="77777777" w:rsidR="00833F86" w:rsidRPr="008D0CF2" w:rsidRDefault="00833F86" w:rsidP="008A5B4C">
            <w:pPr>
              <w:tabs>
                <w:tab w:val="right" w:pos="9790"/>
              </w:tabs>
              <w:ind w:left="330" w:right="41" w:hanging="330"/>
              <w:rPr>
                <w:rFonts w:ascii="Abadi" w:hAnsi="Abadi" w:cs="Arial"/>
                <w:bCs/>
                <w:sz w:val="22"/>
                <w:szCs w:val="22"/>
              </w:rPr>
            </w:pPr>
          </w:p>
          <w:p w14:paraId="76F767C3" w14:textId="77777777" w:rsidR="00833F86" w:rsidRPr="008D0CF2" w:rsidRDefault="00833F86" w:rsidP="008A5B4C">
            <w:pPr>
              <w:tabs>
                <w:tab w:val="right" w:pos="9790"/>
              </w:tabs>
              <w:ind w:right="41"/>
              <w:rPr>
                <w:rFonts w:ascii="Abadi" w:hAnsi="Abadi" w:cs="Arial"/>
                <w:bCs/>
                <w:i/>
                <w:iCs/>
                <w:sz w:val="22"/>
                <w:szCs w:val="22"/>
              </w:rPr>
            </w:pPr>
            <w:r w:rsidRPr="008D0CF2">
              <w:rPr>
                <w:rFonts w:ascii="Abadi" w:hAnsi="Abadi" w:cs="Arial"/>
                <w:bCs/>
                <w:i/>
                <w:iCs/>
                <w:sz w:val="22"/>
                <w:szCs w:val="22"/>
              </w:rPr>
              <w:t xml:space="preserve">These are the key tasks as currently defined.  They are not listed in priority order and post holders should not place emphasis on the location of the task within the forgoing job description.  From time to time the key tasks may be varied and the post holder will be expected to take on such variations within the constraints of the grade and the level of responsibility implied in it.  </w:t>
            </w:r>
          </w:p>
          <w:p w14:paraId="0C54986F" w14:textId="77777777" w:rsidR="00833F86" w:rsidRPr="008D0CF2" w:rsidRDefault="00833F86" w:rsidP="008A5B4C">
            <w:pPr>
              <w:tabs>
                <w:tab w:val="right" w:pos="9790"/>
              </w:tabs>
              <w:ind w:right="41"/>
              <w:rPr>
                <w:rFonts w:ascii="Abadi" w:hAnsi="Abadi" w:cs="Arial"/>
                <w:bCs/>
                <w:sz w:val="22"/>
                <w:szCs w:val="22"/>
              </w:rPr>
            </w:pPr>
          </w:p>
          <w:p w14:paraId="24687FB7" w14:textId="77777777" w:rsidR="00833F86" w:rsidRPr="008D0CF2" w:rsidRDefault="00833F86" w:rsidP="008A5B4C">
            <w:pPr>
              <w:tabs>
                <w:tab w:val="right" w:pos="9790"/>
              </w:tabs>
              <w:ind w:right="41"/>
              <w:rPr>
                <w:rFonts w:ascii="Abadi" w:hAnsi="Abadi" w:cs="Arial"/>
                <w:b/>
                <w:bCs/>
                <w:sz w:val="22"/>
                <w:szCs w:val="22"/>
              </w:rPr>
            </w:pPr>
            <w:r w:rsidRPr="008D0CF2">
              <w:rPr>
                <w:rFonts w:ascii="Abadi" w:hAnsi="Abadi" w:cs="Arial"/>
                <w:b/>
                <w:bCs/>
                <w:sz w:val="22"/>
                <w:szCs w:val="22"/>
              </w:rPr>
              <w:t>Progression Criteria</w:t>
            </w:r>
          </w:p>
          <w:p w14:paraId="57F85B75" w14:textId="77777777" w:rsidR="008A5B4C" w:rsidRPr="008D0CF2" w:rsidRDefault="008A5B4C" w:rsidP="008A5B4C">
            <w:pPr>
              <w:tabs>
                <w:tab w:val="right" w:pos="9790"/>
              </w:tabs>
              <w:ind w:right="41"/>
              <w:rPr>
                <w:rFonts w:ascii="Abadi" w:hAnsi="Abadi" w:cs="Arial"/>
                <w:b/>
                <w:bCs/>
                <w:sz w:val="22"/>
                <w:szCs w:val="22"/>
              </w:rPr>
            </w:pPr>
          </w:p>
          <w:p w14:paraId="6DD97862" w14:textId="77777777" w:rsidR="00833F86" w:rsidRPr="008D0CF2" w:rsidRDefault="00833F86" w:rsidP="008A5B4C">
            <w:pPr>
              <w:tabs>
                <w:tab w:val="right" w:pos="9790"/>
              </w:tabs>
              <w:ind w:right="41"/>
              <w:rPr>
                <w:rFonts w:ascii="Abadi" w:hAnsi="Abadi" w:cs="Arial"/>
                <w:b/>
                <w:bCs/>
                <w:sz w:val="22"/>
                <w:szCs w:val="22"/>
              </w:rPr>
            </w:pPr>
            <w:r w:rsidRPr="008D0CF2">
              <w:rPr>
                <w:rFonts w:ascii="Abadi" w:hAnsi="Abadi" w:cs="Arial"/>
                <w:b/>
                <w:bCs/>
                <w:sz w:val="22"/>
                <w:szCs w:val="22"/>
              </w:rPr>
              <w:t xml:space="preserve">Additional responsibilities </w:t>
            </w:r>
            <w:r w:rsidR="008A5B4C" w:rsidRPr="008D0CF2">
              <w:rPr>
                <w:rFonts w:ascii="Abadi" w:hAnsi="Abadi" w:cs="Arial"/>
                <w:b/>
                <w:bCs/>
                <w:sz w:val="22"/>
                <w:szCs w:val="22"/>
              </w:rPr>
              <w:t xml:space="preserve">/ requirements </w:t>
            </w:r>
            <w:r w:rsidRPr="008D0CF2">
              <w:rPr>
                <w:rFonts w:ascii="Abadi" w:hAnsi="Abadi" w:cs="Arial"/>
                <w:b/>
                <w:bCs/>
                <w:sz w:val="22"/>
                <w:szCs w:val="22"/>
              </w:rPr>
              <w:t>for progression to SO2</w:t>
            </w:r>
          </w:p>
          <w:p w14:paraId="4AEC427C" w14:textId="77777777" w:rsidR="00833F86" w:rsidRPr="008D0CF2" w:rsidRDefault="00833F86" w:rsidP="008A5B4C">
            <w:pPr>
              <w:tabs>
                <w:tab w:val="right" w:pos="9790"/>
              </w:tabs>
              <w:ind w:right="41"/>
              <w:rPr>
                <w:rFonts w:ascii="Abadi" w:hAnsi="Abadi" w:cs="Arial"/>
                <w:bCs/>
                <w:sz w:val="22"/>
                <w:szCs w:val="22"/>
              </w:rPr>
            </w:pPr>
          </w:p>
          <w:p w14:paraId="64BF64B0" w14:textId="77777777" w:rsidR="008A5B4C" w:rsidRPr="008D0CF2" w:rsidRDefault="008A5B4C" w:rsidP="008A5B4C">
            <w:pPr>
              <w:numPr>
                <w:ilvl w:val="0"/>
                <w:numId w:val="3"/>
              </w:numPr>
              <w:tabs>
                <w:tab w:val="right" w:pos="9790"/>
              </w:tabs>
              <w:ind w:right="41"/>
              <w:rPr>
                <w:rFonts w:ascii="Abadi" w:hAnsi="Abadi" w:cs="Arial"/>
                <w:bCs/>
                <w:sz w:val="22"/>
                <w:szCs w:val="22"/>
              </w:rPr>
            </w:pPr>
            <w:r w:rsidRPr="008D0CF2">
              <w:rPr>
                <w:rFonts w:ascii="Abadi" w:hAnsi="Abadi" w:cs="Arial"/>
                <w:sz w:val="22"/>
                <w:szCs w:val="22"/>
              </w:rPr>
              <w:t>Award of NVQ Level 3 in Health and Safety Practice by Competent Assessor or NEBOSH Certificate by examination.</w:t>
            </w:r>
          </w:p>
          <w:p w14:paraId="1D86A562" w14:textId="77777777" w:rsidR="00833F86" w:rsidRPr="008D0CF2" w:rsidRDefault="00833F86" w:rsidP="008A5B4C">
            <w:pPr>
              <w:numPr>
                <w:ilvl w:val="0"/>
                <w:numId w:val="3"/>
              </w:numPr>
              <w:tabs>
                <w:tab w:val="right" w:pos="9790"/>
              </w:tabs>
              <w:ind w:right="41"/>
              <w:rPr>
                <w:rFonts w:ascii="Abadi" w:hAnsi="Abadi" w:cs="Arial"/>
                <w:bCs/>
                <w:sz w:val="22"/>
                <w:szCs w:val="22"/>
              </w:rPr>
            </w:pPr>
            <w:r w:rsidRPr="008D0CF2">
              <w:rPr>
                <w:rFonts w:ascii="Abadi" w:hAnsi="Abadi" w:cs="Arial"/>
                <w:sz w:val="22"/>
                <w:szCs w:val="22"/>
              </w:rPr>
              <w:t>To keep up to date with changes in legislative requirements and professional good practice in order to advise senior management of ways to ensure continued high standards and compliance with current legislation</w:t>
            </w:r>
          </w:p>
          <w:p w14:paraId="5183543A" w14:textId="77777777" w:rsidR="00833F86" w:rsidRPr="008D0CF2" w:rsidRDefault="00833F86" w:rsidP="008A5B4C">
            <w:pPr>
              <w:numPr>
                <w:ilvl w:val="0"/>
                <w:numId w:val="3"/>
              </w:numPr>
              <w:rPr>
                <w:rFonts w:ascii="Abadi" w:hAnsi="Abadi" w:cs="Arial"/>
                <w:sz w:val="22"/>
                <w:szCs w:val="22"/>
              </w:rPr>
            </w:pPr>
            <w:r w:rsidRPr="008D0CF2">
              <w:rPr>
                <w:rFonts w:ascii="Abadi" w:hAnsi="Abadi" w:cs="Arial"/>
                <w:sz w:val="22"/>
                <w:szCs w:val="22"/>
              </w:rPr>
              <w:t>To liaise with the Borough Contingency Manager to play an active role in the maintenance of emergency planning procedures for all sites, in particular sites used as Emergency Rest centres.</w:t>
            </w:r>
          </w:p>
          <w:p w14:paraId="364314AE" w14:textId="77777777" w:rsidR="00833F86" w:rsidRPr="008D0CF2" w:rsidRDefault="00833F86" w:rsidP="008A5B4C">
            <w:pPr>
              <w:tabs>
                <w:tab w:val="right" w:pos="9790"/>
              </w:tabs>
              <w:ind w:right="41"/>
              <w:rPr>
                <w:rFonts w:ascii="Abadi" w:hAnsi="Abadi" w:cs="Arial"/>
                <w:bCs/>
                <w:sz w:val="22"/>
                <w:szCs w:val="22"/>
              </w:rPr>
            </w:pPr>
          </w:p>
          <w:p w14:paraId="467D285C" w14:textId="77777777" w:rsidR="008A5B4C" w:rsidRPr="008D0CF2" w:rsidRDefault="008A5B4C" w:rsidP="008A5B4C">
            <w:pPr>
              <w:tabs>
                <w:tab w:val="right" w:pos="9790"/>
              </w:tabs>
              <w:ind w:right="41"/>
              <w:rPr>
                <w:rFonts w:ascii="Abadi" w:hAnsi="Abadi" w:cs="Arial"/>
                <w:b/>
                <w:bCs/>
                <w:sz w:val="22"/>
                <w:szCs w:val="22"/>
              </w:rPr>
            </w:pPr>
            <w:r w:rsidRPr="008D0CF2">
              <w:rPr>
                <w:rFonts w:ascii="Abadi" w:hAnsi="Abadi" w:cs="Arial"/>
                <w:b/>
                <w:bCs/>
                <w:sz w:val="22"/>
                <w:szCs w:val="22"/>
              </w:rPr>
              <w:t>Additional responsibilities / requirements for progression to PO1</w:t>
            </w:r>
          </w:p>
          <w:p w14:paraId="4A822065" w14:textId="77777777" w:rsidR="008A5B4C" w:rsidRPr="008D0CF2" w:rsidRDefault="008A5B4C" w:rsidP="008A5B4C">
            <w:pPr>
              <w:tabs>
                <w:tab w:val="right" w:pos="9790"/>
              </w:tabs>
              <w:ind w:right="41"/>
              <w:rPr>
                <w:rFonts w:ascii="Abadi" w:hAnsi="Abadi" w:cs="Arial"/>
                <w:bCs/>
                <w:sz w:val="22"/>
                <w:szCs w:val="22"/>
              </w:rPr>
            </w:pPr>
          </w:p>
          <w:p w14:paraId="7D21ADC3" w14:textId="77777777" w:rsidR="002D17E8" w:rsidRPr="008D0CF2" w:rsidRDefault="008A5B4C" w:rsidP="008A5B4C">
            <w:pPr>
              <w:numPr>
                <w:ilvl w:val="0"/>
                <w:numId w:val="3"/>
              </w:numPr>
              <w:tabs>
                <w:tab w:val="right" w:pos="9790"/>
              </w:tabs>
              <w:ind w:right="41"/>
              <w:rPr>
                <w:rFonts w:ascii="Abadi" w:hAnsi="Abadi" w:cs="Arial"/>
                <w:bCs/>
                <w:sz w:val="22"/>
                <w:szCs w:val="22"/>
              </w:rPr>
            </w:pPr>
            <w:r w:rsidRPr="008D0CF2">
              <w:rPr>
                <w:rFonts w:ascii="Abadi" w:hAnsi="Abadi" w:cs="Arial"/>
                <w:bCs/>
                <w:sz w:val="22"/>
                <w:szCs w:val="22"/>
              </w:rPr>
              <w:t>Tech</w:t>
            </w:r>
            <w:r w:rsidR="002D17E8" w:rsidRPr="008D0CF2">
              <w:rPr>
                <w:rFonts w:ascii="Abadi" w:hAnsi="Abadi" w:cs="Arial"/>
                <w:bCs/>
                <w:sz w:val="22"/>
                <w:szCs w:val="22"/>
              </w:rPr>
              <w:t xml:space="preserve">nician Member of </w:t>
            </w:r>
            <w:r w:rsidRPr="008D0CF2">
              <w:rPr>
                <w:rFonts w:ascii="Abadi" w:hAnsi="Abadi" w:cs="Arial"/>
                <w:bCs/>
                <w:sz w:val="22"/>
                <w:szCs w:val="22"/>
              </w:rPr>
              <w:t xml:space="preserve">IOSH </w:t>
            </w:r>
          </w:p>
          <w:p w14:paraId="10140156" w14:textId="77777777" w:rsidR="002D17E8" w:rsidRPr="008D0CF2" w:rsidRDefault="008A5B4C" w:rsidP="008A5B4C">
            <w:pPr>
              <w:numPr>
                <w:ilvl w:val="0"/>
                <w:numId w:val="3"/>
              </w:numPr>
              <w:tabs>
                <w:tab w:val="right" w:pos="9790"/>
              </w:tabs>
              <w:ind w:right="41"/>
              <w:rPr>
                <w:rFonts w:ascii="Abadi" w:hAnsi="Abadi" w:cs="Arial"/>
                <w:bCs/>
                <w:sz w:val="22"/>
                <w:szCs w:val="22"/>
              </w:rPr>
            </w:pPr>
            <w:r w:rsidRPr="008D0CF2">
              <w:rPr>
                <w:rFonts w:ascii="Abadi" w:hAnsi="Abadi" w:cs="Arial"/>
                <w:bCs/>
                <w:sz w:val="22"/>
                <w:szCs w:val="22"/>
              </w:rPr>
              <w:t xml:space="preserve">Successful completion of </w:t>
            </w:r>
            <w:r w:rsidR="000A61AD" w:rsidRPr="008D0CF2">
              <w:rPr>
                <w:rFonts w:ascii="Abadi" w:hAnsi="Abadi" w:cs="Arial"/>
                <w:bCs/>
                <w:sz w:val="22"/>
                <w:szCs w:val="22"/>
              </w:rPr>
              <w:t>one period of Continuing Professional Development (3 years) or significant demonstrable experience in a health and safety role.</w:t>
            </w:r>
          </w:p>
          <w:p w14:paraId="6A83FE81" w14:textId="77777777" w:rsidR="008A5B4C" w:rsidRPr="008D0CF2" w:rsidRDefault="008A5B4C" w:rsidP="008A5B4C">
            <w:pPr>
              <w:pStyle w:val="BodyText2"/>
              <w:numPr>
                <w:ilvl w:val="0"/>
                <w:numId w:val="3"/>
              </w:numPr>
              <w:spacing w:after="0" w:line="240" w:lineRule="auto"/>
              <w:rPr>
                <w:rFonts w:ascii="Abadi" w:hAnsi="Abadi" w:cs="Arial"/>
                <w:sz w:val="22"/>
                <w:szCs w:val="22"/>
              </w:rPr>
            </w:pPr>
            <w:r w:rsidRPr="008D0CF2">
              <w:rPr>
                <w:rFonts w:ascii="Abadi" w:hAnsi="Abadi" w:cs="Arial"/>
                <w:sz w:val="22"/>
                <w:szCs w:val="22"/>
              </w:rPr>
              <w:t>To identify the health and safety training needs of managers and staff and, in consultation with the Health and Safety Manager, develop a strategy for its provision by conducting training personally and by organising other trainers ensuring that key staff groups receive agreed levels of health and safety training.</w:t>
            </w:r>
          </w:p>
          <w:p w14:paraId="64C798E4" w14:textId="77777777" w:rsidR="008A5B4C" w:rsidRPr="008D0CF2" w:rsidRDefault="008A5B4C" w:rsidP="008A5B4C">
            <w:pPr>
              <w:pStyle w:val="BodyTextIndent"/>
              <w:numPr>
                <w:ilvl w:val="0"/>
                <w:numId w:val="3"/>
              </w:numPr>
              <w:spacing w:after="0"/>
              <w:rPr>
                <w:rFonts w:ascii="Abadi" w:hAnsi="Abadi" w:cs="Arial"/>
                <w:sz w:val="22"/>
                <w:szCs w:val="22"/>
              </w:rPr>
            </w:pPr>
            <w:r w:rsidRPr="008D0CF2">
              <w:rPr>
                <w:rFonts w:ascii="Abadi" w:hAnsi="Abadi" w:cs="Arial"/>
                <w:sz w:val="22"/>
                <w:szCs w:val="22"/>
              </w:rPr>
              <w:t>To plan the implementation of programmes of action to address priorities for health and safety improvement across Directorates as directed by the Corporate Health and Safety Manager.</w:t>
            </w:r>
          </w:p>
          <w:p w14:paraId="58415099" w14:textId="77777777" w:rsidR="008A5B4C" w:rsidRPr="008D0CF2" w:rsidRDefault="008A5B4C" w:rsidP="008A5B4C">
            <w:pPr>
              <w:numPr>
                <w:ilvl w:val="0"/>
                <w:numId w:val="3"/>
              </w:numPr>
              <w:rPr>
                <w:rFonts w:ascii="Abadi" w:hAnsi="Abadi" w:cs="Arial"/>
                <w:sz w:val="22"/>
                <w:szCs w:val="22"/>
              </w:rPr>
            </w:pPr>
            <w:r w:rsidRPr="008D0CF2">
              <w:rPr>
                <w:rFonts w:ascii="Abadi" w:hAnsi="Abadi" w:cs="Arial"/>
                <w:sz w:val="22"/>
                <w:szCs w:val="22"/>
              </w:rPr>
              <w:t>To investigate serious accidents and violent incidents in consultation with the Health and Safety Manager.</w:t>
            </w:r>
          </w:p>
          <w:p w14:paraId="5CBDDB64" w14:textId="77777777" w:rsidR="008A5B4C" w:rsidRPr="008D0CF2" w:rsidRDefault="008A5B4C" w:rsidP="008A5B4C">
            <w:pPr>
              <w:pStyle w:val="BodyTextIndent"/>
              <w:numPr>
                <w:ilvl w:val="0"/>
                <w:numId w:val="3"/>
              </w:numPr>
              <w:spacing w:after="0"/>
              <w:rPr>
                <w:rFonts w:ascii="Abadi" w:hAnsi="Abadi" w:cs="Arial"/>
                <w:sz w:val="22"/>
                <w:szCs w:val="22"/>
              </w:rPr>
            </w:pPr>
            <w:r w:rsidRPr="008D0CF2">
              <w:rPr>
                <w:rFonts w:ascii="Abadi" w:hAnsi="Abadi" w:cs="Arial"/>
                <w:sz w:val="22"/>
                <w:szCs w:val="22"/>
              </w:rPr>
              <w:t>To prepare and implement an annual site inspection schedule and to report findings to site managers with copies to relevant Senior Managers and Directors.</w:t>
            </w:r>
          </w:p>
          <w:p w14:paraId="7A96750C" w14:textId="77777777" w:rsidR="008A5B4C" w:rsidRPr="008D0CF2" w:rsidRDefault="008A5B4C" w:rsidP="008A5B4C">
            <w:pPr>
              <w:pStyle w:val="BodyText2"/>
              <w:numPr>
                <w:ilvl w:val="0"/>
                <w:numId w:val="3"/>
              </w:numPr>
              <w:spacing w:after="0" w:line="240" w:lineRule="auto"/>
              <w:rPr>
                <w:rFonts w:ascii="Abadi" w:hAnsi="Abadi" w:cs="Arial"/>
                <w:sz w:val="22"/>
                <w:szCs w:val="22"/>
              </w:rPr>
            </w:pPr>
            <w:r w:rsidRPr="008D0CF2">
              <w:rPr>
                <w:rFonts w:ascii="Abadi" w:hAnsi="Abadi" w:cs="Arial"/>
                <w:sz w:val="22"/>
                <w:szCs w:val="22"/>
              </w:rPr>
              <w:t>To initiate and advise on the development of departmental policies and procedures, taking a key role on working groups in the researching, formulating, and initial implementation of these documents.</w:t>
            </w:r>
          </w:p>
          <w:p w14:paraId="791558DF" w14:textId="77777777" w:rsidR="008A5B4C" w:rsidRPr="008D0CF2" w:rsidRDefault="008A5B4C" w:rsidP="008A5B4C">
            <w:pPr>
              <w:numPr>
                <w:ilvl w:val="0"/>
                <w:numId w:val="3"/>
              </w:numPr>
              <w:rPr>
                <w:rFonts w:ascii="Abadi" w:hAnsi="Abadi" w:cs="Arial"/>
                <w:sz w:val="22"/>
                <w:szCs w:val="22"/>
              </w:rPr>
            </w:pPr>
            <w:r w:rsidRPr="008D0CF2">
              <w:rPr>
                <w:rFonts w:ascii="Abadi" w:hAnsi="Abadi" w:cs="Arial"/>
                <w:sz w:val="22"/>
                <w:szCs w:val="22"/>
              </w:rPr>
              <w:t>To identify cost-effective measures for improving access to buildings for people with disabilities and to manage projects to achieve them.</w:t>
            </w:r>
          </w:p>
          <w:p w14:paraId="42FF6B9B" w14:textId="77777777" w:rsidR="00833F86" w:rsidRPr="008D0CF2" w:rsidRDefault="00833F86" w:rsidP="008A5B4C">
            <w:pPr>
              <w:tabs>
                <w:tab w:val="right" w:pos="9790"/>
              </w:tabs>
              <w:ind w:right="41"/>
              <w:rPr>
                <w:rFonts w:ascii="Abadi" w:hAnsi="Abadi" w:cs="Arial"/>
                <w:bCs/>
                <w:sz w:val="22"/>
                <w:szCs w:val="22"/>
              </w:rPr>
            </w:pPr>
          </w:p>
          <w:p w14:paraId="5BCFF83E" w14:textId="77777777" w:rsidR="008A5B4C" w:rsidRPr="008D0CF2" w:rsidRDefault="008A5B4C" w:rsidP="008A5B4C">
            <w:pPr>
              <w:tabs>
                <w:tab w:val="right" w:pos="9790"/>
              </w:tabs>
              <w:ind w:right="41"/>
              <w:rPr>
                <w:rFonts w:ascii="Abadi" w:hAnsi="Abadi" w:cs="Arial"/>
                <w:b/>
                <w:bCs/>
                <w:sz w:val="22"/>
                <w:szCs w:val="22"/>
              </w:rPr>
            </w:pPr>
            <w:r w:rsidRPr="008D0CF2">
              <w:rPr>
                <w:rFonts w:ascii="Abadi" w:hAnsi="Abadi" w:cs="Arial"/>
                <w:b/>
                <w:bCs/>
                <w:sz w:val="22"/>
                <w:szCs w:val="22"/>
              </w:rPr>
              <w:t>Additional responsibilities / requirements for progression to PO2</w:t>
            </w:r>
          </w:p>
          <w:p w14:paraId="547341AE" w14:textId="77777777" w:rsidR="008A5B4C" w:rsidRPr="008D0CF2" w:rsidRDefault="008A5B4C" w:rsidP="008A5B4C">
            <w:pPr>
              <w:numPr>
                <w:ilvl w:val="0"/>
                <w:numId w:val="3"/>
              </w:numPr>
              <w:tabs>
                <w:tab w:val="right" w:pos="9790"/>
              </w:tabs>
              <w:ind w:right="41"/>
              <w:rPr>
                <w:rFonts w:ascii="Abadi" w:hAnsi="Abadi" w:cs="Arial"/>
                <w:sz w:val="22"/>
                <w:szCs w:val="22"/>
              </w:rPr>
            </w:pPr>
            <w:r w:rsidRPr="008D0CF2">
              <w:rPr>
                <w:rFonts w:ascii="Abadi" w:hAnsi="Abadi" w:cs="Arial"/>
                <w:sz w:val="22"/>
                <w:szCs w:val="22"/>
              </w:rPr>
              <w:t>Award of NEBOSH Diploma or NVQ Level 4 in Health and Safety Practice</w:t>
            </w:r>
          </w:p>
          <w:p w14:paraId="64ABA446" w14:textId="77777777" w:rsidR="008A5B4C" w:rsidRPr="008D0CF2" w:rsidRDefault="008A5B4C" w:rsidP="008A5B4C">
            <w:pPr>
              <w:numPr>
                <w:ilvl w:val="0"/>
                <w:numId w:val="3"/>
              </w:numPr>
              <w:tabs>
                <w:tab w:val="right" w:pos="9790"/>
              </w:tabs>
              <w:ind w:right="41"/>
              <w:rPr>
                <w:rFonts w:ascii="Abadi" w:hAnsi="Abadi" w:cs="Arial"/>
                <w:sz w:val="22"/>
                <w:szCs w:val="22"/>
              </w:rPr>
            </w:pPr>
            <w:r w:rsidRPr="008D0CF2">
              <w:rPr>
                <w:rFonts w:ascii="Abadi" w:hAnsi="Abadi" w:cs="Arial"/>
                <w:sz w:val="22"/>
                <w:szCs w:val="22"/>
              </w:rPr>
              <w:t>To put forward proposals for health and safety initiatives, presenting these to senior management and advising them of implications and recommending courses of action.</w:t>
            </w:r>
          </w:p>
          <w:p w14:paraId="27C9F922" w14:textId="77777777" w:rsidR="008A5B4C" w:rsidRPr="008D0CF2" w:rsidRDefault="008A5B4C" w:rsidP="008A5B4C">
            <w:pPr>
              <w:numPr>
                <w:ilvl w:val="0"/>
                <w:numId w:val="3"/>
              </w:numPr>
              <w:rPr>
                <w:rFonts w:ascii="Abadi" w:hAnsi="Abadi" w:cs="Arial"/>
                <w:sz w:val="22"/>
                <w:szCs w:val="22"/>
              </w:rPr>
            </w:pPr>
            <w:r w:rsidRPr="008D0CF2">
              <w:rPr>
                <w:rFonts w:ascii="Abadi" w:hAnsi="Abadi" w:cs="Arial"/>
                <w:sz w:val="22"/>
                <w:szCs w:val="22"/>
              </w:rPr>
              <w:t>To undertake and review fire risk assessments with site managers.</w:t>
            </w:r>
          </w:p>
          <w:p w14:paraId="0A674FD1" w14:textId="77777777" w:rsidR="008A5B4C" w:rsidRPr="008D0CF2" w:rsidRDefault="008A5B4C" w:rsidP="008A5B4C">
            <w:pPr>
              <w:tabs>
                <w:tab w:val="right" w:pos="9790"/>
              </w:tabs>
              <w:ind w:right="41"/>
              <w:rPr>
                <w:rFonts w:ascii="Abadi" w:hAnsi="Abadi" w:cs="Arial"/>
                <w:bCs/>
                <w:sz w:val="22"/>
                <w:szCs w:val="22"/>
              </w:rPr>
            </w:pPr>
          </w:p>
          <w:p w14:paraId="386DBCD3" w14:textId="77777777" w:rsidR="008A5B4C" w:rsidRPr="008D0CF2" w:rsidRDefault="008A5B4C" w:rsidP="008A5B4C">
            <w:pPr>
              <w:tabs>
                <w:tab w:val="right" w:pos="9790"/>
              </w:tabs>
              <w:ind w:right="41"/>
              <w:rPr>
                <w:rFonts w:ascii="Abadi" w:hAnsi="Abadi" w:cs="Arial"/>
                <w:b/>
                <w:bCs/>
                <w:sz w:val="22"/>
                <w:szCs w:val="22"/>
              </w:rPr>
            </w:pPr>
            <w:r w:rsidRPr="008D0CF2">
              <w:rPr>
                <w:rFonts w:ascii="Abadi" w:hAnsi="Abadi" w:cs="Arial"/>
                <w:b/>
                <w:bCs/>
                <w:sz w:val="22"/>
                <w:szCs w:val="22"/>
              </w:rPr>
              <w:t>Additional responsibilities / requirements for progression to PO3</w:t>
            </w:r>
          </w:p>
          <w:p w14:paraId="64F1B175" w14:textId="77777777" w:rsidR="008A5B4C" w:rsidRPr="008D0CF2" w:rsidRDefault="008A5B4C" w:rsidP="008A5B4C">
            <w:pPr>
              <w:pStyle w:val="BodyTextIndent2"/>
              <w:numPr>
                <w:ilvl w:val="0"/>
                <w:numId w:val="3"/>
              </w:numPr>
              <w:spacing w:after="0" w:line="240" w:lineRule="auto"/>
              <w:rPr>
                <w:rFonts w:ascii="Abadi" w:hAnsi="Abadi" w:cs="Arial"/>
                <w:sz w:val="22"/>
                <w:szCs w:val="22"/>
              </w:rPr>
            </w:pPr>
            <w:r w:rsidRPr="008D0CF2">
              <w:rPr>
                <w:rFonts w:ascii="Abadi" w:hAnsi="Abadi" w:cs="Arial"/>
                <w:sz w:val="22"/>
                <w:szCs w:val="22"/>
              </w:rPr>
              <w:lastRenderedPageBreak/>
              <w:t>Chartered Member of IOSH</w:t>
            </w:r>
          </w:p>
          <w:p w14:paraId="2731C84C" w14:textId="77777777" w:rsidR="008A5B4C" w:rsidRPr="008D0CF2" w:rsidRDefault="008A5B4C" w:rsidP="008A5B4C">
            <w:pPr>
              <w:pStyle w:val="BodyTextIndent2"/>
              <w:numPr>
                <w:ilvl w:val="0"/>
                <w:numId w:val="3"/>
              </w:numPr>
              <w:spacing w:after="0" w:line="240" w:lineRule="auto"/>
              <w:rPr>
                <w:rFonts w:ascii="Abadi" w:hAnsi="Abadi" w:cs="Arial"/>
                <w:sz w:val="22"/>
                <w:szCs w:val="22"/>
              </w:rPr>
            </w:pPr>
            <w:r w:rsidRPr="008D0CF2">
              <w:rPr>
                <w:rFonts w:ascii="Abadi" w:hAnsi="Abadi" w:cs="Arial"/>
                <w:sz w:val="22"/>
                <w:szCs w:val="22"/>
              </w:rPr>
              <w:t xml:space="preserve">To ensure that contractors’ health and safety plans required under the Construction, Design and Management Regulations 2007 include adequate measures aimed at protecting staff, pupils, service users and visitors to any Council building or school from any construction or maintenance activity. </w:t>
            </w:r>
          </w:p>
          <w:p w14:paraId="3BDDC993" w14:textId="77777777" w:rsidR="008A5B4C" w:rsidRPr="008D0CF2" w:rsidRDefault="008A5B4C" w:rsidP="008A5B4C">
            <w:pPr>
              <w:tabs>
                <w:tab w:val="right" w:pos="9790"/>
              </w:tabs>
              <w:ind w:right="41"/>
              <w:jc w:val="both"/>
              <w:rPr>
                <w:rFonts w:ascii="Abadi" w:hAnsi="Abadi" w:cs="Arial"/>
                <w:bCs/>
                <w:sz w:val="22"/>
                <w:szCs w:val="22"/>
              </w:rPr>
            </w:pPr>
          </w:p>
        </w:tc>
      </w:tr>
    </w:tbl>
    <w:p w14:paraId="5AEEBBD7" w14:textId="77777777" w:rsidR="00833F86" w:rsidRDefault="00833F86" w:rsidP="00833F86">
      <w:pPr>
        <w:tabs>
          <w:tab w:val="right" w:pos="8690"/>
        </w:tabs>
        <w:jc w:val="both"/>
        <w:rPr>
          <w:rFonts w:ascii="Arial" w:hAnsi="Arial" w:cs="Arial"/>
          <w:bCs/>
          <w:sz w:val="22"/>
          <w:szCs w:val="22"/>
        </w:rPr>
      </w:pPr>
    </w:p>
    <w:p w14:paraId="13A9036C" w14:textId="77777777" w:rsidR="008C1CF5" w:rsidRPr="008D0CF2" w:rsidRDefault="00833F86" w:rsidP="00833F86">
      <w:pPr>
        <w:tabs>
          <w:tab w:val="right" w:pos="8690"/>
        </w:tabs>
        <w:rPr>
          <w:rFonts w:ascii="Abadi" w:hAnsi="Abadi" w:cs="Arial"/>
          <w:b/>
          <w:bCs/>
          <w:sz w:val="22"/>
          <w:szCs w:val="22"/>
        </w:rPr>
      </w:pPr>
      <w:r w:rsidRPr="008D0CF2">
        <w:rPr>
          <w:rFonts w:ascii="Abadi" w:hAnsi="Abadi" w:cs="Arial"/>
          <w:b/>
          <w:bCs/>
          <w:sz w:val="22"/>
          <w:szCs w:val="22"/>
        </w:rPr>
        <w:t xml:space="preserve">Appointing Manager’s signature: …………………......……     </w:t>
      </w:r>
    </w:p>
    <w:p w14:paraId="55F4F151" w14:textId="77777777" w:rsidR="008C1CF5" w:rsidRPr="008D0CF2" w:rsidRDefault="008C1CF5" w:rsidP="00833F86">
      <w:pPr>
        <w:tabs>
          <w:tab w:val="right" w:pos="8690"/>
        </w:tabs>
        <w:rPr>
          <w:rFonts w:ascii="Abadi" w:hAnsi="Abadi" w:cs="Arial"/>
          <w:b/>
          <w:bCs/>
          <w:sz w:val="22"/>
          <w:szCs w:val="22"/>
        </w:rPr>
      </w:pPr>
    </w:p>
    <w:p w14:paraId="30DA9B46" w14:textId="77777777" w:rsidR="00887EBC" w:rsidRPr="008D0CF2" w:rsidRDefault="00833F86" w:rsidP="00B02FC3">
      <w:pPr>
        <w:tabs>
          <w:tab w:val="right" w:pos="8690"/>
        </w:tabs>
        <w:rPr>
          <w:rFonts w:ascii="Abadi" w:hAnsi="Abadi"/>
        </w:rPr>
      </w:pPr>
      <w:r w:rsidRPr="008D0CF2">
        <w:rPr>
          <w:rFonts w:ascii="Abadi" w:hAnsi="Abadi"/>
        </w:rPr>
        <w:t>Date: ................................</w:t>
      </w:r>
    </w:p>
    <w:sectPr w:rsidR="00887EBC" w:rsidRPr="008D0C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CF1"/>
    <w:multiLevelType w:val="multilevel"/>
    <w:tmpl w:val="35DA6FEA"/>
    <w:lvl w:ilvl="0">
      <w:start w:val="1"/>
      <w:numFmt w:val="decimal"/>
      <w:lvlText w:val="%1."/>
      <w:lvlJc w:val="left"/>
      <w:pPr>
        <w:tabs>
          <w:tab w:val="num" w:pos="540"/>
        </w:tabs>
        <w:ind w:left="540" w:hanging="54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F70BD4"/>
    <w:multiLevelType w:val="hybridMultilevel"/>
    <w:tmpl w:val="76204B8A"/>
    <w:lvl w:ilvl="0" w:tplc="3F449B6E">
      <w:start w:val="283"/>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A7627"/>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33F86"/>
    <w:rsid w:val="000A61AD"/>
    <w:rsid w:val="0022618E"/>
    <w:rsid w:val="0027491E"/>
    <w:rsid w:val="002D17E8"/>
    <w:rsid w:val="003721EC"/>
    <w:rsid w:val="004113DD"/>
    <w:rsid w:val="0042669F"/>
    <w:rsid w:val="00454C3E"/>
    <w:rsid w:val="00502D6A"/>
    <w:rsid w:val="005430A5"/>
    <w:rsid w:val="005D2B85"/>
    <w:rsid w:val="005E6EE4"/>
    <w:rsid w:val="00630054"/>
    <w:rsid w:val="006D27E2"/>
    <w:rsid w:val="00710258"/>
    <w:rsid w:val="00711B6D"/>
    <w:rsid w:val="007D730B"/>
    <w:rsid w:val="00800DA2"/>
    <w:rsid w:val="0080685F"/>
    <w:rsid w:val="0082774D"/>
    <w:rsid w:val="00833F86"/>
    <w:rsid w:val="00887EBC"/>
    <w:rsid w:val="008A5B4C"/>
    <w:rsid w:val="008C1CF5"/>
    <w:rsid w:val="008D0CF2"/>
    <w:rsid w:val="008D1AFE"/>
    <w:rsid w:val="009E5448"/>
    <w:rsid w:val="00AD583F"/>
    <w:rsid w:val="00B00EF1"/>
    <w:rsid w:val="00B02FC3"/>
    <w:rsid w:val="00C42E6D"/>
    <w:rsid w:val="00C95A05"/>
    <w:rsid w:val="00CB5A6B"/>
    <w:rsid w:val="00D05509"/>
    <w:rsid w:val="00D30102"/>
    <w:rsid w:val="00D51022"/>
    <w:rsid w:val="00DC008B"/>
    <w:rsid w:val="00DF54C0"/>
    <w:rsid w:val="00E124B2"/>
    <w:rsid w:val="00E757AD"/>
    <w:rsid w:val="00EA2641"/>
    <w:rsid w:val="00EA68DD"/>
    <w:rsid w:val="00EA6D06"/>
    <w:rsid w:val="00EA72A8"/>
    <w:rsid w:val="00F30715"/>
    <w:rsid w:val="00F73CA6"/>
    <w:rsid w:val="00FD5AD2"/>
    <w:rsid w:val="00FF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B3572"/>
  <w15:docId w15:val="{C69E2653-8008-4683-BBC9-C1BCD471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F86"/>
    <w:rPr>
      <w:rFonts w:eastAsia="SimSu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33F86"/>
    <w:rPr>
      <w:rFonts w:ascii="Arial" w:eastAsia="Times New Roman" w:hAnsi="Arial"/>
      <w:color w:val="FF0000"/>
      <w:sz w:val="22"/>
      <w:szCs w:val="20"/>
      <w:lang w:eastAsia="en-US"/>
    </w:rPr>
  </w:style>
  <w:style w:type="paragraph" w:styleId="BodyText2">
    <w:name w:val="Body Text 2"/>
    <w:basedOn w:val="Normal"/>
    <w:rsid w:val="00833F86"/>
    <w:pPr>
      <w:spacing w:after="120" w:line="480" w:lineRule="auto"/>
    </w:pPr>
  </w:style>
  <w:style w:type="paragraph" w:styleId="BodyTextIndent">
    <w:name w:val="Body Text Indent"/>
    <w:basedOn w:val="Normal"/>
    <w:rsid w:val="008A5B4C"/>
    <w:pPr>
      <w:spacing w:after="120"/>
      <w:ind w:left="283"/>
    </w:pPr>
  </w:style>
  <w:style w:type="paragraph" w:styleId="BodyTextIndent2">
    <w:name w:val="Body Text Indent 2"/>
    <w:basedOn w:val="Normal"/>
    <w:rsid w:val="008A5B4C"/>
    <w:pPr>
      <w:spacing w:after="120" w:line="480" w:lineRule="auto"/>
      <w:ind w:left="283"/>
    </w:pPr>
  </w:style>
  <w:style w:type="paragraph" w:styleId="BalloonText">
    <w:name w:val="Balloon Text"/>
    <w:basedOn w:val="Normal"/>
    <w:semiHidden/>
    <w:rsid w:val="00CB5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London Borough of Richmond Upon Thames</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Jon Robinson</dc:creator>
  <cp:lastModifiedBy>Jseph121</cp:lastModifiedBy>
  <cp:revision>4</cp:revision>
  <cp:lastPrinted>2010-03-22T03:54:00Z</cp:lastPrinted>
  <dcterms:created xsi:type="dcterms:W3CDTF">2016-06-14T11:27:00Z</dcterms:created>
  <dcterms:modified xsi:type="dcterms:W3CDTF">2021-02-17T05:41:00Z</dcterms:modified>
</cp:coreProperties>
</file>