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6E4D7D3" w14:textId="5B9D3DF8" w:rsidR="00E23496" w:rsidRPr="00F559D4" w:rsidRDefault="0097573E" w:rsidP="008A6F44">
      <w:pPr>
        <w:spacing w:line="276" w:lineRule="auto"/>
        <w:outlineLvl w:val="0"/>
        <w:rPr>
          <w:rFonts w:ascii="Abadi MT Std" w:hAnsi="Abadi MT Std" w:cs="Arial"/>
          <w:b/>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04148E">
        <w:rPr>
          <w:rFonts w:ascii="Abadi MT Std" w:hAnsi="Abadi MT Std" w:cs="Arial"/>
          <w:sz w:val="28"/>
          <w:szCs w:val="28"/>
        </w:rPr>
        <w:t>NE</w:t>
      </w:r>
      <w:r w:rsidR="00263FE8">
        <w:rPr>
          <w:rFonts w:ascii="Abadi MT Std" w:hAnsi="Abadi MT Std" w:cs="Arial"/>
          <w:sz w:val="28"/>
          <w:szCs w:val="28"/>
        </w:rPr>
        <w:t xml:space="preserve">W </w:t>
      </w:r>
      <w:r w:rsidR="008A6F44">
        <w:rPr>
          <w:rFonts w:ascii="Abadi MT Std" w:hAnsi="Abadi MT Std" w:cs="Arial"/>
          <w:sz w:val="28"/>
          <w:szCs w:val="28"/>
        </w:rPr>
        <w:t>MEXICO</w:t>
      </w: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3C891B48" w:rsidR="00420368" w:rsidRPr="00F559D4" w:rsidRDefault="00BC711A" w:rsidP="008A6F44">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263FE8">
        <w:rPr>
          <w:rFonts w:ascii="Abadi MT Std" w:hAnsi="Abadi MT Std" w:cs="Arial"/>
          <w:sz w:val="28"/>
          <w:szCs w:val="28"/>
        </w:rPr>
        <w:t xml:space="preserve">New </w:t>
      </w:r>
      <w:r w:rsidR="008A6F44">
        <w:rPr>
          <w:rFonts w:ascii="Abadi MT Std" w:hAnsi="Abadi MT Std" w:cs="Arial"/>
          <w:sz w:val="28"/>
          <w:szCs w:val="28"/>
        </w:rPr>
        <w:t>Mexico</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72E87384" w:rsidR="00F74046" w:rsidRPr="00F559D4" w:rsidRDefault="004F6298" w:rsidP="008A6F4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the State of </w:t>
      </w:r>
      <w:r w:rsidR="00263FE8">
        <w:rPr>
          <w:rFonts w:ascii="Abadi MT Std" w:hAnsi="Abadi MT Std" w:cs="Arial"/>
          <w:sz w:val="28"/>
          <w:szCs w:val="28"/>
        </w:rPr>
        <w:t>New</w:t>
      </w:r>
      <w:bookmarkStart w:id="0" w:name="_GoBack"/>
      <w:bookmarkEnd w:id="0"/>
      <w:r w:rsidR="00C111D9">
        <w:rPr>
          <w:rFonts w:ascii="Abadi MT Std" w:hAnsi="Abadi MT Std" w:cs="Arial"/>
          <w:sz w:val="28"/>
          <w:szCs w:val="28"/>
        </w:rPr>
        <w:t xml:space="preserve"> </w:t>
      </w:r>
      <w:r w:rsidR="008A6F44">
        <w:rPr>
          <w:rFonts w:ascii="Abadi MT Std" w:hAnsi="Abadi MT Std" w:cs="Arial"/>
          <w:sz w:val="28"/>
          <w:szCs w:val="28"/>
        </w:rPr>
        <w:t>Mexico</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47F8F5F6"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8A6F44">
        <w:rPr>
          <w:rFonts w:ascii="Abadi MT Std" w:hAnsi="Abadi MT Std" w:cs="Arial"/>
          <w:sz w:val="28"/>
          <w:szCs w:val="28"/>
        </w:rPr>
        <w:t>Mexico</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8A6F44">
        <w:rPr>
          <w:rFonts w:ascii="Abadi MT Std" w:hAnsi="Abadi MT Std" w:cs="Arial"/>
          <w:sz w:val="28"/>
          <w:szCs w:val="28"/>
        </w:rPr>
        <w:t>Mexico</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“capital transactions” shall mean any of the following: the sale of all or any part of the assets of the Company; the refinancing of mortgages or other liabilities 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 xml:space="preserve">until </w:t>
      </w:r>
      <w:r w:rsidRPr="00F559D4">
        <w:rPr>
          <w:rFonts w:ascii="Abadi MT Std" w:hAnsi="Abadi MT Std" w:cs="Arial"/>
          <w:sz w:val="28"/>
          <w:szCs w:val="28"/>
        </w:rPr>
        <w:lastRenderedPageBreak/>
        <w:t>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w:t>
      </w:r>
      <w:r w:rsidRPr="00F559D4">
        <w:rPr>
          <w:rFonts w:ascii="Abadi MT Std" w:hAnsi="Abadi MT Std" w:cs="Arial"/>
          <w:sz w:val="28"/>
          <w:szCs w:val="28"/>
        </w:rPr>
        <w:lastRenderedPageBreak/>
        <w:t xml:space="preserve">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7A1A4A32"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8A6F44">
        <w:rPr>
          <w:rFonts w:ascii="Abadi MT Std" w:hAnsi="Abadi MT Std" w:cs="Arial"/>
          <w:sz w:val="28"/>
          <w:szCs w:val="28"/>
        </w:rPr>
        <w:t>Mexico</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75DAD21B"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8A6F44">
        <w:rPr>
          <w:rFonts w:ascii="Abadi MT Std" w:hAnsi="Abadi MT Std" w:cs="Arial"/>
          <w:sz w:val="28"/>
          <w:szCs w:val="28"/>
        </w:rPr>
        <w:t>Mexico</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7712E" w14:textId="77777777" w:rsidR="006B18A2" w:rsidRDefault="006B18A2">
      <w:r>
        <w:separator/>
      </w:r>
    </w:p>
  </w:endnote>
  <w:endnote w:type="continuationSeparator" w:id="0">
    <w:p w14:paraId="291AD0FE" w14:textId="77777777" w:rsidR="006B18A2" w:rsidRDefault="006B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4C2FD" w14:textId="77777777" w:rsidR="006B18A2" w:rsidRDefault="006B18A2">
      <w:r>
        <w:separator/>
      </w:r>
    </w:p>
  </w:footnote>
  <w:footnote w:type="continuationSeparator" w:id="0">
    <w:p w14:paraId="7FB155AF" w14:textId="77777777" w:rsidR="006B18A2" w:rsidRDefault="006B1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4148E"/>
    <w:rsid w:val="00051142"/>
    <w:rsid w:val="00062085"/>
    <w:rsid w:val="0008210C"/>
    <w:rsid w:val="00085106"/>
    <w:rsid w:val="000946C4"/>
    <w:rsid w:val="000A609A"/>
    <w:rsid w:val="000B0B42"/>
    <w:rsid w:val="000C0E27"/>
    <w:rsid w:val="000C4F25"/>
    <w:rsid w:val="000D38C4"/>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63FE8"/>
    <w:rsid w:val="00283769"/>
    <w:rsid w:val="00297948"/>
    <w:rsid w:val="002A3A89"/>
    <w:rsid w:val="002A5259"/>
    <w:rsid w:val="002C49E6"/>
    <w:rsid w:val="002D2DB5"/>
    <w:rsid w:val="002F07CE"/>
    <w:rsid w:val="002F2F77"/>
    <w:rsid w:val="002F70E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81D98"/>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3E3F"/>
    <w:rsid w:val="006A1111"/>
    <w:rsid w:val="006B18A2"/>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A6F44"/>
    <w:rsid w:val="008C7214"/>
    <w:rsid w:val="008D234F"/>
    <w:rsid w:val="008D4CB7"/>
    <w:rsid w:val="008F11F6"/>
    <w:rsid w:val="008F6BFE"/>
    <w:rsid w:val="00924F57"/>
    <w:rsid w:val="0097573E"/>
    <w:rsid w:val="00977A92"/>
    <w:rsid w:val="009858DB"/>
    <w:rsid w:val="00985908"/>
    <w:rsid w:val="009C1F46"/>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11D9"/>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14932"/>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6642</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44420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2020-01-15T18:30:00Z</dcterms:created>
  <dcterms:modified xsi:type="dcterms:W3CDTF">2020-01-15T18:30:00Z</dcterms:modified>
  <cp:category/>
</cp:coreProperties>
</file>