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05C87" w14:textId="748A7D89" w:rsidR="00C313D3" w:rsidRDefault="00C313D3" w:rsidP="00C313D3">
      <w:pPr>
        <w:shd w:val="clear" w:color="auto" w:fill="FFFFFF"/>
        <w:spacing w:after="0" w:line="360" w:lineRule="auto"/>
        <w:jc w:val="center"/>
        <w:rPr>
          <w:rFonts w:ascii="Abadi" w:eastAsia="Times New Roman" w:hAnsi="Abadi" w:cs="Times New Roman"/>
          <w:b/>
          <w:bCs/>
          <w:color w:val="000000"/>
          <w:sz w:val="20"/>
          <w:szCs w:val="20"/>
        </w:rPr>
      </w:pPr>
      <w:r w:rsidRPr="00C313D3">
        <w:rPr>
          <w:rFonts w:ascii="Abadi" w:eastAsia="Times New Roman" w:hAnsi="Abadi" w:cs="Times New Roman"/>
          <w:b/>
          <w:bCs/>
          <w:color w:val="000000"/>
          <w:sz w:val="20"/>
          <w:szCs w:val="20"/>
        </w:rPr>
        <w:t>PERSONAL GUARANTEE</w:t>
      </w:r>
    </w:p>
    <w:p w14:paraId="7FFEE714" w14:textId="77777777" w:rsidR="00C313D3" w:rsidRPr="00C313D3" w:rsidRDefault="00C313D3" w:rsidP="00C313D3">
      <w:pPr>
        <w:shd w:val="clear" w:color="auto" w:fill="FFFFFF"/>
        <w:spacing w:after="0" w:line="360" w:lineRule="auto"/>
        <w:jc w:val="center"/>
        <w:rPr>
          <w:rFonts w:ascii="Abadi" w:eastAsia="Times New Roman" w:hAnsi="Abadi" w:cs="Times New Roman"/>
          <w:color w:val="000000"/>
          <w:sz w:val="20"/>
          <w:szCs w:val="20"/>
        </w:rPr>
      </w:pPr>
      <w:bookmarkStart w:id="0" w:name="_GoBack"/>
      <w:bookmarkEnd w:id="0"/>
    </w:p>
    <w:p w14:paraId="4E2A8C32" w14:textId="77777777" w:rsidR="00C313D3" w:rsidRPr="00C313D3" w:rsidRDefault="00C313D3" w:rsidP="00C313D3">
      <w:pPr>
        <w:shd w:val="clear" w:color="auto" w:fill="FFFFFF"/>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     </w:t>
      </w:r>
      <w:r w:rsidRPr="00C313D3">
        <w:rPr>
          <w:rFonts w:ascii="Abadi" w:eastAsia="Times New Roman" w:hAnsi="Abadi" w:cs="Times New Roman"/>
          <w:b/>
          <w:bCs/>
          <w:color w:val="000000"/>
          <w:sz w:val="20"/>
          <w:szCs w:val="20"/>
        </w:rPr>
        <w:t xml:space="preserve">THIS GUARANTEE dated this 13 day of </w:t>
      </w:r>
      <w:proofErr w:type="gramStart"/>
      <w:r w:rsidRPr="00C313D3">
        <w:rPr>
          <w:rFonts w:ascii="Abadi" w:eastAsia="Times New Roman" w:hAnsi="Abadi" w:cs="Times New Roman"/>
          <w:b/>
          <w:bCs/>
          <w:color w:val="000000"/>
          <w:sz w:val="20"/>
          <w:szCs w:val="20"/>
        </w:rPr>
        <w:t>June,</w:t>
      </w:r>
      <w:proofErr w:type="gramEnd"/>
      <w:r w:rsidRPr="00C313D3">
        <w:rPr>
          <w:rFonts w:ascii="Abadi" w:eastAsia="Times New Roman" w:hAnsi="Abadi" w:cs="Times New Roman"/>
          <w:b/>
          <w:bCs/>
          <w:color w:val="000000"/>
          <w:sz w:val="20"/>
          <w:szCs w:val="20"/>
        </w:rPr>
        <w:t xml:space="preserve"> 2006.</w:t>
      </w:r>
    </w:p>
    <w:p w14:paraId="51513C3F" w14:textId="77777777" w:rsidR="00C313D3" w:rsidRPr="00C313D3" w:rsidRDefault="00C313D3" w:rsidP="00C313D3">
      <w:pPr>
        <w:shd w:val="clear" w:color="auto" w:fill="FFFFFF"/>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From: Steven M</w:t>
      </w:r>
      <w:r w:rsidRPr="00C313D3">
        <w:rPr>
          <w:rFonts w:ascii="Abadi" w:eastAsia="Times New Roman" w:hAnsi="Abadi" w:cs="Times New Roman"/>
          <w:i/>
          <w:iCs/>
          <w:color w:val="000000"/>
          <w:sz w:val="20"/>
          <w:szCs w:val="20"/>
        </w:rPr>
        <w:t>. </w:t>
      </w:r>
      <w:r w:rsidRPr="00C313D3">
        <w:rPr>
          <w:rFonts w:ascii="Abadi" w:eastAsia="Times New Roman" w:hAnsi="Abadi" w:cs="Times New Roman"/>
          <w:color w:val="000000"/>
          <w:sz w:val="20"/>
          <w:szCs w:val="20"/>
        </w:rPr>
        <w:t>Mariano of 5212 Fisher Island, Miami, FL33109 (The “</w:t>
      </w:r>
      <w:r w:rsidRPr="00C313D3">
        <w:rPr>
          <w:rFonts w:ascii="Abadi" w:eastAsia="Times New Roman" w:hAnsi="Abadi" w:cs="Times New Roman"/>
          <w:color w:val="000000"/>
          <w:sz w:val="20"/>
          <w:szCs w:val="20"/>
          <w:u w:val="single"/>
        </w:rPr>
        <w:t>Guarantor</w:t>
      </w:r>
      <w:r w:rsidRPr="00C313D3">
        <w:rPr>
          <w:rFonts w:ascii="Abadi" w:eastAsia="Times New Roman" w:hAnsi="Abadi" w:cs="Times New Roman"/>
          <w:color w:val="00000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7074"/>
        <w:gridCol w:w="1143"/>
        <w:gridCol w:w="1143"/>
      </w:tblGrid>
      <w:tr w:rsidR="00C313D3" w:rsidRPr="00C313D3" w14:paraId="55FB9EA2" w14:textId="77777777" w:rsidTr="00C313D3">
        <w:trPr>
          <w:tblCellSpacing w:w="0" w:type="dxa"/>
        </w:trPr>
        <w:tc>
          <w:tcPr>
            <w:tcW w:w="0" w:type="auto"/>
            <w:gridSpan w:val="3"/>
            <w:shd w:val="clear" w:color="auto" w:fill="auto"/>
            <w:hideMark/>
          </w:tcPr>
          <w:p w14:paraId="34810DCF" w14:textId="77777777" w:rsidR="00C313D3" w:rsidRPr="00C313D3" w:rsidRDefault="00C313D3" w:rsidP="00C313D3">
            <w:pPr>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 xml:space="preserve">To: </w:t>
            </w:r>
            <w:proofErr w:type="spellStart"/>
            <w:r w:rsidRPr="00C313D3">
              <w:rPr>
                <w:rFonts w:ascii="Abadi" w:eastAsia="Times New Roman" w:hAnsi="Abadi" w:cs="Times New Roman"/>
                <w:color w:val="000000"/>
                <w:sz w:val="20"/>
                <w:szCs w:val="20"/>
              </w:rPr>
              <w:t>SunCoast</w:t>
            </w:r>
            <w:proofErr w:type="spellEnd"/>
            <w:r w:rsidRPr="00C313D3">
              <w:rPr>
                <w:rFonts w:ascii="Abadi" w:eastAsia="Times New Roman" w:hAnsi="Abadi" w:cs="Times New Roman"/>
                <w:color w:val="000000"/>
                <w:sz w:val="20"/>
                <w:szCs w:val="20"/>
              </w:rPr>
              <w:t xml:space="preserve"> Holdings, Inc. of 401 E. Las </w:t>
            </w:r>
            <w:proofErr w:type="spellStart"/>
            <w:r w:rsidRPr="00C313D3">
              <w:rPr>
                <w:rFonts w:ascii="Abadi" w:eastAsia="Times New Roman" w:hAnsi="Abadi" w:cs="Times New Roman"/>
                <w:color w:val="000000"/>
                <w:sz w:val="20"/>
                <w:szCs w:val="20"/>
              </w:rPr>
              <w:t>Olas</w:t>
            </w:r>
            <w:proofErr w:type="spellEnd"/>
            <w:r w:rsidRPr="00C313D3">
              <w:rPr>
                <w:rFonts w:ascii="Abadi" w:eastAsia="Times New Roman" w:hAnsi="Abadi" w:cs="Times New Roman"/>
                <w:color w:val="000000"/>
                <w:sz w:val="20"/>
                <w:szCs w:val="20"/>
              </w:rPr>
              <w:t xml:space="preserve"> Blvd., Suite 1540, Ft. Lauderdale, FL 33301 (The “</w:t>
            </w:r>
            <w:r w:rsidRPr="00C313D3">
              <w:rPr>
                <w:rFonts w:ascii="Abadi" w:eastAsia="Times New Roman" w:hAnsi="Abadi" w:cs="Times New Roman"/>
                <w:color w:val="000000"/>
                <w:sz w:val="20"/>
                <w:szCs w:val="20"/>
                <w:u w:val="single"/>
              </w:rPr>
              <w:t>Lender</w:t>
            </w:r>
            <w:r w:rsidRPr="00C313D3">
              <w:rPr>
                <w:rFonts w:ascii="Abadi" w:eastAsia="Times New Roman" w:hAnsi="Abadi" w:cs="Times New Roman"/>
                <w:color w:val="000000"/>
                <w:sz w:val="20"/>
                <w:szCs w:val="20"/>
              </w:rPr>
              <w:t>”)</w:t>
            </w:r>
          </w:p>
        </w:tc>
      </w:tr>
      <w:tr w:rsidR="00C313D3" w:rsidRPr="00C313D3" w14:paraId="4A717D55" w14:textId="77777777" w:rsidTr="00C313D3">
        <w:trPr>
          <w:tblCellSpacing w:w="0" w:type="dxa"/>
        </w:trPr>
        <w:tc>
          <w:tcPr>
            <w:tcW w:w="0" w:type="auto"/>
            <w:vAlign w:val="center"/>
            <w:hideMark/>
          </w:tcPr>
          <w:p w14:paraId="31017DED" w14:textId="77777777" w:rsidR="00C313D3" w:rsidRPr="00C313D3" w:rsidRDefault="00C313D3" w:rsidP="00C313D3">
            <w:pPr>
              <w:spacing w:after="0" w:line="360" w:lineRule="auto"/>
              <w:rPr>
                <w:rFonts w:ascii="Abadi" w:eastAsia="Times New Roman" w:hAnsi="Abadi" w:cs="Times New Roman"/>
                <w:sz w:val="12"/>
                <w:szCs w:val="12"/>
              </w:rPr>
            </w:pPr>
            <w:r w:rsidRPr="00C313D3">
              <w:rPr>
                <w:rFonts w:ascii="Abadi" w:eastAsia="Times New Roman" w:hAnsi="Abadi" w:cs="Times New Roman"/>
                <w:sz w:val="12"/>
                <w:szCs w:val="12"/>
              </w:rPr>
              <w:t> </w:t>
            </w:r>
          </w:p>
        </w:tc>
        <w:tc>
          <w:tcPr>
            <w:tcW w:w="0" w:type="auto"/>
            <w:vAlign w:val="center"/>
            <w:hideMark/>
          </w:tcPr>
          <w:p w14:paraId="2148B51B" w14:textId="77777777" w:rsidR="00C313D3" w:rsidRPr="00C313D3" w:rsidRDefault="00C313D3" w:rsidP="00C313D3">
            <w:pPr>
              <w:spacing w:after="0" w:line="360" w:lineRule="auto"/>
              <w:rPr>
                <w:rFonts w:ascii="Abadi" w:eastAsia="Times New Roman" w:hAnsi="Abadi" w:cs="Times New Roman"/>
                <w:sz w:val="20"/>
                <w:szCs w:val="20"/>
              </w:rPr>
            </w:pPr>
          </w:p>
        </w:tc>
        <w:tc>
          <w:tcPr>
            <w:tcW w:w="0" w:type="auto"/>
            <w:vAlign w:val="center"/>
            <w:hideMark/>
          </w:tcPr>
          <w:p w14:paraId="7D5895A3" w14:textId="77777777" w:rsidR="00C313D3" w:rsidRPr="00C313D3" w:rsidRDefault="00C313D3" w:rsidP="00C313D3">
            <w:pPr>
              <w:spacing w:after="0" w:line="360" w:lineRule="auto"/>
              <w:rPr>
                <w:rFonts w:ascii="Abadi" w:eastAsia="Times New Roman" w:hAnsi="Abadi" w:cs="Times New Roman"/>
                <w:sz w:val="20"/>
                <w:szCs w:val="20"/>
              </w:rPr>
            </w:pPr>
          </w:p>
        </w:tc>
      </w:tr>
      <w:tr w:rsidR="00C313D3" w:rsidRPr="00C313D3" w14:paraId="4143EEAF" w14:textId="77777777" w:rsidTr="00C313D3">
        <w:trPr>
          <w:tblCellSpacing w:w="0" w:type="dxa"/>
        </w:trPr>
        <w:tc>
          <w:tcPr>
            <w:tcW w:w="0" w:type="auto"/>
            <w:gridSpan w:val="3"/>
            <w:shd w:val="clear" w:color="auto" w:fill="auto"/>
            <w:hideMark/>
          </w:tcPr>
          <w:p w14:paraId="7EE20E1A" w14:textId="77777777" w:rsidR="00C313D3" w:rsidRPr="00C313D3" w:rsidRDefault="00C313D3" w:rsidP="00C313D3">
            <w:pPr>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Re: The Tarheel Group, Inc. (The “</w:t>
            </w:r>
            <w:r w:rsidRPr="00C313D3">
              <w:rPr>
                <w:rFonts w:ascii="Abadi" w:eastAsia="Times New Roman" w:hAnsi="Abadi" w:cs="Times New Roman"/>
                <w:color w:val="000000"/>
                <w:sz w:val="20"/>
                <w:szCs w:val="20"/>
                <w:u w:val="single"/>
              </w:rPr>
              <w:t>Debtor</w:t>
            </w:r>
            <w:r w:rsidRPr="00C313D3">
              <w:rPr>
                <w:rFonts w:ascii="Abadi" w:eastAsia="Times New Roman" w:hAnsi="Abadi" w:cs="Times New Roman"/>
                <w:color w:val="000000"/>
                <w:sz w:val="20"/>
                <w:szCs w:val="20"/>
              </w:rPr>
              <w:t>”)</w:t>
            </w:r>
          </w:p>
        </w:tc>
      </w:tr>
    </w:tbl>
    <w:p w14:paraId="6628977F" w14:textId="77777777" w:rsidR="00C313D3" w:rsidRPr="00C313D3" w:rsidRDefault="00C313D3" w:rsidP="00C313D3">
      <w:pPr>
        <w:shd w:val="clear" w:color="auto" w:fill="FFFFFF"/>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     IN CONSIDERATION OF the Lender extending a loan of seven hundred fifty thousand dollars ($750,000) to the Debtor plus other valuable consideration, the receipt and sufficiency of which is hereby acknowledged, the Guarantor personally guarantees the prompt, full and complete performance of any and all present and future duties, obligations and indebtedness (the “Debt”) due to the Lender by the Debtor, up to a limit of $750,000, under the terms of the June 13, 2006 Promissory Note signed by Debtor (the “</w:t>
      </w:r>
      <w:r w:rsidRPr="00C313D3">
        <w:rPr>
          <w:rFonts w:ascii="Abadi" w:eastAsia="Times New Roman" w:hAnsi="Abadi" w:cs="Times New Roman"/>
          <w:color w:val="000000"/>
          <w:sz w:val="20"/>
          <w:szCs w:val="20"/>
          <w:u w:val="single"/>
        </w:rPr>
        <w:t>Agreement</w:t>
      </w:r>
      <w:r w:rsidRPr="00C313D3">
        <w:rPr>
          <w:rFonts w:ascii="Abadi" w:eastAsia="Times New Roman" w:hAnsi="Abadi" w:cs="Times New Roman"/>
          <w:color w:val="000000"/>
          <w:sz w:val="20"/>
          <w:szCs w:val="20"/>
        </w:rPr>
        <w:t>”) and under the following terms and conditions:</w:t>
      </w:r>
    </w:p>
    <w:tbl>
      <w:tblPr>
        <w:tblW w:w="5000" w:type="pct"/>
        <w:tblCellSpacing w:w="0" w:type="dxa"/>
        <w:tblCellMar>
          <w:left w:w="0" w:type="dxa"/>
          <w:right w:w="0" w:type="dxa"/>
        </w:tblCellMar>
        <w:tblLook w:val="04A0" w:firstRow="1" w:lastRow="0" w:firstColumn="1" w:lastColumn="0" w:noHBand="0" w:noVBand="1"/>
      </w:tblPr>
      <w:tblGrid>
        <w:gridCol w:w="187"/>
        <w:gridCol w:w="281"/>
        <w:gridCol w:w="94"/>
        <w:gridCol w:w="8798"/>
      </w:tblGrid>
      <w:tr w:rsidR="00C313D3" w:rsidRPr="00C313D3" w14:paraId="30F2268D" w14:textId="77777777" w:rsidTr="00C313D3">
        <w:trPr>
          <w:tblCellSpacing w:w="0" w:type="dxa"/>
        </w:trPr>
        <w:tc>
          <w:tcPr>
            <w:tcW w:w="100" w:type="pct"/>
            <w:shd w:val="clear" w:color="auto" w:fill="auto"/>
            <w:hideMark/>
          </w:tcPr>
          <w:p w14:paraId="3E48E0DE" w14:textId="77777777" w:rsidR="00C313D3" w:rsidRPr="00C313D3" w:rsidRDefault="00C313D3" w:rsidP="00C313D3">
            <w:pPr>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 </w:t>
            </w:r>
          </w:p>
        </w:tc>
        <w:tc>
          <w:tcPr>
            <w:tcW w:w="150" w:type="pct"/>
            <w:shd w:val="clear" w:color="auto" w:fill="auto"/>
            <w:noWrap/>
            <w:hideMark/>
          </w:tcPr>
          <w:p w14:paraId="0CE7768C" w14:textId="77777777" w:rsidR="00C313D3" w:rsidRPr="00C313D3" w:rsidRDefault="00C313D3" w:rsidP="00C313D3">
            <w:pPr>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1.</w:t>
            </w:r>
          </w:p>
        </w:tc>
        <w:tc>
          <w:tcPr>
            <w:tcW w:w="50" w:type="pct"/>
            <w:shd w:val="clear" w:color="auto" w:fill="auto"/>
            <w:hideMark/>
          </w:tcPr>
          <w:p w14:paraId="26BBA0CB" w14:textId="77777777" w:rsidR="00C313D3" w:rsidRPr="00C313D3" w:rsidRDefault="00C313D3" w:rsidP="00C313D3">
            <w:pPr>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 </w:t>
            </w:r>
          </w:p>
        </w:tc>
        <w:tc>
          <w:tcPr>
            <w:tcW w:w="0" w:type="auto"/>
            <w:shd w:val="clear" w:color="auto" w:fill="auto"/>
            <w:hideMark/>
          </w:tcPr>
          <w:p w14:paraId="07144D9D" w14:textId="77777777" w:rsidR="00C313D3" w:rsidRPr="00C313D3" w:rsidRDefault="00C313D3" w:rsidP="00C313D3">
            <w:pPr>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The Guarantor guarantees that Debtor will promptly pay the full amount of principal and interest of the Debt as and when the same will, in any manner, be or become due, either according to the terms and conditions provided by the Agreement or upon acceleration of the payment under the Agreement by reason of a default;</w:t>
            </w:r>
          </w:p>
        </w:tc>
      </w:tr>
      <w:tr w:rsidR="00C313D3" w:rsidRPr="00C313D3" w14:paraId="6458A277" w14:textId="77777777" w:rsidTr="00C313D3">
        <w:trPr>
          <w:tblCellSpacing w:w="0" w:type="dxa"/>
        </w:trPr>
        <w:tc>
          <w:tcPr>
            <w:tcW w:w="0" w:type="auto"/>
            <w:vAlign w:val="center"/>
            <w:hideMark/>
          </w:tcPr>
          <w:p w14:paraId="54BDB0A2" w14:textId="77777777" w:rsidR="00C313D3" w:rsidRPr="00C313D3" w:rsidRDefault="00C313D3" w:rsidP="00C313D3">
            <w:pPr>
              <w:spacing w:after="0" w:line="360" w:lineRule="auto"/>
              <w:rPr>
                <w:rFonts w:ascii="Abadi" w:eastAsia="Times New Roman" w:hAnsi="Abadi" w:cs="Times New Roman"/>
                <w:sz w:val="12"/>
                <w:szCs w:val="12"/>
              </w:rPr>
            </w:pPr>
            <w:r w:rsidRPr="00C313D3">
              <w:rPr>
                <w:rFonts w:ascii="Abadi" w:eastAsia="Times New Roman" w:hAnsi="Abadi" w:cs="Times New Roman"/>
                <w:sz w:val="12"/>
                <w:szCs w:val="12"/>
              </w:rPr>
              <w:t> </w:t>
            </w:r>
          </w:p>
        </w:tc>
        <w:tc>
          <w:tcPr>
            <w:tcW w:w="0" w:type="auto"/>
            <w:vAlign w:val="center"/>
            <w:hideMark/>
          </w:tcPr>
          <w:p w14:paraId="0C2E26A6" w14:textId="77777777" w:rsidR="00C313D3" w:rsidRPr="00C313D3" w:rsidRDefault="00C313D3" w:rsidP="00C313D3">
            <w:pPr>
              <w:spacing w:after="0" w:line="360" w:lineRule="auto"/>
              <w:rPr>
                <w:rFonts w:ascii="Abadi" w:eastAsia="Times New Roman" w:hAnsi="Abadi" w:cs="Times New Roman"/>
                <w:sz w:val="20"/>
                <w:szCs w:val="20"/>
              </w:rPr>
            </w:pPr>
          </w:p>
        </w:tc>
        <w:tc>
          <w:tcPr>
            <w:tcW w:w="0" w:type="auto"/>
            <w:vAlign w:val="center"/>
            <w:hideMark/>
          </w:tcPr>
          <w:p w14:paraId="618D6214" w14:textId="77777777" w:rsidR="00C313D3" w:rsidRPr="00C313D3" w:rsidRDefault="00C313D3" w:rsidP="00C313D3">
            <w:pPr>
              <w:spacing w:after="0" w:line="360" w:lineRule="auto"/>
              <w:rPr>
                <w:rFonts w:ascii="Abadi" w:eastAsia="Times New Roman" w:hAnsi="Abadi" w:cs="Times New Roman"/>
                <w:sz w:val="20"/>
                <w:szCs w:val="20"/>
              </w:rPr>
            </w:pPr>
          </w:p>
        </w:tc>
        <w:tc>
          <w:tcPr>
            <w:tcW w:w="0" w:type="auto"/>
            <w:vAlign w:val="center"/>
            <w:hideMark/>
          </w:tcPr>
          <w:p w14:paraId="07F886D1" w14:textId="77777777" w:rsidR="00C313D3" w:rsidRPr="00C313D3" w:rsidRDefault="00C313D3" w:rsidP="00C313D3">
            <w:pPr>
              <w:spacing w:after="0" w:line="360" w:lineRule="auto"/>
              <w:rPr>
                <w:rFonts w:ascii="Abadi" w:eastAsia="Times New Roman" w:hAnsi="Abadi" w:cs="Times New Roman"/>
                <w:sz w:val="20"/>
                <w:szCs w:val="20"/>
              </w:rPr>
            </w:pPr>
          </w:p>
        </w:tc>
      </w:tr>
      <w:tr w:rsidR="00C313D3" w:rsidRPr="00C313D3" w14:paraId="13F49E82" w14:textId="77777777" w:rsidTr="00C313D3">
        <w:trPr>
          <w:tblCellSpacing w:w="0" w:type="dxa"/>
        </w:trPr>
        <w:tc>
          <w:tcPr>
            <w:tcW w:w="100" w:type="pct"/>
            <w:shd w:val="clear" w:color="auto" w:fill="auto"/>
            <w:hideMark/>
          </w:tcPr>
          <w:p w14:paraId="375DA551" w14:textId="77777777" w:rsidR="00C313D3" w:rsidRPr="00C313D3" w:rsidRDefault="00C313D3" w:rsidP="00C313D3">
            <w:pPr>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 </w:t>
            </w:r>
          </w:p>
        </w:tc>
        <w:tc>
          <w:tcPr>
            <w:tcW w:w="150" w:type="pct"/>
            <w:shd w:val="clear" w:color="auto" w:fill="auto"/>
            <w:noWrap/>
            <w:hideMark/>
          </w:tcPr>
          <w:p w14:paraId="1E9BF875" w14:textId="77777777" w:rsidR="00C313D3" w:rsidRPr="00C313D3" w:rsidRDefault="00C313D3" w:rsidP="00C313D3">
            <w:pPr>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2.</w:t>
            </w:r>
          </w:p>
        </w:tc>
        <w:tc>
          <w:tcPr>
            <w:tcW w:w="50" w:type="pct"/>
            <w:shd w:val="clear" w:color="auto" w:fill="auto"/>
            <w:hideMark/>
          </w:tcPr>
          <w:p w14:paraId="609766C9" w14:textId="77777777" w:rsidR="00C313D3" w:rsidRPr="00C313D3" w:rsidRDefault="00C313D3" w:rsidP="00C313D3">
            <w:pPr>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 </w:t>
            </w:r>
          </w:p>
        </w:tc>
        <w:tc>
          <w:tcPr>
            <w:tcW w:w="0" w:type="auto"/>
            <w:shd w:val="clear" w:color="auto" w:fill="auto"/>
            <w:hideMark/>
          </w:tcPr>
          <w:p w14:paraId="2B4F1565" w14:textId="77777777" w:rsidR="00C313D3" w:rsidRPr="00C313D3" w:rsidRDefault="00C313D3" w:rsidP="00C313D3">
            <w:pPr>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The Guarantor agrees not to pledge, hypothecate, mortgage, sell or otherwise transfer all or substantially all of Guarantor’s assets without the prior written consent of the Lender;</w:t>
            </w:r>
          </w:p>
        </w:tc>
      </w:tr>
      <w:tr w:rsidR="00C313D3" w:rsidRPr="00C313D3" w14:paraId="422311B2" w14:textId="77777777" w:rsidTr="00C313D3">
        <w:trPr>
          <w:tblCellSpacing w:w="0" w:type="dxa"/>
        </w:trPr>
        <w:tc>
          <w:tcPr>
            <w:tcW w:w="0" w:type="auto"/>
            <w:vAlign w:val="center"/>
            <w:hideMark/>
          </w:tcPr>
          <w:p w14:paraId="2A719A66" w14:textId="77777777" w:rsidR="00C313D3" w:rsidRPr="00C313D3" w:rsidRDefault="00C313D3" w:rsidP="00C313D3">
            <w:pPr>
              <w:spacing w:after="0" w:line="360" w:lineRule="auto"/>
              <w:rPr>
                <w:rFonts w:ascii="Abadi" w:eastAsia="Times New Roman" w:hAnsi="Abadi" w:cs="Times New Roman"/>
                <w:sz w:val="12"/>
                <w:szCs w:val="12"/>
              </w:rPr>
            </w:pPr>
            <w:r w:rsidRPr="00C313D3">
              <w:rPr>
                <w:rFonts w:ascii="Abadi" w:eastAsia="Times New Roman" w:hAnsi="Abadi" w:cs="Times New Roman"/>
                <w:sz w:val="12"/>
                <w:szCs w:val="12"/>
              </w:rPr>
              <w:t> </w:t>
            </w:r>
          </w:p>
        </w:tc>
        <w:tc>
          <w:tcPr>
            <w:tcW w:w="0" w:type="auto"/>
            <w:vAlign w:val="center"/>
            <w:hideMark/>
          </w:tcPr>
          <w:p w14:paraId="633D053B" w14:textId="77777777" w:rsidR="00C313D3" w:rsidRPr="00C313D3" w:rsidRDefault="00C313D3" w:rsidP="00C313D3">
            <w:pPr>
              <w:spacing w:after="0" w:line="360" w:lineRule="auto"/>
              <w:rPr>
                <w:rFonts w:ascii="Abadi" w:eastAsia="Times New Roman" w:hAnsi="Abadi" w:cs="Times New Roman"/>
                <w:sz w:val="20"/>
                <w:szCs w:val="20"/>
              </w:rPr>
            </w:pPr>
          </w:p>
        </w:tc>
        <w:tc>
          <w:tcPr>
            <w:tcW w:w="0" w:type="auto"/>
            <w:vAlign w:val="center"/>
            <w:hideMark/>
          </w:tcPr>
          <w:p w14:paraId="36FEA1E5" w14:textId="77777777" w:rsidR="00C313D3" w:rsidRPr="00C313D3" w:rsidRDefault="00C313D3" w:rsidP="00C313D3">
            <w:pPr>
              <w:spacing w:after="0" w:line="360" w:lineRule="auto"/>
              <w:rPr>
                <w:rFonts w:ascii="Abadi" w:eastAsia="Times New Roman" w:hAnsi="Abadi" w:cs="Times New Roman"/>
                <w:sz w:val="20"/>
                <w:szCs w:val="20"/>
              </w:rPr>
            </w:pPr>
          </w:p>
        </w:tc>
        <w:tc>
          <w:tcPr>
            <w:tcW w:w="0" w:type="auto"/>
            <w:vAlign w:val="center"/>
            <w:hideMark/>
          </w:tcPr>
          <w:p w14:paraId="61959286" w14:textId="77777777" w:rsidR="00C313D3" w:rsidRPr="00C313D3" w:rsidRDefault="00C313D3" w:rsidP="00C313D3">
            <w:pPr>
              <w:spacing w:after="0" w:line="360" w:lineRule="auto"/>
              <w:rPr>
                <w:rFonts w:ascii="Abadi" w:eastAsia="Times New Roman" w:hAnsi="Abadi" w:cs="Times New Roman"/>
                <w:sz w:val="20"/>
                <w:szCs w:val="20"/>
              </w:rPr>
            </w:pPr>
          </w:p>
        </w:tc>
      </w:tr>
      <w:tr w:rsidR="00C313D3" w:rsidRPr="00C313D3" w14:paraId="7BDB84B2" w14:textId="77777777" w:rsidTr="00C313D3">
        <w:trPr>
          <w:tblCellSpacing w:w="0" w:type="dxa"/>
        </w:trPr>
        <w:tc>
          <w:tcPr>
            <w:tcW w:w="100" w:type="pct"/>
            <w:shd w:val="clear" w:color="auto" w:fill="auto"/>
            <w:hideMark/>
          </w:tcPr>
          <w:p w14:paraId="566AAC89" w14:textId="77777777" w:rsidR="00C313D3" w:rsidRPr="00C313D3" w:rsidRDefault="00C313D3" w:rsidP="00C313D3">
            <w:pPr>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 </w:t>
            </w:r>
          </w:p>
        </w:tc>
        <w:tc>
          <w:tcPr>
            <w:tcW w:w="150" w:type="pct"/>
            <w:shd w:val="clear" w:color="auto" w:fill="auto"/>
            <w:noWrap/>
            <w:hideMark/>
          </w:tcPr>
          <w:p w14:paraId="5569D990" w14:textId="77777777" w:rsidR="00C313D3" w:rsidRPr="00C313D3" w:rsidRDefault="00C313D3" w:rsidP="00C313D3">
            <w:pPr>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3.</w:t>
            </w:r>
          </w:p>
        </w:tc>
        <w:tc>
          <w:tcPr>
            <w:tcW w:w="50" w:type="pct"/>
            <w:shd w:val="clear" w:color="auto" w:fill="auto"/>
            <w:hideMark/>
          </w:tcPr>
          <w:p w14:paraId="58CC4253" w14:textId="77777777" w:rsidR="00C313D3" w:rsidRPr="00C313D3" w:rsidRDefault="00C313D3" w:rsidP="00C313D3">
            <w:pPr>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 </w:t>
            </w:r>
          </w:p>
        </w:tc>
        <w:tc>
          <w:tcPr>
            <w:tcW w:w="0" w:type="auto"/>
            <w:shd w:val="clear" w:color="auto" w:fill="auto"/>
            <w:hideMark/>
          </w:tcPr>
          <w:p w14:paraId="2F196244" w14:textId="77777777" w:rsidR="00C313D3" w:rsidRPr="00C313D3" w:rsidRDefault="00C313D3" w:rsidP="00C313D3">
            <w:pPr>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To the extent permitted by law, the Guarantor waives all defenses, counterclaims</w:t>
            </w:r>
            <w:r w:rsidRPr="00C313D3">
              <w:rPr>
                <w:rFonts w:ascii="Abadi" w:eastAsia="Times New Roman" w:hAnsi="Abadi" w:cs="Times New Roman"/>
                <w:color w:val="000000"/>
                <w:sz w:val="17"/>
                <w:szCs w:val="17"/>
                <w:vertAlign w:val="superscript"/>
              </w:rPr>
              <w:t> </w:t>
            </w:r>
            <w:r w:rsidRPr="00C313D3">
              <w:rPr>
                <w:rFonts w:ascii="Abadi" w:eastAsia="Times New Roman" w:hAnsi="Abadi" w:cs="Times New Roman"/>
                <w:color w:val="000000"/>
                <w:sz w:val="20"/>
                <w:szCs w:val="20"/>
              </w:rPr>
              <w:t>or offsets that are legally available to the Guarantor with respect to the payment of the Debt of Debtor; and</w:t>
            </w:r>
          </w:p>
        </w:tc>
      </w:tr>
      <w:tr w:rsidR="00C313D3" w:rsidRPr="00C313D3" w14:paraId="478A9AA8" w14:textId="77777777" w:rsidTr="00C313D3">
        <w:trPr>
          <w:tblCellSpacing w:w="0" w:type="dxa"/>
        </w:trPr>
        <w:tc>
          <w:tcPr>
            <w:tcW w:w="0" w:type="auto"/>
            <w:vAlign w:val="center"/>
            <w:hideMark/>
          </w:tcPr>
          <w:p w14:paraId="2F7E9122" w14:textId="77777777" w:rsidR="00C313D3" w:rsidRPr="00C313D3" w:rsidRDefault="00C313D3" w:rsidP="00C313D3">
            <w:pPr>
              <w:spacing w:after="0" w:line="360" w:lineRule="auto"/>
              <w:rPr>
                <w:rFonts w:ascii="Abadi" w:eastAsia="Times New Roman" w:hAnsi="Abadi" w:cs="Times New Roman"/>
                <w:sz w:val="12"/>
                <w:szCs w:val="12"/>
              </w:rPr>
            </w:pPr>
            <w:r w:rsidRPr="00C313D3">
              <w:rPr>
                <w:rFonts w:ascii="Abadi" w:eastAsia="Times New Roman" w:hAnsi="Abadi" w:cs="Times New Roman"/>
                <w:sz w:val="12"/>
                <w:szCs w:val="12"/>
              </w:rPr>
              <w:t> </w:t>
            </w:r>
          </w:p>
        </w:tc>
        <w:tc>
          <w:tcPr>
            <w:tcW w:w="0" w:type="auto"/>
            <w:vAlign w:val="center"/>
            <w:hideMark/>
          </w:tcPr>
          <w:p w14:paraId="2592918E" w14:textId="77777777" w:rsidR="00C313D3" w:rsidRPr="00C313D3" w:rsidRDefault="00C313D3" w:rsidP="00C313D3">
            <w:pPr>
              <w:spacing w:after="0" w:line="360" w:lineRule="auto"/>
              <w:rPr>
                <w:rFonts w:ascii="Abadi" w:eastAsia="Times New Roman" w:hAnsi="Abadi" w:cs="Times New Roman"/>
                <w:sz w:val="20"/>
                <w:szCs w:val="20"/>
              </w:rPr>
            </w:pPr>
          </w:p>
        </w:tc>
        <w:tc>
          <w:tcPr>
            <w:tcW w:w="0" w:type="auto"/>
            <w:vAlign w:val="center"/>
            <w:hideMark/>
          </w:tcPr>
          <w:p w14:paraId="02E6C404" w14:textId="77777777" w:rsidR="00C313D3" w:rsidRPr="00C313D3" w:rsidRDefault="00C313D3" w:rsidP="00C313D3">
            <w:pPr>
              <w:spacing w:after="0" w:line="360" w:lineRule="auto"/>
              <w:rPr>
                <w:rFonts w:ascii="Abadi" w:eastAsia="Times New Roman" w:hAnsi="Abadi" w:cs="Times New Roman"/>
                <w:sz w:val="20"/>
                <w:szCs w:val="20"/>
              </w:rPr>
            </w:pPr>
          </w:p>
        </w:tc>
        <w:tc>
          <w:tcPr>
            <w:tcW w:w="0" w:type="auto"/>
            <w:vAlign w:val="center"/>
            <w:hideMark/>
          </w:tcPr>
          <w:p w14:paraId="69FA6F3E" w14:textId="77777777" w:rsidR="00C313D3" w:rsidRPr="00C313D3" w:rsidRDefault="00C313D3" w:rsidP="00C313D3">
            <w:pPr>
              <w:spacing w:after="0" w:line="360" w:lineRule="auto"/>
              <w:rPr>
                <w:rFonts w:ascii="Abadi" w:eastAsia="Times New Roman" w:hAnsi="Abadi" w:cs="Times New Roman"/>
                <w:sz w:val="20"/>
                <w:szCs w:val="20"/>
              </w:rPr>
            </w:pPr>
          </w:p>
        </w:tc>
      </w:tr>
      <w:tr w:rsidR="00C313D3" w:rsidRPr="00C313D3" w14:paraId="2D723852" w14:textId="77777777" w:rsidTr="00C313D3">
        <w:trPr>
          <w:tblCellSpacing w:w="0" w:type="dxa"/>
        </w:trPr>
        <w:tc>
          <w:tcPr>
            <w:tcW w:w="100" w:type="pct"/>
            <w:shd w:val="clear" w:color="auto" w:fill="auto"/>
            <w:hideMark/>
          </w:tcPr>
          <w:p w14:paraId="2B5BF68D" w14:textId="77777777" w:rsidR="00C313D3" w:rsidRPr="00C313D3" w:rsidRDefault="00C313D3" w:rsidP="00C313D3">
            <w:pPr>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 </w:t>
            </w:r>
          </w:p>
        </w:tc>
        <w:tc>
          <w:tcPr>
            <w:tcW w:w="150" w:type="pct"/>
            <w:shd w:val="clear" w:color="auto" w:fill="auto"/>
            <w:noWrap/>
            <w:hideMark/>
          </w:tcPr>
          <w:p w14:paraId="020E38B2" w14:textId="77777777" w:rsidR="00C313D3" w:rsidRPr="00C313D3" w:rsidRDefault="00C313D3" w:rsidP="00C313D3">
            <w:pPr>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4.</w:t>
            </w:r>
          </w:p>
        </w:tc>
        <w:tc>
          <w:tcPr>
            <w:tcW w:w="50" w:type="pct"/>
            <w:shd w:val="clear" w:color="auto" w:fill="auto"/>
            <w:hideMark/>
          </w:tcPr>
          <w:p w14:paraId="76A1C45A" w14:textId="77777777" w:rsidR="00C313D3" w:rsidRPr="00C313D3" w:rsidRDefault="00C313D3" w:rsidP="00C313D3">
            <w:pPr>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 </w:t>
            </w:r>
          </w:p>
        </w:tc>
        <w:tc>
          <w:tcPr>
            <w:tcW w:w="0" w:type="auto"/>
            <w:shd w:val="clear" w:color="auto" w:fill="auto"/>
            <w:hideMark/>
          </w:tcPr>
          <w:p w14:paraId="36F699AC" w14:textId="77777777" w:rsidR="00C313D3" w:rsidRPr="00C313D3" w:rsidRDefault="00C313D3" w:rsidP="00C313D3">
            <w:pPr>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 xml:space="preserve">Debtor will pay Guarantor, as a service fee for personally guaranteeing this loan, nine thousand one hundred sixty-one (9,161) shares of </w:t>
            </w:r>
            <w:proofErr w:type="spellStart"/>
            <w:r w:rsidRPr="00C313D3">
              <w:rPr>
                <w:rFonts w:ascii="Abadi" w:eastAsia="Times New Roman" w:hAnsi="Abadi" w:cs="Times New Roman"/>
                <w:color w:val="000000"/>
                <w:sz w:val="20"/>
                <w:szCs w:val="20"/>
              </w:rPr>
              <w:t>SunCoast</w:t>
            </w:r>
            <w:proofErr w:type="spellEnd"/>
            <w:r w:rsidRPr="00C313D3">
              <w:rPr>
                <w:rFonts w:ascii="Abadi" w:eastAsia="Times New Roman" w:hAnsi="Abadi" w:cs="Times New Roman"/>
                <w:color w:val="000000"/>
                <w:sz w:val="20"/>
                <w:szCs w:val="20"/>
              </w:rPr>
              <w:t xml:space="preserve"> Common A shares currently held by Debtor.</w:t>
            </w:r>
          </w:p>
        </w:tc>
      </w:tr>
    </w:tbl>
    <w:p w14:paraId="11E77DA7" w14:textId="77777777" w:rsidR="00C313D3" w:rsidRPr="00C313D3" w:rsidRDefault="00C313D3" w:rsidP="00C313D3">
      <w:pPr>
        <w:shd w:val="clear" w:color="auto" w:fill="FFFFFF"/>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     This Personal Guarantee shall be construed exclusively in accordance with, and governed by, the laws of the State of Florida. Any dispute arising hereunder may only be brought within the State Courts of the State of Florida. This Personal Guarantee embodies the entire promise of Guarantor to personally guarantee Debtor’s Debt and supersedes all prior agreements and understandings relating to the subject matter here, whether oral or in writing. This Personal Guarantee may not be assigned or transferred without a written document, signed by the Guarantor, Debtor, and Lender, permitting such assignment or transfer.</w:t>
      </w:r>
    </w:p>
    <w:p w14:paraId="78CC3DAA" w14:textId="77777777" w:rsidR="00C313D3" w:rsidRPr="00C313D3" w:rsidRDefault="00C313D3" w:rsidP="00C313D3">
      <w:pPr>
        <w:shd w:val="clear" w:color="auto" w:fill="FFFFFF"/>
        <w:spacing w:after="0" w:line="360" w:lineRule="auto"/>
        <w:rPr>
          <w:rFonts w:ascii="Abadi" w:eastAsia="Times New Roman" w:hAnsi="Abadi" w:cs="Times New Roman"/>
          <w:color w:val="000000"/>
          <w:sz w:val="20"/>
          <w:szCs w:val="20"/>
        </w:rPr>
      </w:pPr>
      <w:r w:rsidRPr="00C313D3">
        <w:rPr>
          <w:rFonts w:ascii="Abadi" w:eastAsia="Times New Roman" w:hAnsi="Abadi" w:cs="Times New Roman"/>
          <w:color w:val="000000"/>
          <w:sz w:val="20"/>
          <w:szCs w:val="20"/>
        </w:rPr>
        <w:t xml:space="preserve">     Dated this 13 day of </w:t>
      </w:r>
      <w:proofErr w:type="gramStart"/>
      <w:r w:rsidRPr="00C313D3">
        <w:rPr>
          <w:rFonts w:ascii="Abadi" w:eastAsia="Times New Roman" w:hAnsi="Abadi" w:cs="Times New Roman"/>
          <w:color w:val="000000"/>
          <w:sz w:val="20"/>
          <w:szCs w:val="20"/>
        </w:rPr>
        <w:t>June,</w:t>
      </w:r>
      <w:proofErr w:type="gramEnd"/>
      <w:r w:rsidRPr="00C313D3">
        <w:rPr>
          <w:rFonts w:ascii="Abadi" w:eastAsia="Times New Roman" w:hAnsi="Abadi" w:cs="Times New Roman"/>
          <w:color w:val="000000"/>
          <w:sz w:val="20"/>
          <w:szCs w:val="20"/>
        </w:rPr>
        <w:t xml:space="preserve"> 2006</w:t>
      </w:r>
    </w:p>
    <w:p w14:paraId="7A4DB333" w14:textId="77777777" w:rsidR="00A2464C" w:rsidRPr="00C313D3" w:rsidRDefault="00C313D3" w:rsidP="00C313D3">
      <w:pPr>
        <w:spacing w:line="360" w:lineRule="auto"/>
        <w:rPr>
          <w:rFonts w:ascii="Abadi" w:hAnsi="Abadi"/>
        </w:rPr>
      </w:pPr>
    </w:p>
    <w:sectPr w:rsidR="00A2464C" w:rsidRPr="00C31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E3"/>
    <w:rsid w:val="00271642"/>
    <w:rsid w:val="00843FE3"/>
    <w:rsid w:val="00C313D3"/>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3829"/>
  <w15:chartTrackingRefBased/>
  <w15:docId w15:val="{FFBB34A3-11B8-4358-92CD-2E6EE875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text"/>
    <w:basedOn w:val="Normal"/>
    <w:rsid w:val="00843F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26668">
      <w:bodyDiv w:val="1"/>
      <w:marLeft w:val="0"/>
      <w:marRight w:val="0"/>
      <w:marTop w:val="0"/>
      <w:marBottom w:val="0"/>
      <w:divBdr>
        <w:top w:val="none" w:sz="0" w:space="0" w:color="auto"/>
        <w:left w:val="none" w:sz="0" w:space="0" w:color="auto"/>
        <w:bottom w:val="none" w:sz="0" w:space="0" w:color="auto"/>
        <w:right w:val="none" w:sz="0" w:space="0" w:color="auto"/>
      </w:divBdr>
      <w:divsChild>
        <w:div w:id="1825466273">
          <w:marLeft w:val="0"/>
          <w:marRight w:val="0"/>
          <w:marTop w:val="360"/>
          <w:marBottom w:val="0"/>
          <w:divBdr>
            <w:top w:val="none" w:sz="0" w:space="0" w:color="auto"/>
            <w:left w:val="none" w:sz="0" w:space="0" w:color="auto"/>
            <w:bottom w:val="none" w:sz="0" w:space="0" w:color="auto"/>
            <w:right w:val="none" w:sz="0" w:space="0" w:color="auto"/>
          </w:divBdr>
        </w:div>
        <w:div w:id="609045701">
          <w:marLeft w:val="0"/>
          <w:marRight w:val="0"/>
          <w:marTop w:val="120"/>
          <w:marBottom w:val="0"/>
          <w:divBdr>
            <w:top w:val="none" w:sz="0" w:space="0" w:color="auto"/>
            <w:left w:val="none" w:sz="0" w:space="0" w:color="auto"/>
            <w:bottom w:val="none" w:sz="0" w:space="0" w:color="auto"/>
            <w:right w:val="none" w:sz="0" w:space="0" w:color="auto"/>
          </w:divBdr>
        </w:div>
        <w:div w:id="1158351299">
          <w:marLeft w:val="0"/>
          <w:marRight w:val="0"/>
          <w:marTop w:val="120"/>
          <w:marBottom w:val="0"/>
          <w:divBdr>
            <w:top w:val="none" w:sz="0" w:space="0" w:color="auto"/>
            <w:left w:val="none" w:sz="0" w:space="0" w:color="auto"/>
            <w:bottom w:val="none" w:sz="0" w:space="0" w:color="auto"/>
            <w:right w:val="none" w:sz="0" w:space="0" w:color="auto"/>
          </w:divBdr>
        </w:div>
        <w:div w:id="1848247046">
          <w:marLeft w:val="0"/>
          <w:marRight w:val="0"/>
          <w:marTop w:val="120"/>
          <w:marBottom w:val="0"/>
          <w:divBdr>
            <w:top w:val="none" w:sz="0" w:space="0" w:color="auto"/>
            <w:left w:val="none" w:sz="0" w:space="0" w:color="auto"/>
            <w:bottom w:val="none" w:sz="0" w:space="0" w:color="auto"/>
            <w:right w:val="none" w:sz="0" w:space="0" w:color="auto"/>
          </w:divBdr>
        </w:div>
        <w:div w:id="131100993">
          <w:marLeft w:val="0"/>
          <w:marRight w:val="0"/>
          <w:marTop w:val="120"/>
          <w:marBottom w:val="0"/>
          <w:divBdr>
            <w:top w:val="none" w:sz="0" w:space="0" w:color="auto"/>
            <w:left w:val="none" w:sz="0" w:space="0" w:color="auto"/>
            <w:bottom w:val="none" w:sz="0" w:space="0" w:color="auto"/>
            <w:right w:val="none" w:sz="0" w:space="0" w:color="auto"/>
          </w:divBdr>
        </w:div>
        <w:div w:id="58019350">
          <w:marLeft w:val="0"/>
          <w:marRight w:val="0"/>
          <w:marTop w:val="120"/>
          <w:marBottom w:val="0"/>
          <w:divBdr>
            <w:top w:val="none" w:sz="0" w:space="0" w:color="auto"/>
            <w:left w:val="none" w:sz="0" w:space="0" w:color="auto"/>
            <w:bottom w:val="none" w:sz="0" w:space="0" w:color="auto"/>
            <w:right w:val="none" w:sz="0" w:space="0" w:color="auto"/>
          </w:divBdr>
        </w:div>
        <w:div w:id="1208906936">
          <w:marLeft w:val="0"/>
          <w:marRight w:val="0"/>
          <w:marTop w:val="120"/>
          <w:marBottom w:val="0"/>
          <w:divBdr>
            <w:top w:val="none" w:sz="0" w:space="0" w:color="auto"/>
            <w:left w:val="none" w:sz="0" w:space="0" w:color="auto"/>
            <w:bottom w:val="none" w:sz="0" w:space="0" w:color="auto"/>
            <w:right w:val="none" w:sz="0" w:space="0" w:color="auto"/>
          </w:divBdr>
        </w:div>
        <w:div w:id="1406801642">
          <w:marLeft w:val="0"/>
          <w:marRight w:val="0"/>
          <w:marTop w:val="120"/>
          <w:marBottom w:val="0"/>
          <w:divBdr>
            <w:top w:val="none" w:sz="0" w:space="0" w:color="auto"/>
            <w:left w:val="none" w:sz="0" w:space="0" w:color="auto"/>
            <w:bottom w:val="none" w:sz="0" w:space="0" w:color="auto"/>
            <w:right w:val="none" w:sz="0" w:space="0" w:color="auto"/>
          </w:divBdr>
        </w:div>
      </w:divsChild>
    </w:div>
    <w:div w:id="11262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2019-04-12T14:06:00Z</dcterms:created>
  <dcterms:modified xsi:type="dcterms:W3CDTF">2019-04-12T14:06:00Z</dcterms:modified>
</cp:coreProperties>
</file>