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4F81BD"/>
          <w:bottom w:val="single" w:sz="8" w:space="0" w:color="4F81BD"/>
        </w:tblBorders>
        <w:tblLook w:val="04A0" w:firstRow="1" w:lastRow="0" w:firstColumn="1" w:lastColumn="0" w:noHBand="0" w:noVBand="1"/>
      </w:tblPr>
      <w:tblGrid>
        <w:gridCol w:w="1728"/>
        <w:gridCol w:w="7848"/>
      </w:tblGrid>
      <w:tr w:rsidR="00D62D35" w:rsidRPr="00412128" w:rsidTr="00AF0564">
        <w:tc>
          <w:tcPr>
            <w:tcW w:w="1728" w:type="dxa"/>
            <w:tcBorders>
              <w:top w:val="single" w:sz="8" w:space="0" w:color="4F81BD"/>
              <w:bottom w:val="single" w:sz="8" w:space="0" w:color="4F81BD"/>
            </w:tcBorders>
            <w:shd w:val="clear" w:color="auto" w:fill="auto"/>
          </w:tcPr>
          <w:p w:rsidR="00D62D35" w:rsidRPr="00412128" w:rsidRDefault="00725AD8" w:rsidP="002E55E6">
            <w:pPr>
              <w:spacing w:after="0" w:line="240" w:lineRule="auto"/>
              <w:rPr>
                <w:rFonts w:cs="Consolas"/>
                <w:b/>
                <w:bCs/>
                <w:color w:val="76923C"/>
                <w:sz w:val="24"/>
                <w:szCs w:val="24"/>
              </w:rPr>
            </w:pPr>
            <w:bookmarkStart w:id="0" w:name="_GoBack"/>
            <w:bookmarkEnd w:id="0"/>
            <w:r w:rsidRPr="00412128">
              <w:rPr>
                <w:rFonts w:cs="Consolas"/>
                <w:b/>
                <w:noProof/>
                <w:color w:val="76923C"/>
                <w:sz w:val="24"/>
                <w:szCs w:val="24"/>
              </w:rPr>
              <w:drawing>
                <wp:inline distT="0" distB="0" distL="0" distR="0">
                  <wp:extent cx="914400"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p>
        </w:tc>
        <w:tc>
          <w:tcPr>
            <w:tcW w:w="7848" w:type="dxa"/>
            <w:tcBorders>
              <w:top w:val="single" w:sz="8" w:space="0" w:color="4F81BD"/>
              <w:bottom w:val="single" w:sz="8" w:space="0" w:color="4F81BD"/>
            </w:tcBorders>
            <w:shd w:val="clear" w:color="auto" w:fill="auto"/>
          </w:tcPr>
          <w:p w:rsidR="00D62D35" w:rsidRPr="00412128" w:rsidRDefault="00901098" w:rsidP="002E55E6">
            <w:pPr>
              <w:spacing w:after="0" w:line="240" w:lineRule="auto"/>
              <w:jc w:val="right"/>
              <w:rPr>
                <w:rFonts w:cs="Consolas"/>
                <w:b/>
                <w:bCs/>
                <w:noProof/>
                <w:color w:val="000000"/>
                <w:sz w:val="24"/>
                <w:szCs w:val="24"/>
              </w:rPr>
            </w:pPr>
            <w:r w:rsidRPr="00412128">
              <w:rPr>
                <w:rFonts w:cs="Consolas"/>
                <w:b/>
                <w:bCs/>
                <w:noProof/>
                <w:color w:val="000000"/>
                <w:sz w:val="24"/>
                <w:szCs w:val="24"/>
              </w:rPr>
              <w:t xml:space="preserve">Migrant Mothers Project </w:t>
            </w:r>
          </w:p>
          <w:p w:rsidR="00D62D35" w:rsidRPr="00412128" w:rsidRDefault="00901098" w:rsidP="002E55E6">
            <w:pPr>
              <w:spacing w:after="0" w:line="240" w:lineRule="auto"/>
              <w:jc w:val="right"/>
              <w:rPr>
                <w:rFonts w:cs="Consolas"/>
                <w:b/>
                <w:bCs/>
                <w:noProof/>
                <w:color w:val="000000"/>
                <w:sz w:val="24"/>
                <w:szCs w:val="24"/>
              </w:rPr>
            </w:pPr>
            <w:r w:rsidRPr="00412128">
              <w:rPr>
                <w:rFonts w:cs="Consolas"/>
                <w:b/>
                <w:bCs/>
                <w:noProof/>
                <w:color w:val="000000"/>
                <w:sz w:val="24"/>
                <w:szCs w:val="24"/>
              </w:rPr>
              <w:t xml:space="preserve">Policy Brief – </w:t>
            </w:r>
            <w:r w:rsidR="00AF0564" w:rsidRPr="00412128">
              <w:rPr>
                <w:rFonts w:cs="Consolas"/>
                <w:b/>
                <w:bCs/>
                <w:noProof/>
                <w:color w:val="000000"/>
                <w:sz w:val="24"/>
                <w:szCs w:val="24"/>
              </w:rPr>
              <w:t>Conditional Permanent Residence</w:t>
            </w:r>
          </w:p>
          <w:p w:rsidR="00D62D35" w:rsidRPr="00412128" w:rsidRDefault="00D62D35" w:rsidP="002E55E6">
            <w:pPr>
              <w:spacing w:after="0" w:line="240" w:lineRule="auto"/>
              <w:jc w:val="right"/>
              <w:rPr>
                <w:rFonts w:cs="Consolas"/>
                <w:b/>
                <w:bCs/>
                <w:noProof/>
                <w:color w:val="000000"/>
                <w:sz w:val="24"/>
                <w:szCs w:val="24"/>
              </w:rPr>
            </w:pPr>
          </w:p>
          <w:p w:rsidR="00D62D35" w:rsidRPr="00412128" w:rsidRDefault="00901098" w:rsidP="00901098">
            <w:pPr>
              <w:spacing w:after="0" w:line="240" w:lineRule="auto"/>
              <w:jc w:val="right"/>
              <w:rPr>
                <w:rFonts w:cs="Consolas"/>
                <w:b/>
                <w:bCs/>
                <w:noProof/>
                <w:color w:val="000000"/>
                <w:sz w:val="24"/>
                <w:szCs w:val="24"/>
              </w:rPr>
            </w:pPr>
            <w:r w:rsidRPr="00412128">
              <w:rPr>
                <w:rFonts w:cs="Consolas"/>
                <w:b/>
                <w:bCs/>
                <w:noProof/>
                <w:color w:val="000000"/>
                <w:sz w:val="24"/>
                <w:szCs w:val="24"/>
              </w:rPr>
              <w:t>March 26, 2015</w:t>
            </w:r>
          </w:p>
        </w:tc>
      </w:tr>
    </w:tbl>
    <w:p w:rsidR="00D62D35" w:rsidRPr="00412128" w:rsidRDefault="00D62D35" w:rsidP="00D62D35">
      <w:pPr>
        <w:spacing w:after="0" w:line="240" w:lineRule="auto"/>
        <w:rPr>
          <w:rFonts w:cs="Consolas"/>
          <w:sz w:val="24"/>
          <w:szCs w:val="24"/>
        </w:rPr>
      </w:pPr>
    </w:p>
    <w:p w:rsidR="00EB3EA5" w:rsidRPr="00412128" w:rsidRDefault="00901098" w:rsidP="00901098">
      <w:pPr>
        <w:spacing w:line="240" w:lineRule="auto"/>
        <w:contextualSpacing/>
        <w:rPr>
          <w:rFonts w:cs="Lao UI"/>
          <w:sz w:val="24"/>
          <w:szCs w:val="24"/>
        </w:rPr>
      </w:pPr>
      <w:r w:rsidRPr="00412128">
        <w:rPr>
          <w:sz w:val="24"/>
          <w:szCs w:val="24"/>
        </w:rPr>
        <w:t>This document</w:t>
      </w:r>
      <w:r w:rsidR="00D62D35" w:rsidRPr="00412128">
        <w:rPr>
          <w:sz w:val="24"/>
          <w:szCs w:val="24"/>
        </w:rPr>
        <w:t xml:space="preserve"> provide</w:t>
      </w:r>
      <w:r w:rsidRPr="00412128">
        <w:rPr>
          <w:sz w:val="24"/>
          <w:szCs w:val="24"/>
        </w:rPr>
        <w:t>s</w:t>
      </w:r>
      <w:r w:rsidR="00D62D35" w:rsidRPr="00412128">
        <w:rPr>
          <w:sz w:val="24"/>
          <w:szCs w:val="24"/>
        </w:rPr>
        <w:t xml:space="preserve"> </w:t>
      </w:r>
      <w:r w:rsidRPr="00412128">
        <w:rPr>
          <w:rFonts w:cs="Lao UI"/>
          <w:sz w:val="24"/>
          <w:szCs w:val="24"/>
        </w:rPr>
        <w:t xml:space="preserve">a brief overview of </w:t>
      </w:r>
      <w:r w:rsidR="00AF0564" w:rsidRPr="00412128">
        <w:rPr>
          <w:rFonts w:cs="Lao UI"/>
          <w:sz w:val="24"/>
          <w:szCs w:val="24"/>
        </w:rPr>
        <w:t>Conditional Permanent Residence impacting sponsored spouses/partners who entered Canada as of October 2012.</w:t>
      </w:r>
    </w:p>
    <w:p w:rsidR="00901098" w:rsidRPr="00412128" w:rsidRDefault="00901098" w:rsidP="00901098">
      <w:pPr>
        <w:spacing w:line="240" w:lineRule="auto"/>
        <w:contextualSpacing/>
        <w:rPr>
          <w:rFonts w:cs="Lao UI"/>
          <w:sz w:val="24"/>
          <w:szCs w:val="24"/>
        </w:rPr>
      </w:pPr>
    </w:p>
    <w:p w:rsidR="00901098" w:rsidRPr="00412128" w:rsidRDefault="00725AD8" w:rsidP="00901098">
      <w:pPr>
        <w:spacing w:line="240" w:lineRule="auto"/>
        <w:contextualSpacing/>
        <w:rPr>
          <w:rFonts w:cs="Lao UI"/>
          <w:sz w:val="24"/>
          <w:szCs w:val="24"/>
        </w:rPr>
      </w:pPr>
      <w:r w:rsidRPr="00412128">
        <w:rPr>
          <w:rFonts w:cs="Consolas"/>
          <w:noProof/>
        </w:rPr>
        <mc:AlternateContent>
          <mc:Choice Requires="wps">
            <w:drawing>
              <wp:inline distT="0" distB="0" distL="0" distR="0">
                <wp:extent cx="5799455" cy="295910"/>
                <wp:effectExtent l="17145" t="16510" r="12700" b="1143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295910"/>
                        </a:xfrm>
                        <a:prstGeom prst="roundRect">
                          <a:avLst>
                            <a:gd name="adj" fmla="val 16667"/>
                          </a:avLst>
                        </a:prstGeom>
                        <a:solidFill>
                          <a:srgbClr val="FFFFFF"/>
                        </a:solidFill>
                        <a:ln w="19050">
                          <a:solidFill>
                            <a:srgbClr val="0099FF"/>
                          </a:solidFill>
                          <a:round/>
                          <a:headEnd/>
                          <a:tailEnd/>
                        </a:ln>
                      </wps:spPr>
                      <wps:txbx>
                        <w:txbxContent>
                          <w:p w:rsidR="00C512B5" w:rsidRPr="00427906" w:rsidRDefault="00C512B5" w:rsidP="00901098">
                            <w:pPr>
                              <w:rPr>
                                <w:b/>
                                <w:sz w:val="24"/>
                              </w:rPr>
                            </w:pPr>
                            <w:r>
                              <w:rPr>
                                <w:b/>
                                <w:sz w:val="24"/>
                              </w:rPr>
                              <w:t>Quick Facts</w:t>
                            </w:r>
                          </w:p>
                        </w:txbxContent>
                      </wps:txbx>
                      <wps:bodyPr rot="0" vert="horz" wrap="square" lIns="91440" tIns="45720" rIns="91440" bIns="45720" anchor="t" anchorCtr="0" upright="1">
                        <a:noAutofit/>
                      </wps:bodyPr>
                    </wps:wsp>
                  </a:graphicData>
                </a:graphic>
              </wp:inline>
            </w:drawing>
          </mc:Choice>
          <mc:Fallback>
            <w:pict>
              <v:roundrect id="AutoShape 5" o:spid="_x0000_s1026" style="width:456.65pt;height:23.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" strokecolor="#09f" strokeweight="1.5pt">
                <v:textbox>
                  <w:txbxContent>
                    <w:p w:rsidR="00C512B5" w:rsidRPr="00427906" w:rsidRDefault="00C512B5" w:rsidP="00901098">
                      <w:pPr>
                        <w:rPr>
                          <w:b/>
                          <w:sz w:val="24"/>
                        </w:rPr>
                      </w:pPr>
                      <w:r>
                        <w:rPr>
                          <w:b/>
                          <w:sz w:val="24"/>
                        </w:rPr>
                        <w:t>Quick Facts</w:t>
                      </w:r>
                    </w:p>
                  </w:txbxContent>
                </v:textbox>
                <w10:anchorlock/>
              </v:roundrect>
            </w:pict>
          </mc:Fallback>
        </mc:AlternateContent>
      </w:r>
    </w:p>
    <w:p w:rsidR="00901098" w:rsidRPr="00412128" w:rsidRDefault="00901098" w:rsidP="00901098">
      <w:pPr>
        <w:spacing w:line="240" w:lineRule="auto"/>
        <w:contextualSpacing/>
        <w:rPr>
          <w:rFonts w:cs="Lao UI"/>
          <w:sz w:val="24"/>
          <w:szCs w:val="24"/>
        </w:rPr>
      </w:pPr>
    </w:p>
    <w:p w:rsidR="00AF0564" w:rsidRPr="00412128" w:rsidRDefault="00AF0564" w:rsidP="0098721D">
      <w:pPr>
        <w:numPr>
          <w:ilvl w:val="0"/>
          <w:numId w:val="6"/>
        </w:numPr>
        <w:contextualSpacing/>
        <w:rPr>
          <w:sz w:val="24"/>
          <w:szCs w:val="24"/>
        </w:rPr>
      </w:pPr>
      <w:r w:rsidRPr="00412128">
        <w:rPr>
          <w:sz w:val="24"/>
          <w:szCs w:val="24"/>
        </w:rPr>
        <w:t>Sponsored spouses and partners represent 25% of all family class applicants (</w:t>
      </w:r>
      <w:r w:rsidRPr="00F85C69">
        <w:rPr>
          <w:sz w:val="24"/>
          <w:szCs w:val="24"/>
        </w:rPr>
        <w:t>CIC, 2014</w:t>
      </w:r>
      <w:r w:rsidRPr="00412128">
        <w:rPr>
          <w:sz w:val="24"/>
          <w:szCs w:val="24"/>
        </w:rPr>
        <w:t>)</w:t>
      </w:r>
    </w:p>
    <w:p w:rsidR="00AF0564" w:rsidRPr="00412128" w:rsidRDefault="00AF0564" w:rsidP="0098721D">
      <w:pPr>
        <w:numPr>
          <w:ilvl w:val="0"/>
          <w:numId w:val="6"/>
        </w:numPr>
        <w:contextualSpacing/>
        <w:rPr>
          <w:sz w:val="24"/>
          <w:szCs w:val="24"/>
        </w:rPr>
      </w:pPr>
      <w:r w:rsidRPr="00412128">
        <w:rPr>
          <w:sz w:val="24"/>
          <w:szCs w:val="24"/>
        </w:rPr>
        <w:t>Women represent 58% of the sponsored spouses (</w:t>
      </w:r>
      <w:r w:rsidRPr="00F85C69">
        <w:rPr>
          <w:sz w:val="24"/>
          <w:szCs w:val="24"/>
        </w:rPr>
        <w:t>CIC,</w:t>
      </w:r>
      <w:r w:rsidRPr="00F85C69">
        <w:rPr>
          <w:sz w:val="24"/>
          <w:szCs w:val="24"/>
        </w:rPr>
        <w:t xml:space="preserve"> </w:t>
      </w:r>
      <w:r w:rsidRPr="00F85C69">
        <w:rPr>
          <w:sz w:val="24"/>
          <w:szCs w:val="24"/>
        </w:rPr>
        <w:t>2014</w:t>
      </w:r>
      <w:r w:rsidRPr="00412128">
        <w:rPr>
          <w:sz w:val="24"/>
          <w:szCs w:val="24"/>
        </w:rPr>
        <w:t>)</w:t>
      </w:r>
    </w:p>
    <w:p w:rsidR="00AF0564" w:rsidRPr="00412128" w:rsidRDefault="000E7FF3" w:rsidP="0098721D">
      <w:pPr>
        <w:numPr>
          <w:ilvl w:val="0"/>
          <w:numId w:val="6"/>
        </w:numPr>
        <w:contextualSpacing/>
        <w:rPr>
          <w:sz w:val="24"/>
          <w:szCs w:val="24"/>
        </w:rPr>
      </w:pPr>
      <w:r>
        <w:rPr>
          <w:sz w:val="24"/>
          <w:szCs w:val="24"/>
        </w:rPr>
        <w:t>On October 25, 2012</w:t>
      </w:r>
      <w:r w:rsidR="00AF0564" w:rsidRPr="00412128">
        <w:rPr>
          <w:sz w:val="24"/>
          <w:szCs w:val="24"/>
        </w:rPr>
        <w:t xml:space="preserve"> CIC introduced a 2 year conditional permanent reside</w:t>
      </w:r>
      <w:r>
        <w:rPr>
          <w:sz w:val="24"/>
          <w:szCs w:val="24"/>
        </w:rPr>
        <w:t xml:space="preserve">nce (PR) period for spouses &amp; </w:t>
      </w:r>
      <w:r w:rsidR="00AF0564" w:rsidRPr="00412128">
        <w:rPr>
          <w:sz w:val="24"/>
          <w:szCs w:val="24"/>
        </w:rPr>
        <w:t>partners who have been cohabiting in a conjugal relationship for 2 years</w:t>
      </w:r>
      <w:r w:rsidR="00C512B5" w:rsidRPr="00412128">
        <w:rPr>
          <w:sz w:val="24"/>
          <w:szCs w:val="24"/>
        </w:rPr>
        <w:t xml:space="preserve"> or less</w:t>
      </w:r>
      <w:r w:rsidR="00AF0564" w:rsidRPr="00412128">
        <w:rPr>
          <w:sz w:val="24"/>
          <w:szCs w:val="24"/>
        </w:rPr>
        <w:t xml:space="preserve"> and have no children </w:t>
      </w:r>
      <w:r w:rsidR="00C512B5" w:rsidRPr="00412128">
        <w:rPr>
          <w:sz w:val="24"/>
          <w:szCs w:val="24"/>
        </w:rPr>
        <w:t>(being pregnant does not qualify as having children)</w:t>
      </w:r>
    </w:p>
    <w:p w:rsidR="00AF0564" w:rsidRPr="00412128" w:rsidRDefault="00AF0564" w:rsidP="0098721D">
      <w:pPr>
        <w:numPr>
          <w:ilvl w:val="0"/>
          <w:numId w:val="6"/>
        </w:numPr>
        <w:contextualSpacing/>
        <w:rPr>
          <w:sz w:val="24"/>
          <w:szCs w:val="24"/>
        </w:rPr>
      </w:pPr>
      <w:r w:rsidRPr="00412128">
        <w:rPr>
          <w:sz w:val="24"/>
          <w:szCs w:val="24"/>
        </w:rPr>
        <w:t>The condition applies to all applicants entered on or after October 2012</w:t>
      </w:r>
    </w:p>
    <w:p w:rsidR="0098721D" w:rsidRPr="00412128" w:rsidRDefault="00AF0564" w:rsidP="0098721D">
      <w:pPr>
        <w:numPr>
          <w:ilvl w:val="0"/>
          <w:numId w:val="6"/>
        </w:numPr>
        <w:contextualSpacing/>
        <w:rPr>
          <w:sz w:val="24"/>
          <w:szCs w:val="24"/>
        </w:rPr>
      </w:pPr>
      <w:r w:rsidRPr="00412128">
        <w:rPr>
          <w:sz w:val="24"/>
          <w:szCs w:val="24"/>
        </w:rPr>
        <w:t xml:space="preserve">CIC outlines two exceptions to the condition: </w:t>
      </w:r>
    </w:p>
    <w:p w:rsidR="0098721D" w:rsidRPr="00412128" w:rsidRDefault="00AF0564" w:rsidP="0098721D">
      <w:pPr>
        <w:numPr>
          <w:ilvl w:val="1"/>
          <w:numId w:val="6"/>
        </w:numPr>
        <w:contextualSpacing/>
        <w:rPr>
          <w:sz w:val="24"/>
          <w:szCs w:val="24"/>
        </w:rPr>
      </w:pPr>
      <w:r w:rsidRPr="00412128">
        <w:rPr>
          <w:b/>
          <w:sz w:val="24"/>
          <w:szCs w:val="24"/>
        </w:rPr>
        <w:t>Death of the sponsor</w:t>
      </w:r>
      <w:r w:rsidRPr="00412128">
        <w:rPr>
          <w:sz w:val="24"/>
          <w:szCs w:val="24"/>
        </w:rPr>
        <w:t xml:space="preserve"> and </w:t>
      </w:r>
    </w:p>
    <w:p w:rsidR="00C512B5" w:rsidRPr="00412128" w:rsidRDefault="00AF0564" w:rsidP="00C512B5">
      <w:pPr>
        <w:numPr>
          <w:ilvl w:val="1"/>
          <w:numId w:val="6"/>
        </w:numPr>
        <w:contextualSpacing/>
        <w:rPr>
          <w:sz w:val="24"/>
          <w:szCs w:val="24"/>
        </w:rPr>
      </w:pPr>
      <w:r w:rsidRPr="00412128">
        <w:rPr>
          <w:b/>
          <w:sz w:val="24"/>
          <w:szCs w:val="24"/>
        </w:rPr>
        <w:t>Instances of abuse and neglect from the sponsor</w:t>
      </w:r>
      <w:r w:rsidRPr="00412128">
        <w:rPr>
          <w:sz w:val="24"/>
          <w:szCs w:val="24"/>
        </w:rPr>
        <w:t>, including physical, sexual, psychological, financial abuse, neglect and coercion into forced marriage. Exception requests are to be processed via a Call Centre (</w:t>
      </w:r>
      <w:r w:rsidRPr="00F85C69">
        <w:rPr>
          <w:sz w:val="24"/>
          <w:szCs w:val="24"/>
        </w:rPr>
        <w:t>CIC,</w:t>
      </w:r>
      <w:r w:rsidRPr="00F85C69">
        <w:rPr>
          <w:sz w:val="24"/>
          <w:szCs w:val="24"/>
        </w:rPr>
        <w:t xml:space="preserve"> </w:t>
      </w:r>
      <w:r w:rsidRPr="00F85C69">
        <w:rPr>
          <w:sz w:val="24"/>
          <w:szCs w:val="24"/>
        </w:rPr>
        <w:t>2014</w:t>
      </w:r>
      <w:r w:rsidRPr="00412128">
        <w:rPr>
          <w:sz w:val="24"/>
          <w:szCs w:val="24"/>
        </w:rPr>
        <w:t>)</w:t>
      </w:r>
    </w:p>
    <w:p w:rsidR="0098721D" w:rsidRPr="00412128" w:rsidRDefault="00C512B5" w:rsidP="00C512B5">
      <w:pPr>
        <w:numPr>
          <w:ilvl w:val="0"/>
          <w:numId w:val="6"/>
        </w:numPr>
        <w:contextualSpacing/>
        <w:rPr>
          <w:sz w:val="24"/>
          <w:szCs w:val="24"/>
        </w:rPr>
      </w:pPr>
      <w:r w:rsidRPr="00412128">
        <w:rPr>
          <w:sz w:val="24"/>
          <w:szCs w:val="24"/>
        </w:rPr>
        <w:t xml:space="preserve">As described in </w:t>
      </w:r>
      <w:r w:rsidRPr="00AE32DB">
        <w:rPr>
          <w:sz w:val="24"/>
          <w:szCs w:val="24"/>
        </w:rPr>
        <w:t>Operational bulletin 480, section 3.2</w:t>
      </w:r>
      <w:proofErr w:type="gramStart"/>
      <w:r w:rsidRPr="00412128">
        <w:rPr>
          <w:sz w:val="24"/>
          <w:szCs w:val="24"/>
        </w:rPr>
        <w:t>,  sponsored</w:t>
      </w:r>
      <w:proofErr w:type="gramEnd"/>
      <w:r w:rsidRPr="00412128">
        <w:rPr>
          <w:sz w:val="24"/>
          <w:szCs w:val="24"/>
        </w:rPr>
        <w:t xml:space="preserve"> persons who are subject to the condition may request an exception to the condition under section 72.1 by calling CIC’s Call Centre. The Call Centre refers requests received to the appropriate local CIC office for their assessment of the request. A request for an exception can also be made directly with the responsible local CIC office in the case where evidence of the compliance with the condition is requested as part of an investigation. Persons requesting an exception to the condition are not required to submit an application form.</w:t>
      </w:r>
    </w:p>
    <w:p w:rsidR="00D62D35" w:rsidRPr="00412128" w:rsidRDefault="00725AD8" w:rsidP="00F7328E">
      <w:pPr>
        <w:pStyle w:val="NormalWeb"/>
        <w:contextualSpacing/>
        <w:rPr>
          <w:rFonts w:ascii="Calibri" w:hAnsi="Calibri"/>
          <w:sz w:val="22"/>
          <w:szCs w:val="22"/>
        </w:rPr>
      </w:pPr>
      <w:r w:rsidRPr="00412128">
        <w:rPr>
          <w:rFonts w:ascii="Calibri" w:hAnsi="Calibri" w:cs="Consolas"/>
          <w:noProof/>
        </w:rPr>
        <mc:AlternateContent>
          <mc:Choice Requires="wps">
            <w:drawing>
              <wp:inline distT="0" distB="0" distL="0" distR="0">
                <wp:extent cx="5799455" cy="295910"/>
                <wp:effectExtent l="17145" t="12700" r="12700" b="15240"/>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455" cy="295910"/>
                        </a:xfrm>
                        <a:prstGeom prst="roundRect">
                          <a:avLst>
                            <a:gd name="adj" fmla="val 16667"/>
                          </a:avLst>
                        </a:prstGeom>
                        <a:solidFill>
                          <a:srgbClr val="FFFFFF"/>
                        </a:solidFill>
                        <a:ln w="19050">
                          <a:solidFill>
                            <a:srgbClr val="0099FF"/>
                          </a:solidFill>
                          <a:round/>
                          <a:headEnd/>
                          <a:tailEnd/>
                        </a:ln>
                      </wps:spPr>
                      <wps:txbx>
                        <w:txbxContent>
                          <w:p w:rsidR="00C512B5" w:rsidRPr="00427906" w:rsidRDefault="00C512B5" w:rsidP="00D62D35">
                            <w:pPr>
                              <w:rPr>
                                <w:b/>
                                <w:sz w:val="24"/>
                              </w:rPr>
                            </w:pPr>
                            <w:r>
                              <w:rPr>
                                <w:b/>
                                <w:sz w:val="24"/>
                              </w:rPr>
                              <w:t xml:space="preserve">Policy Impact </w:t>
                            </w:r>
                            <w:proofErr w:type="gramStart"/>
                            <w:r>
                              <w:rPr>
                                <w:b/>
                                <w:sz w:val="24"/>
                              </w:rPr>
                              <w:t>Since</w:t>
                            </w:r>
                            <w:proofErr w:type="gramEnd"/>
                            <w:r>
                              <w:rPr>
                                <w:b/>
                                <w:sz w:val="24"/>
                              </w:rPr>
                              <w:t xml:space="preserve"> October 2012</w:t>
                            </w:r>
                          </w:p>
                        </w:txbxContent>
                      </wps:txbx>
                      <wps:bodyPr rot="0" vert="horz" wrap="square" lIns="91440" tIns="45720" rIns="91440" bIns="45720" anchor="t" anchorCtr="0" upright="1">
                        <a:noAutofit/>
                      </wps:bodyPr>
                    </wps:wsp>
                  </a:graphicData>
                </a:graphic>
              </wp:inline>
            </w:drawing>
          </mc:Choice>
          <mc:Fallback>
            <w:pict>
              <v:roundrect id="AutoShape 2" o:spid="_x0000_s1027" style="width:456.65pt;height:23.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" strokecolor="#09f" strokeweight="1.5pt">
                <v:textbox>
                  <w:txbxContent>
                    <w:p w:rsidR="00C512B5" w:rsidRPr="00427906" w:rsidRDefault="00C512B5" w:rsidP="00D62D35">
                      <w:pPr>
                        <w:rPr>
                          <w:b/>
                          <w:sz w:val="24"/>
                        </w:rPr>
                      </w:pPr>
                      <w:r>
                        <w:rPr>
                          <w:b/>
                          <w:sz w:val="24"/>
                        </w:rPr>
                        <w:t xml:space="preserve">Policy Impact </w:t>
                      </w:r>
                      <w:proofErr w:type="gramStart"/>
                      <w:r>
                        <w:rPr>
                          <w:b/>
                          <w:sz w:val="24"/>
                        </w:rPr>
                        <w:t>Since</w:t>
                      </w:r>
                      <w:proofErr w:type="gramEnd"/>
                      <w:r>
                        <w:rPr>
                          <w:b/>
                          <w:sz w:val="24"/>
                        </w:rPr>
                        <w:t xml:space="preserve"> October 2012</w:t>
                      </w:r>
                    </w:p>
                  </w:txbxContent>
                </v:textbox>
                <w10:anchorlock/>
              </v:roundrect>
            </w:pict>
          </mc:Fallback>
        </mc:AlternateContent>
      </w:r>
    </w:p>
    <w:p w:rsidR="0098721D" w:rsidRPr="00C512B5" w:rsidRDefault="0098721D" w:rsidP="00C512B5">
      <w:pPr>
        <w:numPr>
          <w:ilvl w:val="0"/>
          <w:numId w:val="6"/>
        </w:numPr>
        <w:spacing w:line="240" w:lineRule="auto"/>
        <w:contextualSpacing/>
        <w:rPr>
          <w:sz w:val="24"/>
          <w:szCs w:val="24"/>
        </w:rPr>
      </w:pPr>
      <w:r w:rsidRPr="0098721D">
        <w:rPr>
          <w:sz w:val="24"/>
          <w:szCs w:val="24"/>
        </w:rPr>
        <w:t>Between</w:t>
      </w:r>
      <w:r>
        <w:rPr>
          <w:sz w:val="24"/>
          <w:szCs w:val="24"/>
        </w:rPr>
        <w:t xml:space="preserve"> October 2012 and June 2014 - </w:t>
      </w:r>
      <w:r w:rsidR="00C512B5">
        <w:rPr>
          <w:sz w:val="24"/>
          <w:szCs w:val="24"/>
        </w:rPr>
        <w:t xml:space="preserve"> </w:t>
      </w:r>
      <w:r w:rsidR="00CF0B1D">
        <w:rPr>
          <w:sz w:val="24"/>
          <w:szCs w:val="24"/>
        </w:rPr>
        <w:t>23 % (17,795</w:t>
      </w:r>
      <w:r w:rsidRPr="0098721D">
        <w:rPr>
          <w:sz w:val="24"/>
          <w:szCs w:val="24"/>
        </w:rPr>
        <w:t xml:space="preserve">) </w:t>
      </w:r>
      <w:r w:rsidR="00C512B5">
        <w:rPr>
          <w:sz w:val="24"/>
          <w:szCs w:val="24"/>
        </w:rPr>
        <w:t>of all sponsored</w:t>
      </w:r>
      <w:r w:rsidR="00CF0B1D">
        <w:rPr>
          <w:sz w:val="24"/>
          <w:szCs w:val="24"/>
        </w:rPr>
        <w:t xml:space="preserve"> spouses, common law </w:t>
      </w:r>
      <w:r w:rsidR="00C512B5">
        <w:rPr>
          <w:sz w:val="24"/>
          <w:szCs w:val="24"/>
        </w:rPr>
        <w:t>partners</w:t>
      </w:r>
      <w:r w:rsidR="00CF0B1D">
        <w:rPr>
          <w:sz w:val="24"/>
          <w:szCs w:val="24"/>
        </w:rPr>
        <w:t xml:space="preserve"> and conjugal partners</w:t>
      </w:r>
      <w:r w:rsidR="00C512B5">
        <w:rPr>
          <w:sz w:val="24"/>
          <w:szCs w:val="24"/>
        </w:rPr>
        <w:t xml:space="preserve"> </w:t>
      </w:r>
      <w:r w:rsidRPr="0098721D">
        <w:rPr>
          <w:sz w:val="24"/>
          <w:szCs w:val="24"/>
        </w:rPr>
        <w:t>were granted</w:t>
      </w:r>
      <w:r w:rsidR="00C512B5">
        <w:rPr>
          <w:sz w:val="24"/>
          <w:szCs w:val="24"/>
        </w:rPr>
        <w:t xml:space="preserve"> Conditional PR status</w:t>
      </w:r>
      <w:r w:rsidR="00CF0B1D">
        <w:rPr>
          <w:sz w:val="24"/>
          <w:szCs w:val="24"/>
        </w:rPr>
        <w:t xml:space="preserve"> during the period Oct 2012-July 2014 (CIC, 2014)</w:t>
      </w:r>
    </w:p>
    <w:p w:rsidR="0098721D" w:rsidRPr="00AE32DB" w:rsidRDefault="00CF0B1D" w:rsidP="0098721D">
      <w:pPr>
        <w:numPr>
          <w:ilvl w:val="0"/>
          <w:numId w:val="6"/>
        </w:numPr>
        <w:spacing w:line="240" w:lineRule="auto"/>
        <w:contextualSpacing/>
        <w:rPr>
          <w:sz w:val="24"/>
          <w:szCs w:val="24"/>
        </w:rPr>
      </w:pPr>
      <w:r>
        <w:rPr>
          <w:sz w:val="24"/>
          <w:szCs w:val="24"/>
        </w:rPr>
        <w:t>During this period,</w:t>
      </w:r>
      <w:r w:rsidR="00C512B5" w:rsidRPr="00CF0B1D">
        <w:rPr>
          <w:sz w:val="24"/>
          <w:szCs w:val="24"/>
        </w:rPr>
        <w:t xml:space="preserve"> </w:t>
      </w:r>
      <w:r w:rsidR="00C512B5" w:rsidRPr="00CF0B1D">
        <w:rPr>
          <w:sz w:val="24"/>
          <w:szCs w:val="24"/>
          <w:u w:val="single"/>
        </w:rPr>
        <w:t>only 12</w:t>
      </w:r>
      <w:r w:rsidR="00C512B5" w:rsidRPr="00CF0B1D">
        <w:rPr>
          <w:sz w:val="24"/>
          <w:szCs w:val="24"/>
        </w:rPr>
        <w:t xml:space="preserve"> applications for an exception to th</w:t>
      </w:r>
      <w:r w:rsidRPr="00CF0B1D">
        <w:rPr>
          <w:sz w:val="24"/>
          <w:szCs w:val="24"/>
        </w:rPr>
        <w:t>e condition have been received</w:t>
      </w:r>
      <w:r>
        <w:rPr>
          <w:sz w:val="24"/>
          <w:szCs w:val="24"/>
        </w:rPr>
        <w:t xml:space="preserve">: </w:t>
      </w:r>
      <w:r w:rsidRPr="00CF0B1D">
        <w:rPr>
          <w:sz w:val="24"/>
          <w:szCs w:val="24"/>
        </w:rPr>
        <w:t>4 were still in process, 4 were granted the exception, 3 denied due to insufficient evidence and 1 was referred for an inadmissibility review (</w:t>
      </w:r>
      <w:r w:rsidRPr="00CF0B1D">
        <w:rPr>
          <w:b/>
          <w:sz w:val="24"/>
          <w:szCs w:val="24"/>
        </w:rPr>
        <w:t>Note</w:t>
      </w:r>
      <w:r w:rsidRPr="00CF0B1D">
        <w:rPr>
          <w:sz w:val="24"/>
          <w:szCs w:val="24"/>
        </w:rPr>
        <w:t>: these numbers only reflect the period from Oct 2012 to July 2014 and thus</w:t>
      </w:r>
      <w:r>
        <w:rPr>
          <w:sz w:val="24"/>
          <w:szCs w:val="24"/>
        </w:rPr>
        <w:t xml:space="preserve"> </w:t>
      </w:r>
      <w:r w:rsidRPr="00CF0B1D">
        <w:rPr>
          <w:sz w:val="24"/>
          <w:szCs w:val="24"/>
        </w:rPr>
        <w:t xml:space="preserve">likely reflect a </w:t>
      </w:r>
      <w:r>
        <w:rPr>
          <w:sz w:val="24"/>
          <w:szCs w:val="24"/>
        </w:rPr>
        <w:t>lag in when people were ready to submit applications for the exemption)</w:t>
      </w:r>
      <w:r w:rsidRPr="00CF0B1D">
        <w:rPr>
          <w:sz w:val="24"/>
          <w:szCs w:val="24"/>
        </w:rPr>
        <w:t xml:space="preserve"> </w:t>
      </w:r>
    </w:p>
    <w:p w:rsidR="0098721D" w:rsidRPr="00B563C5" w:rsidRDefault="00725AD8" w:rsidP="0098721D">
      <w:pPr>
        <w:rPr>
          <w:b/>
          <w:noProof/>
          <w:sz w:val="24"/>
          <w:szCs w:val="28"/>
          <w:lang w:val="en-CA" w:eastAsia="en-CA"/>
        </w:rPr>
      </w:pPr>
      <w:r w:rsidRPr="00B563C5">
        <w:rPr>
          <w:b/>
          <w:noProof/>
          <w:sz w:val="24"/>
          <w:szCs w:val="28"/>
        </w:rPr>
        <w:lastRenderedPageBreak/>
        <w:drawing>
          <wp:anchor distT="0" distB="0" distL="114300" distR="114300" simplePos="0" relativeHeight="251657216" behindDoc="1" locked="0" layoutInCell="1" allowOverlap="1">
            <wp:simplePos x="0" y="0"/>
            <wp:positionH relativeFrom="column">
              <wp:posOffset>685800</wp:posOffset>
            </wp:positionH>
            <wp:positionV relativeFrom="paragraph">
              <wp:posOffset>342900</wp:posOffset>
            </wp:positionV>
            <wp:extent cx="4020820" cy="2747010"/>
            <wp:effectExtent l="0" t="0" r="0" b="0"/>
            <wp:wrapTopAndBottom/>
            <wp:docPr id="9"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0820" cy="2747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ED9" w:rsidRPr="00B563C5">
        <w:rPr>
          <w:b/>
          <w:noProof/>
          <w:sz w:val="24"/>
          <w:szCs w:val="28"/>
          <w:lang w:val="en-CA" w:eastAsia="en-CA"/>
        </w:rPr>
        <w:t>TABLE</w:t>
      </w:r>
      <w:r w:rsidR="0098721D" w:rsidRPr="00B563C5">
        <w:rPr>
          <w:b/>
          <w:noProof/>
          <w:sz w:val="24"/>
          <w:szCs w:val="28"/>
          <w:lang w:val="en-CA" w:eastAsia="en-CA"/>
        </w:rPr>
        <w:t xml:space="preserve"> 1: Top ten count</w:t>
      </w:r>
      <w:r w:rsidR="00B20ED9" w:rsidRPr="00B563C5">
        <w:rPr>
          <w:b/>
          <w:noProof/>
          <w:sz w:val="24"/>
          <w:szCs w:val="28"/>
          <w:lang w:val="en-CA" w:eastAsia="en-CA"/>
        </w:rPr>
        <w:t>ries with total number of sponso</w:t>
      </w:r>
      <w:r w:rsidR="00B563C5">
        <w:rPr>
          <w:b/>
          <w:noProof/>
          <w:sz w:val="24"/>
          <w:szCs w:val="28"/>
          <w:lang w:val="en-CA" w:eastAsia="en-CA"/>
        </w:rPr>
        <w:t>red spouses (Oct</w:t>
      </w:r>
      <w:r w:rsidR="0098721D" w:rsidRPr="00B563C5">
        <w:rPr>
          <w:b/>
          <w:noProof/>
          <w:sz w:val="24"/>
          <w:szCs w:val="28"/>
          <w:lang w:val="en-CA" w:eastAsia="en-CA"/>
        </w:rPr>
        <w:t xml:space="preserve"> 2012 to July 2014)</w:t>
      </w:r>
    </w:p>
    <w:p w:rsidR="0098721D" w:rsidRPr="00B563C5" w:rsidRDefault="0098721D" w:rsidP="0098721D">
      <w:pPr>
        <w:rPr>
          <w:b/>
          <w:noProof/>
          <w:szCs w:val="28"/>
          <w:lang w:val="en-CA" w:eastAsia="en-CA"/>
        </w:rPr>
      </w:pPr>
    </w:p>
    <w:p w:rsidR="0098721D" w:rsidRPr="00B563C5" w:rsidRDefault="00725AD8" w:rsidP="0098721D">
      <w:pPr>
        <w:rPr>
          <w:b/>
          <w:i/>
          <w:noProof/>
          <w:sz w:val="28"/>
          <w:szCs w:val="28"/>
          <w:lang w:val="en-CA" w:eastAsia="en-CA"/>
        </w:rPr>
      </w:pPr>
      <w:r w:rsidRPr="00B563C5">
        <w:rPr>
          <w:i/>
          <w:noProof/>
        </w:rPr>
        <w:drawing>
          <wp:anchor distT="0" distB="0" distL="114300" distR="114300" simplePos="0" relativeHeight="251656192" behindDoc="1" locked="0" layoutInCell="1" allowOverlap="1">
            <wp:simplePos x="0" y="0"/>
            <wp:positionH relativeFrom="column">
              <wp:posOffset>685800</wp:posOffset>
            </wp:positionH>
            <wp:positionV relativeFrom="paragraph">
              <wp:posOffset>481330</wp:posOffset>
            </wp:positionV>
            <wp:extent cx="4020820" cy="2645410"/>
            <wp:effectExtent l="0" t="0" r="0" b="0"/>
            <wp:wrapTopAndBottom/>
            <wp:docPr id="7"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0820" cy="264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ED9" w:rsidRPr="00B563C5">
        <w:rPr>
          <w:b/>
          <w:i/>
          <w:noProof/>
          <w:sz w:val="24"/>
          <w:szCs w:val="28"/>
          <w:lang w:val="en-CA" w:eastAsia="en-CA"/>
        </w:rPr>
        <w:t>TABLE 2</w:t>
      </w:r>
      <w:r w:rsidR="0098721D" w:rsidRPr="00B563C5">
        <w:rPr>
          <w:b/>
          <w:i/>
          <w:noProof/>
          <w:sz w:val="24"/>
          <w:szCs w:val="28"/>
          <w:lang w:val="en-CA" w:eastAsia="en-CA"/>
        </w:rPr>
        <w:t>: Top ten countries with largest number of conditional PR (October 2012 to July 2014)</w:t>
      </w:r>
    </w:p>
    <w:p w:rsidR="0098721D" w:rsidRPr="00B20ED9" w:rsidRDefault="0098721D" w:rsidP="00B20ED9">
      <w:pPr>
        <w:spacing w:line="240" w:lineRule="auto"/>
        <w:ind w:left="360"/>
        <w:contextualSpacing/>
        <w:rPr>
          <w:sz w:val="24"/>
          <w:szCs w:val="24"/>
        </w:rPr>
      </w:pPr>
    </w:p>
    <w:p w:rsidR="00EE0659" w:rsidRPr="00B563C5" w:rsidRDefault="00EE0659" w:rsidP="0098721D">
      <w:pPr>
        <w:tabs>
          <w:tab w:val="left" w:pos="967"/>
        </w:tabs>
        <w:rPr>
          <w:rFonts w:cs="Lao UI"/>
          <w:b/>
          <w:sz w:val="20"/>
          <w:szCs w:val="20"/>
        </w:rPr>
      </w:pPr>
      <w:r w:rsidRPr="00B563C5">
        <w:rPr>
          <w:rFonts w:cs="Lao UI"/>
          <w:b/>
          <w:sz w:val="20"/>
          <w:szCs w:val="20"/>
        </w:rPr>
        <w:t>References:</w:t>
      </w:r>
    </w:p>
    <w:p w:rsidR="00EE0659" w:rsidRPr="00B563C5" w:rsidRDefault="00EE0659" w:rsidP="0098721D">
      <w:pPr>
        <w:tabs>
          <w:tab w:val="left" w:pos="967"/>
        </w:tabs>
        <w:rPr>
          <w:rFonts w:cs="Lao UI"/>
          <w:sz w:val="20"/>
          <w:szCs w:val="20"/>
        </w:rPr>
      </w:pPr>
      <w:r w:rsidRPr="00B563C5">
        <w:rPr>
          <w:rFonts w:cs="Lao UI"/>
          <w:sz w:val="20"/>
          <w:szCs w:val="20"/>
        </w:rPr>
        <w:t xml:space="preserve">CIC. (2014, November </w:t>
      </w:r>
      <w:r w:rsidR="005946D3" w:rsidRPr="00B563C5">
        <w:rPr>
          <w:rFonts w:cs="Lao UI"/>
          <w:sz w:val="20"/>
          <w:szCs w:val="20"/>
        </w:rPr>
        <w:t xml:space="preserve">11). </w:t>
      </w:r>
      <w:r w:rsidR="005946D3" w:rsidRPr="00B563C5">
        <w:rPr>
          <w:rFonts w:cs="Lao UI"/>
          <w:i/>
          <w:sz w:val="20"/>
          <w:szCs w:val="20"/>
        </w:rPr>
        <w:t>Facts and figures 2013 – Immigration overview: Permanent residents. Citizenship and Immigration Canada</w:t>
      </w:r>
      <w:r w:rsidR="005946D3" w:rsidRPr="00B563C5">
        <w:rPr>
          <w:rFonts w:cs="Lao UI"/>
          <w:sz w:val="20"/>
          <w:szCs w:val="20"/>
        </w:rPr>
        <w:t>.</w:t>
      </w:r>
      <w:r w:rsidR="00B563C5">
        <w:rPr>
          <w:rFonts w:cs="Lao UI"/>
          <w:sz w:val="20"/>
          <w:szCs w:val="20"/>
        </w:rPr>
        <w:t xml:space="preserve"> Available at</w:t>
      </w:r>
      <w:r w:rsidR="005946D3" w:rsidRPr="00B563C5">
        <w:rPr>
          <w:rFonts w:cs="Lao UI"/>
          <w:sz w:val="20"/>
          <w:szCs w:val="20"/>
        </w:rPr>
        <w:t xml:space="preserve"> </w:t>
      </w:r>
      <w:hyperlink r:id="rId11" w:history="1">
        <w:r w:rsidR="005946D3" w:rsidRPr="00B563C5">
          <w:rPr>
            <w:rStyle w:val="Hyperlink"/>
            <w:rFonts w:cs="Lao UI"/>
            <w:sz w:val="20"/>
            <w:szCs w:val="20"/>
          </w:rPr>
          <w:t>http://www.cic.gc.ca/english/resources/statistics/facts2013/permanent/04.asp</w:t>
        </w:r>
      </w:hyperlink>
    </w:p>
    <w:p w:rsidR="005946D3" w:rsidRPr="00B563C5" w:rsidRDefault="00F85C69" w:rsidP="005946D3">
      <w:pPr>
        <w:spacing w:after="0" w:line="240" w:lineRule="auto"/>
        <w:jc w:val="both"/>
        <w:rPr>
          <w:rFonts w:cs="Consolas"/>
          <w:sz w:val="20"/>
          <w:szCs w:val="20"/>
          <w:lang w:eastAsia="zh-TW"/>
        </w:rPr>
      </w:pPr>
      <w:r w:rsidRPr="00B563C5">
        <w:rPr>
          <w:rFonts w:cs="Consolas"/>
          <w:sz w:val="20"/>
          <w:szCs w:val="20"/>
          <w:lang w:eastAsia="zh-TW"/>
        </w:rPr>
        <w:t xml:space="preserve">CIC. </w:t>
      </w:r>
      <w:r w:rsidR="005946D3" w:rsidRPr="00B563C5">
        <w:rPr>
          <w:rFonts w:cs="Consolas"/>
          <w:sz w:val="20"/>
          <w:szCs w:val="20"/>
          <w:lang w:eastAsia="zh-TW"/>
        </w:rPr>
        <w:t xml:space="preserve">(2014, October 10). </w:t>
      </w:r>
      <w:r w:rsidR="005946D3" w:rsidRPr="00B563C5">
        <w:rPr>
          <w:rFonts w:cs="Consolas"/>
          <w:i/>
          <w:sz w:val="20"/>
          <w:szCs w:val="20"/>
          <w:lang w:eastAsia="zh-TW"/>
        </w:rPr>
        <w:t>Annual report to Parliament on immigration</w:t>
      </w:r>
      <w:r w:rsidR="005946D3" w:rsidRPr="00B563C5">
        <w:rPr>
          <w:rFonts w:cs="Consolas"/>
          <w:sz w:val="20"/>
          <w:szCs w:val="20"/>
          <w:lang w:eastAsia="zh-TW"/>
        </w:rPr>
        <w:t>. Citizenship and I</w:t>
      </w:r>
      <w:r w:rsidR="00B563C5">
        <w:rPr>
          <w:rFonts w:cs="Consolas"/>
          <w:sz w:val="20"/>
          <w:szCs w:val="20"/>
          <w:lang w:eastAsia="zh-TW"/>
        </w:rPr>
        <w:t>mmigration Canada. Available at</w:t>
      </w:r>
    </w:p>
    <w:p w:rsidR="005946D3" w:rsidRPr="00B563C5" w:rsidRDefault="005946D3" w:rsidP="005946D3">
      <w:pPr>
        <w:spacing w:after="0" w:line="240" w:lineRule="auto"/>
        <w:jc w:val="both"/>
        <w:rPr>
          <w:rFonts w:cs="Consolas"/>
          <w:sz w:val="20"/>
          <w:szCs w:val="20"/>
          <w:lang w:eastAsia="zh-TW"/>
        </w:rPr>
      </w:pPr>
      <w:hyperlink r:id="rId12" w:history="1">
        <w:r w:rsidRPr="00B563C5">
          <w:rPr>
            <w:rStyle w:val="Hyperlink"/>
            <w:rFonts w:cs="Consolas"/>
            <w:sz w:val="20"/>
            <w:szCs w:val="20"/>
            <w:lang w:eastAsia="zh-TW"/>
          </w:rPr>
          <w:t>http://www.cic.gc.ca/english/resources/publications/annual-report-2014/index.asp</w:t>
        </w:r>
      </w:hyperlink>
    </w:p>
    <w:p w:rsidR="007F49DD" w:rsidRPr="00B563C5" w:rsidRDefault="007F49DD" w:rsidP="007F49DD">
      <w:pPr>
        <w:tabs>
          <w:tab w:val="left" w:pos="967"/>
        </w:tabs>
        <w:spacing w:after="0"/>
        <w:rPr>
          <w:rFonts w:cs="Lao UI"/>
          <w:sz w:val="20"/>
          <w:szCs w:val="20"/>
        </w:rPr>
      </w:pPr>
    </w:p>
    <w:p w:rsidR="00EE0659" w:rsidRPr="00412128" w:rsidRDefault="007F49DD" w:rsidP="00B563C5">
      <w:pPr>
        <w:tabs>
          <w:tab w:val="left" w:pos="967"/>
        </w:tabs>
        <w:spacing w:after="0"/>
        <w:rPr>
          <w:rFonts w:cs="Lao UI"/>
          <w:sz w:val="24"/>
          <w:szCs w:val="24"/>
        </w:rPr>
      </w:pPr>
      <w:r w:rsidRPr="00B563C5">
        <w:rPr>
          <w:rFonts w:cs="Lao UI"/>
          <w:sz w:val="20"/>
          <w:szCs w:val="20"/>
        </w:rPr>
        <w:t>CIC</w:t>
      </w:r>
      <w:r w:rsidR="00F85C69" w:rsidRPr="00B563C5">
        <w:rPr>
          <w:rFonts w:cs="Lao UI"/>
          <w:sz w:val="20"/>
          <w:szCs w:val="20"/>
        </w:rPr>
        <w:t xml:space="preserve">. </w:t>
      </w:r>
      <w:r w:rsidRPr="00B563C5">
        <w:rPr>
          <w:rFonts w:cs="Lao UI"/>
          <w:sz w:val="20"/>
          <w:szCs w:val="20"/>
        </w:rPr>
        <w:t xml:space="preserve">(2014, June 11). </w:t>
      </w:r>
      <w:r w:rsidRPr="00B563C5">
        <w:rPr>
          <w:rFonts w:cs="Lao UI"/>
          <w:i/>
          <w:sz w:val="20"/>
          <w:szCs w:val="20"/>
        </w:rPr>
        <w:t>Operational Bulletin 480.</w:t>
      </w:r>
      <w:r w:rsidRPr="00B563C5">
        <w:rPr>
          <w:rFonts w:cs="Lao UI"/>
          <w:sz w:val="20"/>
          <w:szCs w:val="20"/>
        </w:rPr>
        <w:t xml:space="preserve"> </w:t>
      </w:r>
      <w:r w:rsidR="00F85C69" w:rsidRPr="00B563C5">
        <w:rPr>
          <w:rFonts w:cs="Lao UI"/>
          <w:i/>
          <w:sz w:val="20"/>
          <w:szCs w:val="20"/>
        </w:rPr>
        <w:t>Conditional permanent residence measure for spouses and partners in relationships of two years or less and who have no children in c</w:t>
      </w:r>
      <w:r w:rsidRPr="00B563C5">
        <w:rPr>
          <w:rFonts w:cs="Lao UI"/>
          <w:i/>
          <w:sz w:val="20"/>
          <w:szCs w:val="20"/>
        </w:rPr>
        <w:t>ommon.</w:t>
      </w:r>
      <w:r w:rsidRPr="00B563C5">
        <w:rPr>
          <w:rFonts w:cs="Lao UI"/>
          <w:sz w:val="20"/>
          <w:szCs w:val="20"/>
        </w:rPr>
        <w:t xml:space="preserve">  Citizenship and Immigration Canada. </w:t>
      </w:r>
      <w:r w:rsidR="00B563C5">
        <w:rPr>
          <w:rFonts w:cs="Lao UI"/>
          <w:sz w:val="20"/>
          <w:szCs w:val="20"/>
        </w:rPr>
        <w:t xml:space="preserve">Available at </w:t>
      </w:r>
      <w:hyperlink r:id="rId13" w:history="1">
        <w:r w:rsidRPr="00B563C5">
          <w:rPr>
            <w:rStyle w:val="Hyperlink"/>
            <w:rFonts w:cs="Lao UI"/>
            <w:sz w:val="20"/>
            <w:szCs w:val="20"/>
          </w:rPr>
          <w:t>http://www.cic.gc.ca/english/resources/manuals/bulletins/2012/ob480.asp</w:t>
        </w:r>
      </w:hyperlink>
    </w:p>
    <w:sectPr w:rsidR="00EE0659" w:rsidRPr="00412128" w:rsidSect="00B563C5">
      <w:headerReference w:type="even" r:id="rId14"/>
      <w:headerReference w:type="default" r:id="rId15"/>
      <w:footerReference w:type="even" r:id="rId16"/>
      <w:footerReference w:type="default" r:id="rId17"/>
      <w:headerReference w:type="first" r:id="rId18"/>
      <w:footerReference w:type="first" r:id="rId19"/>
      <w:pgSz w:w="12240" w:h="15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27B" w:rsidRDefault="00A2227B" w:rsidP="00D62D35">
      <w:pPr>
        <w:spacing w:after="0" w:line="240" w:lineRule="auto"/>
      </w:pPr>
      <w:r>
        <w:separator/>
      </w:r>
    </w:p>
  </w:endnote>
  <w:endnote w:type="continuationSeparator" w:id="0">
    <w:p w:rsidR="00A2227B" w:rsidRDefault="00A2227B" w:rsidP="00D6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ao UI">
    <w:charset w:val="00"/>
    <w:family w:val="swiss"/>
    <w:pitch w:val="variable"/>
    <w:sig w:usb0="0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B5" w:rsidRDefault="00C512B5" w:rsidP="00C51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2B5" w:rsidRDefault="00C512B5" w:rsidP="00B20E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B5" w:rsidRDefault="00C512B5" w:rsidP="00C512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5AD8">
      <w:rPr>
        <w:rStyle w:val="PageNumber"/>
        <w:noProof/>
      </w:rPr>
      <w:t>2</w:t>
    </w:r>
    <w:r>
      <w:rPr>
        <w:rStyle w:val="PageNumber"/>
      </w:rPr>
      <w:fldChar w:fldCharType="end"/>
    </w:r>
  </w:p>
  <w:p w:rsidR="00C512B5" w:rsidRPr="00427906" w:rsidRDefault="00C512B5" w:rsidP="00CF0B1D">
    <w:pPr>
      <w:pStyle w:val="Footer"/>
      <w:pBdr>
        <w:top w:val="single" w:sz="4" w:space="1" w:color="D9D9D9"/>
      </w:pBdr>
      <w:ind w:right="360"/>
      <w:jc w:val="center"/>
    </w:pPr>
    <w:r w:rsidRPr="00427906">
      <w:t>Migrant Mothers Project –Faculty of Soci</w:t>
    </w:r>
    <w:r>
      <w:t>al Work – University of Toronto</w:t>
    </w:r>
  </w:p>
  <w:p w:rsidR="00C512B5" w:rsidRDefault="00C512B5" w:rsidP="00CF0B1D">
    <w:pPr>
      <w:pStyle w:val="Footer"/>
      <w:jc w:val="center"/>
    </w:pPr>
    <w:r w:rsidRPr="00427906">
      <w:t>246 Bloor Street West</w:t>
    </w:r>
    <w:r>
      <w:t xml:space="preserve">, Toronto, Ontario M5S 1V4  </w:t>
    </w:r>
    <w:r w:rsidRPr="00427906">
      <w:t xml:space="preserve"> </w:t>
    </w:r>
    <w:hyperlink r:id="rId1" w:history="1">
      <w:r w:rsidRPr="00427906">
        <w:rPr>
          <w:rStyle w:val="Hyperlink"/>
        </w:rPr>
        <w:t>www.migrantmothersproject.com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C5" w:rsidRDefault="00B56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27B" w:rsidRDefault="00A2227B" w:rsidP="00D62D35">
      <w:pPr>
        <w:spacing w:after="0" w:line="240" w:lineRule="auto"/>
      </w:pPr>
      <w:r>
        <w:separator/>
      </w:r>
    </w:p>
  </w:footnote>
  <w:footnote w:type="continuationSeparator" w:id="0">
    <w:p w:rsidR="00A2227B" w:rsidRDefault="00A2227B" w:rsidP="00D62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C5" w:rsidRDefault="00B56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C5" w:rsidRDefault="00B563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3C5" w:rsidRDefault="00B56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BC2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44BC2"/>
    <w:multiLevelType w:val="hybridMultilevel"/>
    <w:tmpl w:val="0FD6C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C284B"/>
    <w:multiLevelType w:val="hybridMultilevel"/>
    <w:tmpl w:val="0BA895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1890256"/>
    <w:multiLevelType w:val="hybridMultilevel"/>
    <w:tmpl w:val="65BAFC68"/>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AB48FE"/>
    <w:multiLevelType w:val="hybridMultilevel"/>
    <w:tmpl w:val="E5F46F9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C36020A"/>
    <w:multiLevelType w:val="hybridMultilevel"/>
    <w:tmpl w:val="27CC0958"/>
    <w:lvl w:ilvl="0" w:tplc="C408EE0E">
      <w:start w:val="1"/>
      <w:numFmt w:val="decimal"/>
      <w:lvlText w:val="%1."/>
      <w:lvlJc w:val="left"/>
      <w:pPr>
        <w:ind w:left="360" w:hanging="360"/>
      </w:pPr>
      <w:rPr>
        <w:rFonts w:ascii="Calibri" w:hAnsi="Calibri" w:cs="Calibri"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35"/>
    <w:rsid w:val="00007BD8"/>
    <w:rsid w:val="000477BE"/>
    <w:rsid w:val="00070B26"/>
    <w:rsid w:val="000E7FF3"/>
    <w:rsid w:val="000F0C18"/>
    <w:rsid w:val="000F3D91"/>
    <w:rsid w:val="00135554"/>
    <w:rsid w:val="00164E1B"/>
    <w:rsid w:val="001A75CA"/>
    <w:rsid w:val="001C741F"/>
    <w:rsid w:val="00226899"/>
    <w:rsid w:val="002D6C34"/>
    <w:rsid w:val="002E55E6"/>
    <w:rsid w:val="003673FB"/>
    <w:rsid w:val="00371BD7"/>
    <w:rsid w:val="00393CB3"/>
    <w:rsid w:val="003B5680"/>
    <w:rsid w:val="00412128"/>
    <w:rsid w:val="0044502D"/>
    <w:rsid w:val="004556EB"/>
    <w:rsid w:val="00482EED"/>
    <w:rsid w:val="004C7B75"/>
    <w:rsid w:val="00526A0D"/>
    <w:rsid w:val="005946D3"/>
    <w:rsid w:val="006C35C2"/>
    <w:rsid w:val="006C6CCC"/>
    <w:rsid w:val="00702B89"/>
    <w:rsid w:val="00725AD8"/>
    <w:rsid w:val="00771EDE"/>
    <w:rsid w:val="007C7C3D"/>
    <w:rsid w:val="007F49DD"/>
    <w:rsid w:val="00860AB6"/>
    <w:rsid w:val="008C2E43"/>
    <w:rsid w:val="008C5C56"/>
    <w:rsid w:val="00901098"/>
    <w:rsid w:val="00921D50"/>
    <w:rsid w:val="009410EF"/>
    <w:rsid w:val="0098721D"/>
    <w:rsid w:val="009B159D"/>
    <w:rsid w:val="00A2227B"/>
    <w:rsid w:val="00AC137E"/>
    <w:rsid w:val="00AE32DB"/>
    <w:rsid w:val="00AF0564"/>
    <w:rsid w:val="00B13DFC"/>
    <w:rsid w:val="00B20ED9"/>
    <w:rsid w:val="00B21CB4"/>
    <w:rsid w:val="00B41BF8"/>
    <w:rsid w:val="00B4455B"/>
    <w:rsid w:val="00B563C5"/>
    <w:rsid w:val="00B66CF8"/>
    <w:rsid w:val="00BC0703"/>
    <w:rsid w:val="00BD2255"/>
    <w:rsid w:val="00C512B5"/>
    <w:rsid w:val="00C65C5F"/>
    <w:rsid w:val="00CE5F35"/>
    <w:rsid w:val="00CF0B1D"/>
    <w:rsid w:val="00D47B57"/>
    <w:rsid w:val="00D506E8"/>
    <w:rsid w:val="00D55BCD"/>
    <w:rsid w:val="00D62D35"/>
    <w:rsid w:val="00DE5275"/>
    <w:rsid w:val="00E468B9"/>
    <w:rsid w:val="00E82ECD"/>
    <w:rsid w:val="00EA383B"/>
    <w:rsid w:val="00EA6EE2"/>
    <w:rsid w:val="00EA73A1"/>
    <w:rsid w:val="00EB3EA5"/>
    <w:rsid w:val="00EE0659"/>
    <w:rsid w:val="00EF2D86"/>
    <w:rsid w:val="00F06454"/>
    <w:rsid w:val="00F22D7E"/>
    <w:rsid w:val="00F7328E"/>
    <w:rsid w:val="00F85C69"/>
    <w:rsid w:val="00F97C66"/>
    <w:rsid w:val="00FA45FB"/>
    <w:rsid w:val="00FE5C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9B7C809-B4EE-459E-BEA1-0436E1F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D35"/>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2D3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62D35"/>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D62D35"/>
    <w:rPr>
      <w:rFonts w:ascii="Tahoma" w:eastAsia="Calibri" w:hAnsi="Tahoma" w:cs="Tahoma"/>
      <w:sz w:val="16"/>
      <w:szCs w:val="16"/>
      <w:lang w:val="en-US"/>
    </w:rPr>
  </w:style>
  <w:style w:type="paragraph" w:styleId="Header">
    <w:name w:val="header"/>
    <w:basedOn w:val="Normal"/>
    <w:link w:val="HeaderChar"/>
    <w:uiPriority w:val="99"/>
    <w:unhideWhenUsed/>
    <w:rsid w:val="00D62D35"/>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D62D35"/>
    <w:rPr>
      <w:rFonts w:ascii="Calibri" w:eastAsia="Calibri" w:hAnsi="Calibri" w:cs="Times New Roman"/>
      <w:lang w:val="en-US"/>
    </w:rPr>
  </w:style>
  <w:style w:type="paragraph" w:styleId="Footer">
    <w:name w:val="footer"/>
    <w:basedOn w:val="Normal"/>
    <w:link w:val="FooterChar"/>
    <w:uiPriority w:val="99"/>
    <w:unhideWhenUsed/>
    <w:rsid w:val="00D62D35"/>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D62D35"/>
    <w:rPr>
      <w:rFonts w:ascii="Calibri" w:eastAsia="Calibri" w:hAnsi="Calibri" w:cs="Times New Roman"/>
      <w:lang w:val="en-US"/>
    </w:rPr>
  </w:style>
  <w:style w:type="character" w:styleId="Hyperlink">
    <w:name w:val="Hyperlink"/>
    <w:uiPriority w:val="99"/>
    <w:unhideWhenUsed/>
    <w:rsid w:val="00D62D35"/>
    <w:rPr>
      <w:color w:val="0000FF"/>
      <w:u w:val="single"/>
    </w:rPr>
  </w:style>
  <w:style w:type="paragraph" w:styleId="CommentText">
    <w:name w:val="annotation text"/>
    <w:basedOn w:val="Normal"/>
    <w:link w:val="CommentTextChar"/>
    <w:uiPriority w:val="99"/>
    <w:semiHidden/>
    <w:unhideWhenUsed/>
    <w:rsid w:val="00D62D35"/>
    <w:pPr>
      <w:spacing w:line="240" w:lineRule="auto"/>
    </w:pPr>
    <w:rPr>
      <w:sz w:val="20"/>
      <w:szCs w:val="20"/>
      <w:lang w:val="x-none" w:eastAsia="x-none"/>
    </w:rPr>
  </w:style>
  <w:style w:type="character" w:customStyle="1" w:styleId="CommentTextChar">
    <w:name w:val="Comment Text Char"/>
    <w:link w:val="CommentText"/>
    <w:uiPriority w:val="99"/>
    <w:semiHidden/>
    <w:rsid w:val="00D62D35"/>
    <w:rPr>
      <w:rFonts w:ascii="Calibri" w:eastAsia="Calibri" w:hAnsi="Calibri" w:cs="Times New Roman"/>
      <w:sz w:val="20"/>
      <w:szCs w:val="20"/>
      <w:lang w:val="x-none" w:eastAsia="x-none"/>
    </w:rPr>
  </w:style>
  <w:style w:type="paragraph" w:styleId="ColorfulList-Accent1">
    <w:name w:val="Colorful List Accent 1"/>
    <w:basedOn w:val="Normal"/>
    <w:uiPriority w:val="34"/>
    <w:qFormat/>
    <w:rsid w:val="0044502D"/>
    <w:pPr>
      <w:ind w:left="720"/>
      <w:contextualSpacing/>
    </w:pPr>
  </w:style>
  <w:style w:type="character" w:styleId="CommentReference">
    <w:name w:val="annotation reference"/>
    <w:uiPriority w:val="99"/>
    <w:semiHidden/>
    <w:unhideWhenUsed/>
    <w:rsid w:val="00771EDE"/>
    <w:rPr>
      <w:sz w:val="16"/>
      <w:szCs w:val="16"/>
    </w:rPr>
  </w:style>
  <w:style w:type="paragraph" w:styleId="CommentSubject">
    <w:name w:val="annotation subject"/>
    <w:basedOn w:val="CommentText"/>
    <w:next w:val="CommentText"/>
    <w:link w:val="CommentSubjectChar"/>
    <w:uiPriority w:val="99"/>
    <w:semiHidden/>
    <w:unhideWhenUsed/>
    <w:rsid w:val="00771EDE"/>
    <w:pPr>
      <w:spacing w:line="276" w:lineRule="auto"/>
    </w:pPr>
    <w:rPr>
      <w:b/>
      <w:bCs/>
    </w:rPr>
  </w:style>
  <w:style w:type="character" w:customStyle="1" w:styleId="CommentSubjectChar">
    <w:name w:val="Comment Subject Char"/>
    <w:link w:val="CommentSubject"/>
    <w:uiPriority w:val="99"/>
    <w:semiHidden/>
    <w:rsid w:val="00771EDE"/>
    <w:rPr>
      <w:rFonts w:ascii="Calibri" w:eastAsia="Calibri" w:hAnsi="Calibri" w:cs="Times New Roman"/>
      <w:b/>
      <w:bCs/>
      <w:sz w:val="20"/>
      <w:szCs w:val="20"/>
      <w:lang w:val="x-none" w:eastAsia="x-none"/>
    </w:rPr>
  </w:style>
  <w:style w:type="character" w:styleId="PageNumber">
    <w:name w:val="page number"/>
    <w:uiPriority w:val="99"/>
    <w:semiHidden/>
    <w:unhideWhenUsed/>
    <w:rsid w:val="00B20ED9"/>
  </w:style>
  <w:style w:type="character" w:styleId="FollowedHyperlink">
    <w:name w:val="FollowedHyperlink"/>
    <w:uiPriority w:val="99"/>
    <w:semiHidden/>
    <w:unhideWhenUsed/>
    <w:rsid w:val="00EE06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52872">
      <w:bodyDiv w:val="1"/>
      <w:marLeft w:val="0"/>
      <w:marRight w:val="0"/>
      <w:marTop w:val="0"/>
      <w:marBottom w:val="0"/>
      <w:divBdr>
        <w:top w:val="none" w:sz="0" w:space="0" w:color="auto"/>
        <w:left w:val="none" w:sz="0" w:space="0" w:color="auto"/>
        <w:bottom w:val="none" w:sz="0" w:space="0" w:color="auto"/>
        <w:right w:val="none" w:sz="0" w:space="0" w:color="auto"/>
      </w:divBdr>
    </w:div>
    <w:div w:id="20154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c.gc.ca/english/resources/manuals/bulletins/2012/ob480.as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c.gc.ca/english/resources/publications/annual-report-2014/index.a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gc.ca/english/resources/statistics/facts2013/permanent/04.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igrantmothers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C351-6BD6-4C64-898D-8DF8E15F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3439</CharactersWithSpaces>
  <SharedDoc>false</SharedDoc>
  <HLinks>
    <vt:vector size="24" baseType="variant">
      <vt:variant>
        <vt:i4>3080231</vt:i4>
      </vt:variant>
      <vt:variant>
        <vt:i4>12</vt:i4>
      </vt:variant>
      <vt:variant>
        <vt:i4>0</vt:i4>
      </vt:variant>
      <vt:variant>
        <vt:i4>5</vt:i4>
      </vt:variant>
      <vt:variant>
        <vt:lpwstr>http://www.cic.gc.ca/english/resources/manuals/bulletins/2012/ob480.asp</vt:lpwstr>
      </vt:variant>
      <vt:variant>
        <vt:lpwstr/>
      </vt:variant>
      <vt:variant>
        <vt:i4>1835009</vt:i4>
      </vt:variant>
      <vt:variant>
        <vt:i4>9</vt:i4>
      </vt:variant>
      <vt:variant>
        <vt:i4>0</vt:i4>
      </vt:variant>
      <vt:variant>
        <vt:i4>5</vt:i4>
      </vt:variant>
      <vt:variant>
        <vt:lpwstr>http://www.cic.gc.ca/english/resources/publications/annual-report-2014/index.asp</vt:lpwstr>
      </vt:variant>
      <vt:variant>
        <vt:lpwstr/>
      </vt:variant>
      <vt:variant>
        <vt:i4>1835095</vt:i4>
      </vt:variant>
      <vt:variant>
        <vt:i4>6</vt:i4>
      </vt:variant>
      <vt:variant>
        <vt:i4>0</vt:i4>
      </vt:variant>
      <vt:variant>
        <vt:i4>5</vt:i4>
      </vt:variant>
      <vt:variant>
        <vt:lpwstr>http://www.cic.gc.ca/english/resources/statistics/facts2013/permanent/04.asp</vt:lpwstr>
      </vt:variant>
      <vt:variant>
        <vt:lpwstr/>
      </vt:variant>
      <vt:variant>
        <vt:i4>4259856</vt:i4>
      </vt:variant>
      <vt:variant>
        <vt:i4>5</vt:i4>
      </vt:variant>
      <vt:variant>
        <vt:i4>0</vt:i4>
      </vt:variant>
      <vt:variant>
        <vt:i4>5</vt:i4>
      </vt:variant>
      <vt:variant>
        <vt:lpwstr>http://www.migrantmothersproject.com/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fvillan</dc:creator>
  <cp:keywords/>
  <cp:lastModifiedBy>ALI JAVED</cp:lastModifiedBy>
  <cp:revision>2</cp:revision>
  <dcterms:created xsi:type="dcterms:W3CDTF">2020-01-08T15:58:00Z</dcterms:created>
  <dcterms:modified xsi:type="dcterms:W3CDTF">2020-01-08T15:58:00Z</dcterms:modified>
</cp:coreProperties>
</file>