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486E" w14:textId="059F152B" w:rsidR="001C3323" w:rsidRPr="00DB26D7" w:rsidRDefault="001C3323" w:rsidP="00324D00">
      <w:pPr>
        <w:pBdr>
          <w:bottom w:val="thinThickThinSmallGap" w:sz="24" w:space="1" w:color="61481C"/>
        </w:pBdr>
        <w:spacing w:line="276" w:lineRule="auto"/>
        <w:jc w:val="center"/>
        <w:rPr>
          <w:rFonts w:ascii="Corbel" w:hAnsi="Corbel"/>
          <w:b/>
          <w:bCs/>
          <w:sz w:val="40"/>
          <w:szCs w:val="40"/>
          <w:lang w:eastAsia="en-GB"/>
        </w:rPr>
      </w:pPr>
      <w:r w:rsidRPr="00DB26D7">
        <w:rPr>
          <w:rFonts w:ascii="Corbel" w:hAnsi="Corbel"/>
          <w:b/>
          <w:bCs/>
          <w:sz w:val="40"/>
          <w:szCs w:val="40"/>
          <w:lang w:eastAsia="en-GB"/>
        </w:rPr>
        <w:t>Document Retention Policy</w:t>
      </w:r>
    </w:p>
    <w:p w14:paraId="0EEBFCB5" w14:textId="24748201"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Reasons for Policy</w:t>
      </w:r>
      <w:r w:rsidR="001C3323" w:rsidRPr="00B06288">
        <w:rPr>
          <w:rFonts w:ascii="Corbel" w:hAnsi="Corbel"/>
          <w:b/>
          <w:bCs/>
          <w:sz w:val="28"/>
          <w:szCs w:val="28"/>
          <w:lang w:eastAsia="en-GB"/>
        </w:rPr>
        <w:t>:</w:t>
      </w:r>
    </w:p>
    <w:p w14:paraId="0E4A690C" w14:textId="6942BCC4"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 xml:space="preserve">The preservation of corporate information for </w:t>
      </w:r>
      <w:r w:rsidR="001C3323" w:rsidRPr="00B06288">
        <w:rPr>
          <w:rFonts w:ascii="Corbel" w:hAnsi="Corbel"/>
          <w:sz w:val="24"/>
          <w:szCs w:val="24"/>
          <w:lang w:eastAsia="en-GB"/>
        </w:rPr>
        <w:fldChar w:fldCharType="begin">
          <w:ffData>
            <w:name w:val="Text1"/>
            <w:enabled/>
            <w:calcOnExit w:val="0"/>
            <w:textInput>
              <w:default w:val="[COMPANY NAME]"/>
            </w:textInput>
          </w:ffData>
        </w:fldChar>
      </w:r>
      <w:bookmarkStart w:id="0" w:name="Text1"/>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bookmarkEnd w:id="0"/>
      <w:r w:rsidRPr="00B06288">
        <w:rPr>
          <w:rFonts w:ascii="Corbel" w:hAnsi="Corbel"/>
          <w:sz w:val="24"/>
          <w:szCs w:val="24"/>
          <w:lang w:eastAsia="en-GB"/>
        </w:rPr>
        <w:t xml:space="preserve"> and its subsidiaries is essential to its business operations and employee management.</w:t>
      </w:r>
    </w:p>
    <w:p w14:paraId="57ACBB2A" w14:textId="11F50F5A"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 xml:space="preserve">Compliance with federal and state laws requires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xml:space="preserve"> to retain certain records for specific periods. Failure to retain these records can lead to severe consequences for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xml:space="preserve"> and its employees, including fines, penalties, obstruction of justice charges, and other legal liabilities.</w:t>
      </w:r>
    </w:p>
    <w:p w14:paraId="189510E1" w14:textId="0D85FCE9"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 xml:space="preserve">Certain records hold lasting business value, serving as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xml:space="preserve">'s corporate memory, safeguarding legal interests, and ensuring operational continuity. Additionally, records must be kept </w:t>
      </w:r>
      <w:r w:rsidR="001C3323" w:rsidRPr="00B06288">
        <w:rPr>
          <w:rFonts w:ascii="Corbel" w:hAnsi="Corbel"/>
          <w:sz w:val="24"/>
          <w:szCs w:val="24"/>
          <w:lang w:eastAsia="en-GB"/>
        </w:rPr>
        <w:t>satisfying</w:t>
      </w:r>
      <w:r w:rsidRPr="00B06288">
        <w:rPr>
          <w:rFonts w:ascii="Corbel" w:hAnsi="Corbel"/>
          <w:sz w:val="24"/>
          <w:szCs w:val="24"/>
          <w:lang w:eastAsia="en-GB"/>
        </w:rPr>
        <w:t xml:space="preserve"> legal, accounting, or regulatory requirements.</w:t>
      </w:r>
    </w:p>
    <w:p w14:paraId="29B53A51" w14:textId="1955ECD8"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 xml:space="preserve">Inappropriate destruction of any records, files, documents, or information is strictly prohibited.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xml:space="preserve"> adheres to the Sarbanes-Oxley Act of 2002, making it a crime to alter, conceal, falsify, or destroy records to obstruct any official proceeding.</w:t>
      </w:r>
    </w:p>
    <w:p w14:paraId="288B0035" w14:textId="6F04C0C7"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Types of Documents</w:t>
      </w:r>
      <w:r w:rsidR="001C3323" w:rsidRPr="00B06288">
        <w:rPr>
          <w:rFonts w:ascii="Corbel" w:hAnsi="Corbel"/>
          <w:b/>
          <w:bCs/>
          <w:sz w:val="28"/>
          <w:szCs w:val="28"/>
          <w:lang w:eastAsia="en-GB"/>
        </w:rPr>
        <w:t>:</w:t>
      </w:r>
    </w:p>
    <w:p w14:paraId="7793AF5E" w14:textId="77777777"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This policy outlines distinctions among records, disposable information, and confidential information belonging to others.</w:t>
      </w:r>
    </w:p>
    <w:p w14:paraId="77BB993D" w14:textId="4C980607" w:rsidR="00D35302" w:rsidRPr="00B06288" w:rsidRDefault="00D35302" w:rsidP="001C3323">
      <w:pPr>
        <w:spacing w:line="276" w:lineRule="auto"/>
        <w:rPr>
          <w:rFonts w:ascii="Corbel" w:hAnsi="Corbel"/>
          <w:sz w:val="24"/>
          <w:szCs w:val="24"/>
          <w:lang w:eastAsia="en-GB"/>
        </w:rPr>
      </w:pPr>
      <w:r w:rsidRPr="00B06288">
        <w:rPr>
          <w:rFonts w:ascii="Corbel" w:hAnsi="Corbel"/>
          <w:b/>
          <w:bCs/>
          <w:sz w:val="24"/>
          <w:szCs w:val="24"/>
          <w:lang w:eastAsia="en-GB"/>
        </w:rPr>
        <w:t>Records:</w:t>
      </w:r>
      <w:r w:rsidRPr="00B06288">
        <w:rPr>
          <w:rFonts w:ascii="Corbel" w:hAnsi="Corbel"/>
          <w:sz w:val="24"/>
          <w:szCs w:val="24"/>
          <w:lang w:eastAsia="en-GB"/>
        </w:rPr>
        <w:t xml:space="preserve"> Any information created, received, or transmitted during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xml:space="preserve">'s business transactions, regardless of the format, constitutes a record. Examples include appointment books, contracts, emails, invoices, and voicemails. All records listed in the Records Retention Schedule must be retained for the indicated </w:t>
      </w:r>
      <w:r w:rsidR="001C3323" w:rsidRPr="00B06288">
        <w:rPr>
          <w:rFonts w:ascii="Corbel" w:hAnsi="Corbel"/>
          <w:sz w:val="24"/>
          <w:szCs w:val="24"/>
          <w:lang w:eastAsia="en-GB"/>
        </w:rPr>
        <w:t>time unless</w:t>
      </w:r>
      <w:r w:rsidRPr="00B06288">
        <w:rPr>
          <w:rFonts w:ascii="Corbel" w:hAnsi="Corbel"/>
          <w:sz w:val="24"/>
          <w:szCs w:val="24"/>
          <w:lang w:eastAsia="en-GB"/>
        </w:rPr>
        <w:t xml:space="preserve"> a valid business reason or special situation requires extended retention.</w:t>
      </w:r>
    </w:p>
    <w:p w14:paraId="72F2AF2B" w14:textId="77777777" w:rsidR="00D35302" w:rsidRPr="00B06288" w:rsidRDefault="00D35302" w:rsidP="001C3323">
      <w:pPr>
        <w:spacing w:line="276" w:lineRule="auto"/>
        <w:rPr>
          <w:rFonts w:ascii="Corbel" w:hAnsi="Corbel"/>
          <w:sz w:val="24"/>
          <w:szCs w:val="24"/>
          <w:lang w:eastAsia="en-GB"/>
        </w:rPr>
      </w:pPr>
      <w:r w:rsidRPr="00B06288">
        <w:rPr>
          <w:rFonts w:ascii="Corbel" w:hAnsi="Corbel"/>
          <w:b/>
          <w:bCs/>
          <w:sz w:val="24"/>
          <w:szCs w:val="24"/>
          <w:lang w:eastAsia="en-GB"/>
        </w:rPr>
        <w:t>Disposable Information:</w:t>
      </w:r>
      <w:r w:rsidRPr="00B06288">
        <w:rPr>
          <w:rFonts w:ascii="Corbel" w:hAnsi="Corbel"/>
          <w:sz w:val="24"/>
          <w:szCs w:val="24"/>
          <w:lang w:eastAsia="en-GB"/>
        </w:rPr>
        <w:t xml:space="preserve"> Data that serves a temporary purpose and is safe to discard falls under disposable information. Examples include duplicates of originals, preliminary drafts, and materials obtained from external sources for reference. Spam and junk mail may also be considered disposable information.</w:t>
      </w:r>
    </w:p>
    <w:p w14:paraId="6337081E" w14:textId="5930A41C" w:rsidR="00D35302" w:rsidRPr="00B06288" w:rsidRDefault="00D35302" w:rsidP="001C3323">
      <w:pPr>
        <w:spacing w:line="276" w:lineRule="auto"/>
        <w:rPr>
          <w:rFonts w:ascii="Corbel" w:hAnsi="Corbel"/>
          <w:sz w:val="24"/>
          <w:szCs w:val="24"/>
          <w:lang w:eastAsia="en-GB"/>
        </w:rPr>
      </w:pPr>
      <w:r w:rsidRPr="00B06288">
        <w:rPr>
          <w:rFonts w:ascii="Corbel" w:hAnsi="Corbel"/>
          <w:b/>
          <w:bCs/>
          <w:sz w:val="24"/>
          <w:szCs w:val="24"/>
          <w:lang w:eastAsia="en-GB"/>
        </w:rPr>
        <w:t>Confidential Information Belonging to Others:</w:t>
      </w:r>
      <w:r w:rsidRPr="00B06288">
        <w:rPr>
          <w:rFonts w:ascii="Corbel" w:hAnsi="Corbel"/>
          <w:sz w:val="24"/>
          <w:szCs w:val="24"/>
          <w:lang w:eastAsia="en-GB"/>
        </w:rPr>
        <w:t xml:space="preserve"> Any confidential information obtained from external sources, such as previous employers, should not be disclosed or used by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Unsolicited confidential information received should be refused, returned, and deleted if received via the internet.</w:t>
      </w:r>
    </w:p>
    <w:p w14:paraId="513F5EB5" w14:textId="24648370"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Mandatory Compliance</w:t>
      </w:r>
      <w:r w:rsidR="001C3323" w:rsidRPr="00B06288">
        <w:rPr>
          <w:rFonts w:ascii="Corbel" w:hAnsi="Corbel"/>
          <w:b/>
          <w:bCs/>
          <w:sz w:val="28"/>
          <w:szCs w:val="28"/>
          <w:lang w:eastAsia="en-GB"/>
        </w:rPr>
        <w:t>:</w:t>
      </w:r>
    </w:p>
    <w:p w14:paraId="0721309B" w14:textId="446DE336"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 xml:space="preserve">Every employee of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xml:space="preserve"> is required to comply with this policy, the Records Retention Schedule, and any litigation hold communications. Failure to do so may lead to disciplinary action, including suspension or termination.</w:t>
      </w:r>
    </w:p>
    <w:p w14:paraId="1F525E89" w14:textId="3F131DF4"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lastRenderedPageBreak/>
        <w:t>Reporting Policy Violations</w:t>
      </w:r>
      <w:r w:rsidR="001C3323" w:rsidRPr="00B06288">
        <w:rPr>
          <w:rFonts w:ascii="Corbel" w:hAnsi="Corbel"/>
          <w:b/>
          <w:bCs/>
          <w:sz w:val="28"/>
          <w:szCs w:val="28"/>
          <w:lang w:eastAsia="en-GB"/>
        </w:rPr>
        <w:t>:</w:t>
      </w:r>
    </w:p>
    <w:p w14:paraId="36017866" w14:textId="5D9285F7" w:rsidR="00D35302" w:rsidRPr="00B06288" w:rsidRDefault="001C3323" w:rsidP="001C3323">
      <w:pPr>
        <w:spacing w:line="276" w:lineRule="auto"/>
        <w:rPr>
          <w:rFonts w:ascii="Corbel" w:hAnsi="Corbel"/>
          <w:sz w:val="24"/>
          <w:szCs w:val="24"/>
          <w:lang w:eastAsia="en-GB"/>
        </w:rPr>
      </w:pPr>
      <w:r w:rsidRPr="00B06288">
        <w:rPr>
          <w:rFonts w:ascii="Corbel" w:hAnsi="Corbel"/>
          <w:sz w:val="24"/>
          <w:szCs w:val="24"/>
          <w:lang w:eastAsia="en-GB"/>
        </w:rPr>
        <w:fldChar w:fldCharType="begin">
          <w:ffData>
            <w:name w:val="Text1"/>
            <w:enabled/>
            <w:calcOnExit w:val="0"/>
            <w:textInput>
              <w:default w:val="[COMPANY NAME]"/>
            </w:textInput>
          </w:ffData>
        </w:fldChar>
      </w:r>
      <w:r w:rsidRPr="00B06288">
        <w:rPr>
          <w:rFonts w:ascii="Corbel" w:hAnsi="Corbel"/>
          <w:sz w:val="24"/>
          <w:szCs w:val="24"/>
          <w:lang w:eastAsia="en-GB"/>
        </w:rPr>
        <w:instrText xml:space="preserve"> FORMTEXT </w:instrText>
      </w:r>
      <w:r w:rsidRPr="00B06288">
        <w:rPr>
          <w:rFonts w:ascii="Corbel" w:hAnsi="Corbel"/>
          <w:sz w:val="24"/>
          <w:szCs w:val="24"/>
          <w:lang w:eastAsia="en-GB"/>
        </w:rPr>
      </w:r>
      <w:r w:rsidRPr="00B06288">
        <w:rPr>
          <w:rFonts w:ascii="Corbel" w:hAnsi="Corbel"/>
          <w:sz w:val="24"/>
          <w:szCs w:val="24"/>
          <w:lang w:eastAsia="en-GB"/>
        </w:rPr>
        <w:fldChar w:fldCharType="separate"/>
      </w:r>
      <w:r w:rsidRPr="00B06288">
        <w:rPr>
          <w:rFonts w:ascii="Corbel" w:hAnsi="Corbel"/>
          <w:noProof/>
          <w:sz w:val="24"/>
          <w:szCs w:val="24"/>
          <w:lang w:eastAsia="en-GB"/>
        </w:rPr>
        <w:t>[COMPANY NAME]</w:t>
      </w:r>
      <w:r w:rsidRPr="00B06288">
        <w:rPr>
          <w:rFonts w:ascii="Corbel" w:hAnsi="Corbel"/>
          <w:sz w:val="24"/>
          <w:szCs w:val="24"/>
          <w:lang w:eastAsia="en-GB"/>
        </w:rPr>
        <w:fldChar w:fldCharType="end"/>
      </w:r>
      <w:r w:rsidR="00D35302" w:rsidRPr="00B06288">
        <w:rPr>
          <w:rFonts w:ascii="Corbel" w:hAnsi="Corbel"/>
          <w:sz w:val="24"/>
          <w:szCs w:val="24"/>
          <w:lang w:eastAsia="en-GB"/>
        </w:rPr>
        <w:t xml:space="preserve"> encourages employees to report any policy violations promptly. Employees may report incidents to their supervisors or the </w:t>
      </w:r>
      <w:r w:rsidRPr="00B06288">
        <w:rPr>
          <w:rFonts w:ascii="Corbel" w:hAnsi="Corbel"/>
          <w:sz w:val="24"/>
          <w:szCs w:val="24"/>
          <w:lang w:eastAsia="en-GB"/>
        </w:rPr>
        <w:fldChar w:fldCharType="begin">
          <w:ffData>
            <w:name w:val="Text2"/>
            <w:enabled/>
            <w:calcOnExit w:val="0"/>
            <w:textInput>
              <w:default w:val="[Records Management Officer/manager at the next level above]"/>
            </w:textInput>
          </w:ffData>
        </w:fldChar>
      </w:r>
      <w:bookmarkStart w:id="1" w:name="Text2"/>
      <w:r w:rsidRPr="00B06288">
        <w:rPr>
          <w:rFonts w:ascii="Corbel" w:hAnsi="Corbel"/>
          <w:sz w:val="24"/>
          <w:szCs w:val="24"/>
          <w:lang w:eastAsia="en-GB"/>
        </w:rPr>
        <w:instrText xml:space="preserve"> FORMTEXT </w:instrText>
      </w:r>
      <w:r w:rsidRPr="00B06288">
        <w:rPr>
          <w:rFonts w:ascii="Corbel" w:hAnsi="Corbel"/>
          <w:sz w:val="24"/>
          <w:szCs w:val="24"/>
          <w:lang w:eastAsia="en-GB"/>
        </w:rPr>
      </w:r>
      <w:r w:rsidRPr="00B06288">
        <w:rPr>
          <w:rFonts w:ascii="Corbel" w:hAnsi="Corbel"/>
          <w:sz w:val="24"/>
          <w:szCs w:val="24"/>
          <w:lang w:eastAsia="en-GB"/>
        </w:rPr>
        <w:fldChar w:fldCharType="separate"/>
      </w:r>
      <w:r w:rsidRPr="00B06288">
        <w:rPr>
          <w:rFonts w:ascii="Corbel" w:hAnsi="Corbel"/>
          <w:noProof/>
          <w:sz w:val="24"/>
          <w:szCs w:val="24"/>
          <w:lang w:eastAsia="en-GB"/>
        </w:rPr>
        <w:t>[Records Management Officer/manager at the next level above]</w:t>
      </w:r>
      <w:r w:rsidRPr="00B06288">
        <w:rPr>
          <w:rFonts w:ascii="Corbel" w:hAnsi="Corbel"/>
          <w:sz w:val="24"/>
          <w:szCs w:val="24"/>
          <w:lang w:eastAsia="en-GB"/>
        </w:rPr>
        <w:fldChar w:fldCharType="end"/>
      </w:r>
      <w:bookmarkEnd w:id="1"/>
      <w:r w:rsidR="00D35302" w:rsidRPr="00B06288">
        <w:rPr>
          <w:rFonts w:ascii="Corbel" w:hAnsi="Corbel"/>
          <w:sz w:val="24"/>
          <w:szCs w:val="24"/>
          <w:lang w:eastAsia="en-GB"/>
        </w:rPr>
        <w:t>. No employee will face retaliation for reporting violations or cooperating in related investigations.</w:t>
      </w:r>
    </w:p>
    <w:p w14:paraId="7174B798" w14:textId="5B70F14E"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Records Management Department and Records Management Officer</w:t>
      </w:r>
      <w:r w:rsidR="001C3323" w:rsidRPr="00B06288">
        <w:rPr>
          <w:rFonts w:ascii="Corbel" w:hAnsi="Corbel"/>
          <w:b/>
          <w:bCs/>
          <w:sz w:val="28"/>
          <w:szCs w:val="28"/>
          <w:lang w:eastAsia="en-GB"/>
        </w:rPr>
        <w:t>:</w:t>
      </w:r>
    </w:p>
    <w:p w14:paraId="25B43A8E" w14:textId="585C7BC3"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 xml:space="preserve">The Records Management Department, led by the designated Records Management Officer </w:t>
      </w:r>
      <w:r w:rsidR="001C3323" w:rsidRPr="00B06288">
        <w:rPr>
          <w:rFonts w:ascii="Corbel" w:hAnsi="Corbel"/>
          <w:sz w:val="24"/>
          <w:szCs w:val="24"/>
          <w:lang w:eastAsia="en-GB"/>
        </w:rPr>
        <w:fldChar w:fldCharType="begin">
          <w:ffData>
            <w:name w:val="Text3"/>
            <w:enabled/>
            <w:calcOnExit w:val="0"/>
            <w:textInput>
              <w:default w:val="[EMPLOYEE NAME]"/>
            </w:textInput>
          </w:ffData>
        </w:fldChar>
      </w:r>
      <w:bookmarkStart w:id="2" w:name="Text3"/>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[EMPLOYEE NAME]</w:t>
      </w:r>
      <w:r w:rsidR="001C3323" w:rsidRPr="00B06288">
        <w:rPr>
          <w:rFonts w:ascii="Corbel" w:hAnsi="Corbel"/>
          <w:sz w:val="24"/>
          <w:szCs w:val="24"/>
          <w:lang w:eastAsia="en-GB"/>
        </w:rPr>
        <w:fldChar w:fldCharType="end"/>
      </w:r>
      <w:bookmarkEnd w:id="2"/>
      <w:r w:rsidRPr="00B06288">
        <w:rPr>
          <w:rFonts w:ascii="Corbel" w:hAnsi="Corbel"/>
          <w:sz w:val="24"/>
          <w:szCs w:val="24"/>
          <w:lang w:eastAsia="en-GB"/>
        </w:rPr>
        <w:t>, is responsible for:</w:t>
      </w:r>
    </w:p>
    <w:p w14:paraId="0E3728A3"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Administering the document management program and implementing best practices.</w:t>
      </w:r>
    </w:p>
    <w:p w14:paraId="751EC0E4"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Developing document disposal policies and procedures.</w:t>
      </w:r>
    </w:p>
    <w:p w14:paraId="37DAD634"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Ensuring compliance across departments and assisting in record management.</w:t>
      </w:r>
    </w:p>
    <w:p w14:paraId="6158479B" w14:textId="31CB6EA9"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 xml:space="preserve">Safeguarding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's records and efficiently using storage space.</w:t>
      </w:r>
    </w:p>
    <w:p w14:paraId="12BFE06D"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Establishing disaster plans for operational continuity.</w:t>
      </w:r>
    </w:p>
    <w:p w14:paraId="66116447"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Preserving historically valuable records.</w:t>
      </w:r>
    </w:p>
    <w:p w14:paraId="4440D7DA"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Providing document management advice and assistance to all departments.</w:t>
      </w:r>
    </w:p>
    <w:p w14:paraId="06A59ACB"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Ensuring adherence to state and federal regulations.</w:t>
      </w:r>
    </w:p>
    <w:p w14:paraId="1A3013FF" w14:textId="77777777" w:rsidR="00D35302" w:rsidRPr="00B06288" w:rsidRDefault="00D35302" w:rsidP="001C3323">
      <w:pPr>
        <w:pStyle w:val="ListParagraph"/>
        <w:numPr>
          <w:ilvl w:val="0"/>
          <w:numId w:val="2"/>
        </w:numPr>
        <w:spacing w:line="276" w:lineRule="auto"/>
        <w:rPr>
          <w:rFonts w:ascii="Corbel" w:hAnsi="Corbel"/>
          <w:sz w:val="24"/>
          <w:szCs w:val="24"/>
          <w:lang w:eastAsia="en-GB"/>
        </w:rPr>
      </w:pPr>
      <w:r w:rsidRPr="00B06288">
        <w:rPr>
          <w:rFonts w:ascii="Corbel" w:hAnsi="Corbel"/>
          <w:sz w:val="24"/>
          <w:szCs w:val="24"/>
          <w:lang w:eastAsia="en-GB"/>
        </w:rPr>
        <w:t>Reporting annually on the implementation of the document management program.</w:t>
      </w:r>
    </w:p>
    <w:p w14:paraId="417BE498" w14:textId="77777777"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How to Store and Destroy Records</w:t>
      </w:r>
    </w:p>
    <w:p w14:paraId="48FD7595" w14:textId="7C441578"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 xml:space="preserve">All records of </w:t>
      </w:r>
      <w:r w:rsidR="001C3323" w:rsidRPr="00B06288">
        <w:rPr>
          <w:rFonts w:ascii="Corbel" w:hAnsi="Corbel"/>
          <w:sz w:val="24"/>
          <w:szCs w:val="24"/>
          <w:lang w:eastAsia="en-GB"/>
        </w:rPr>
        <w:fldChar w:fldCharType="begin">
          <w:ffData>
            <w:name w:val="Text1"/>
            <w:enabled/>
            <w:calcOnExit w:val="0"/>
            <w:textInput>
              <w:default w:val="[COMPANY NAME]"/>
            </w:textInput>
          </w:ffData>
        </w:fldChar>
      </w:r>
      <w:r w:rsidR="001C3323" w:rsidRPr="00B06288">
        <w:rPr>
          <w:rFonts w:ascii="Corbel" w:hAnsi="Corbel"/>
          <w:sz w:val="24"/>
          <w:szCs w:val="24"/>
          <w:lang w:eastAsia="en-GB"/>
        </w:rPr>
        <w:instrText xml:space="preserve"> FORMTEXT </w:instrText>
      </w:r>
      <w:r w:rsidR="001C3323" w:rsidRPr="00B06288">
        <w:rPr>
          <w:rFonts w:ascii="Corbel" w:hAnsi="Corbel"/>
          <w:sz w:val="24"/>
          <w:szCs w:val="24"/>
          <w:lang w:eastAsia="en-GB"/>
        </w:rPr>
      </w:r>
      <w:r w:rsidR="001C3323" w:rsidRPr="00B06288">
        <w:rPr>
          <w:rFonts w:ascii="Corbel" w:hAnsi="Corbel"/>
          <w:sz w:val="24"/>
          <w:szCs w:val="24"/>
          <w:lang w:eastAsia="en-GB"/>
        </w:rPr>
        <w:fldChar w:fldCharType="separate"/>
      </w:r>
      <w:r w:rsidR="001C3323" w:rsidRPr="00B06288">
        <w:rPr>
          <w:rFonts w:ascii="Corbel" w:hAnsi="Corbel"/>
          <w:noProof/>
          <w:sz w:val="24"/>
          <w:szCs w:val="24"/>
          <w:lang w:eastAsia="en-GB"/>
        </w:rPr>
        <w:t>[COMPANY NAME]</w:t>
      </w:r>
      <w:r w:rsidR="001C3323" w:rsidRPr="00B06288">
        <w:rPr>
          <w:rFonts w:ascii="Corbel" w:hAnsi="Corbel"/>
          <w:sz w:val="24"/>
          <w:szCs w:val="24"/>
          <w:lang w:eastAsia="en-GB"/>
        </w:rPr>
        <w:fldChar w:fldCharType="end"/>
      </w:r>
      <w:r w:rsidRPr="00B06288">
        <w:rPr>
          <w:rFonts w:ascii="Corbel" w:hAnsi="Corbel"/>
          <w:sz w:val="24"/>
          <w:szCs w:val="24"/>
          <w:lang w:eastAsia="en-GB"/>
        </w:rPr>
        <w:t xml:space="preserve"> must be stored securely and accessibly. Essential documents should be duplicated and/or backed up off-site for business continuity during emergencies.</w:t>
      </w:r>
    </w:p>
    <w:p w14:paraId="3E94B137" w14:textId="77777777"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The Records Management Officer is responsible for supervising the destruction of records that have met their retention period. Confidential, financial, and personnel-related records must be shredded if possible. Non-confidential records may be recycled. Destruction must halt immediately upon receiving a litigation hold notification and can resume once the hold is lifted.</w:t>
      </w:r>
    </w:p>
    <w:p w14:paraId="695F6DE2" w14:textId="5A85BA53"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Litigation Holds and Other Special Situations</w:t>
      </w:r>
      <w:r w:rsidR="004A27F7" w:rsidRPr="00B06288">
        <w:rPr>
          <w:rFonts w:ascii="Corbel" w:hAnsi="Corbel"/>
          <w:b/>
          <w:bCs/>
          <w:sz w:val="28"/>
          <w:szCs w:val="28"/>
          <w:lang w:eastAsia="en-GB"/>
        </w:rPr>
        <w:t>:</w:t>
      </w:r>
    </w:p>
    <w:p w14:paraId="0D076E51" w14:textId="77777777"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If records are relevant to ongoing or potential litigation, government investigation, or other events, employees must preserve and not delete, dispose, or change those records until cleared by the Legal Department. Routine document disposal may be suspended in certain circumstances, such as mergers or system replacements.</w:t>
      </w:r>
    </w:p>
    <w:p w14:paraId="711FCC86" w14:textId="5749E77E"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Audits and Employee Questions</w:t>
      </w:r>
      <w:r w:rsidR="004A27F7" w:rsidRPr="00B06288">
        <w:rPr>
          <w:rFonts w:ascii="Corbel" w:hAnsi="Corbel"/>
          <w:b/>
          <w:bCs/>
          <w:sz w:val="28"/>
          <w:szCs w:val="28"/>
          <w:lang w:eastAsia="en-GB"/>
        </w:rPr>
        <w:t>:</w:t>
      </w:r>
    </w:p>
    <w:p w14:paraId="6BF62C3C" w14:textId="77777777"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t>The Chief Financial Officer and Chief Legal Officer will periodically review the policy with legal counsel to ensure compliance with regulations. Employee files and computer hard drives will be audited regularly to ensure adherence.</w:t>
      </w:r>
    </w:p>
    <w:p w14:paraId="5E0BE7DD" w14:textId="0F689EB4" w:rsidR="00D35302" w:rsidRPr="00B06288" w:rsidRDefault="00D35302" w:rsidP="001C3323">
      <w:pPr>
        <w:spacing w:line="276" w:lineRule="auto"/>
        <w:rPr>
          <w:rFonts w:ascii="Corbel" w:hAnsi="Corbel"/>
          <w:sz w:val="24"/>
          <w:szCs w:val="24"/>
          <w:lang w:eastAsia="en-GB"/>
        </w:rPr>
      </w:pPr>
      <w:r w:rsidRPr="00B06288">
        <w:rPr>
          <w:rFonts w:ascii="Corbel" w:hAnsi="Corbel"/>
          <w:sz w:val="24"/>
          <w:szCs w:val="24"/>
          <w:lang w:eastAsia="en-GB"/>
        </w:rPr>
        <w:lastRenderedPageBreak/>
        <w:t xml:space="preserve">For any questions about the policy, employees may contact </w:t>
      </w:r>
      <w:r w:rsidR="004A27F7" w:rsidRPr="00B06288">
        <w:rPr>
          <w:rFonts w:ascii="Corbel" w:hAnsi="Corbel"/>
          <w:sz w:val="24"/>
          <w:szCs w:val="24"/>
          <w:lang w:eastAsia="en-GB"/>
        </w:rPr>
        <w:fldChar w:fldCharType="begin">
          <w:ffData>
            <w:name w:val="Text4"/>
            <w:enabled/>
            <w:calcOnExit w:val="0"/>
            <w:textInput>
              <w:default w:val="[NAME]"/>
            </w:textInput>
          </w:ffData>
        </w:fldChar>
      </w:r>
      <w:bookmarkStart w:id="3" w:name="Text4"/>
      <w:r w:rsidR="004A27F7" w:rsidRPr="00B06288">
        <w:rPr>
          <w:rFonts w:ascii="Corbel" w:hAnsi="Corbel"/>
          <w:sz w:val="24"/>
          <w:szCs w:val="24"/>
          <w:lang w:eastAsia="en-GB"/>
        </w:rPr>
        <w:instrText xml:space="preserve"> FORMTEXT </w:instrText>
      </w:r>
      <w:r w:rsidR="004A27F7" w:rsidRPr="00B06288">
        <w:rPr>
          <w:rFonts w:ascii="Corbel" w:hAnsi="Corbel"/>
          <w:sz w:val="24"/>
          <w:szCs w:val="24"/>
          <w:lang w:eastAsia="en-GB"/>
        </w:rPr>
      </w:r>
      <w:r w:rsidR="004A27F7" w:rsidRPr="00B06288">
        <w:rPr>
          <w:rFonts w:ascii="Corbel" w:hAnsi="Corbel"/>
          <w:sz w:val="24"/>
          <w:szCs w:val="24"/>
          <w:lang w:eastAsia="en-GB"/>
        </w:rPr>
        <w:fldChar w:fldCharType="separate"/>
      </w:r>
      <w:r w:rsidR="004A27F7" w:rsidRPr="00B06288">
        <w:rPr>
          <w:rFonts w:ascii="Corbel" w:hAnsi="Corbel"/>
          <w:noProof/>
          <w:sz w:val="24"/>
          <w:szCs w:val="24"/>
          <w:lang w:eastAsia="en-GB"/>
        </w:rPr>
        <w:t>[NAME]</w:t>
      </w:r>
      <w:r w:rsidR="004A27F7" w:rsidRPr="00B06288">
        <w:rPr>
          <w:rFonts w:ascii="Corbel" w:hAnsi="Corbel"/>
          <w:sz w:val="24"/>
          <w:szCs w:val="24"/>
          <w:lang w:eastAsia="en-GB"/>
        </w:rPr>
        <w:fldChar w:fldCharType="end"/>
      </w:r>
      <w:bookmarkEnd w:id="3"/>
      <w:r w:rsidRPr="00B06288">
        <w:rPr>
          <w:rFonts w:ascii="Corbel" w:hAnsi="Corbel"/>
          <w:sz w:val="24"/>
          <w:szCs w:val="24"/>
          <w:lang w:eastAsia="en-GB"/>
        </w:rPr>
        <w:t>, the administrator of this policy.</w:t>
      </w:r>
    </w:p>
    <w:p w14:paraId="09CB030C" w14:textId="19706A82" w:rsidR="00D35302" w:rsidRPr="00B06288" w:rsidRDefault="00D35302" w:rsidP="001C3323">
      <w:pPr>
        <w:spacing w:line="276" w:lineRule="auto"/>
        <w:rPr>
          <w:rFonts w:ascii="Corbel" w:hAnsi="Corbel"/>
          <w:b/>
          <w:bCs/>
          <w:sz w:val="28"/>
          <w:szCs w:val="28"/>
          <w:lang w:eastAsia="en-GB"/>
        </w:rPr>
      </w:pPr>
      <w:r w:rsidRPr="00B06288">
        <w:rPr>
          <w:rFonts w:ascii="Corbel" w:hAnsi="Corbel"/>
          <w:b/>
          <w:bCs/>
          <w:sz w:val="28"/>
          <w:szCs w:val="28"/>
          <w:lang w:eastAsia="en-GB"/>
        </w:rPr>
        <w:t>A</w:t>
      </w:r>
      <w:r w:rsidR="007E60F4" w:rsidRPr="00B06288">
        <w:rPr>
          <w:rFonts w:ascii="Corbel" w:hAnsi="Corbel"/>
          <w:b/>
          <w:bCs/>
          <w:sz w:val="28"/>
          <w:szCs w:val="28"/>
          <w:lang w:eastAsia="en-GB"/>
        </w:rPr>
        <w:t>ppendix</w:t>
      </w:r>
      <w:r w:rsidRPr="00B06288">
        <w:rPr>
          <w:rFonts w:ascii="Corbel" w:hAnsi="Corbel"/>
          <w:b/>
          <w:bCs/>
          <w:sz w:val="28"/>
          <w:szCs w:val="28"/>
          <w:lang w:eastAsia="en-GB"/>
        </w:rPr>
        <w:t>: R</w:t>
      </w:r>
      <w:r w:rsidR="007E60F4" w:rsidRPr="00B06288">
        <w:rPr>
          <w:rFonts w:ascii="Corbel" w:hAnsi="Corbel"/>
          <w:b/>
          <w:bCs/>
          <w:sz w:val="28"/>
          <w:szCs w:val="28"/>
          <w:lang w:eastAsia="en-GB"/>
        </w:rPr>
        <w:t>ecord Retention Schedule</w:t>
      </w:r>
    </w:p>
    <w:p w14:paraId="4C409D34" w14:textId="71A127BF" w:rsidR="00D35302" w:rsidRPr="00B06288" w:rsidRDefault="004A27F7" w:rsidP="001C3323">
      <w:pPr>
        <w:spacing w:line="276" w:lineRule="auto"/>
        <w:rPr>
          <w:rFonts w:ascii="Corbel" w:hAnsi="Corbel"/>
          <w:sz w:val="24"/>
          <w:szCs w:val="24"/>
          <w:lang w:eastAsia="en-GB"/>
        </w:rPr>
      </w:pPr>
      <w:r w:rsidRPr="00B06288">
        <w:rPr>
          <w:rFonts w:ascii="Corbel" w:hAnsi="Corbel"/>
          <w:sz w:val="24"/>
          <w:szCs w:val="24"/>
          <w:lang w:eastAsia="en-GB"/>
        </w:rPr>
        <w:fldChar w:fldCharType="begin">
          <w:ffData>
            <w:name w:val="Text5"/>
            <w:enabled/>
            <w:calcOnExit w:val="0"/>
            <w:textInput>
              <w:default w:val="[The Record Retention Schedule is provided in a concise, easy-to-read format. Each category of records is listed along with its corresponding retention period.]"/>
            </w:textInput>
          </w:ffData>
        </w:fldChar>
      </w:r>
      <w:bookmarkStart w:id="4" w:name="Text5"/>
      <w:r w:rsidRPr="00B06288">
        <w:rPr>
          <w:rFonts w:ascii="Corbel" w:hAnsi="Corbel"/>
          <w:sz w:val="24"/>
          <w:szCs w:val="24"/>
          <w:lang w:eastAsia="en-GB"/>
        </w:rPr>
        <w:instrText xml:space="preserve"> FORMTEXT </w:instrText>
      </w:r>
      <w:r w:rsidRPr="00B06288">
        <w:rPr>
          <w:rFonts w:ascii="Corbel" w:hAnsi="Corbel"/>
          <w:sz w:val="24"/>
          <w:szCs w:val="24"/>
          <w:lang w:eastAsia="en-GB"/>
        </w:rPr>
      </w:r>
      <w:r w:rsidRPr="00B06288">
        <w:rPr>
          <w:rFonts w:ascii="Corbel" w:hAnsi="Corbel"/>
          <w:sz w:val="24"/>
          <w:szCs w:val="24"/>
          <w:lang w:eastAsia="en-GB"/>
        </w:rPr>
        <w:fldChar w:fldCharType="separate"/>
      </w:r>
      <w:r w:rsidRPr="00B06288">
        <w:rPr>
          <w:rFonts w:ascii="Corbel" w:hAnsi="Corbel"/>
          <w:noProof/>
          <w:sz w:val="24"/>
          <w:szCs w:val="24"/>
          <w:lang w:eastAsia="en-GB"/>
        </w:rPr>
        <w:t>[The Record Retention Schedule is provided in a concise, easy-to-read format. Each category of records is listed along with its corresponding retention period.]</w:t>
      </w:r>
      <w:r w:rsidRPr="00B06288">
        <w:rPr>
          <w:rFonts w:ascii="Corbel" w:hAnsi="Corbel"/>
          <w:sz w:val="24"/>
          <w:szCs w:val="24"/>
          <w:lang w:eastAsia="en-GB"/>
        </w:rPr>
        <w:fldChar w:fldCharType="end"/>
      </w:r>
      <w:bookmarkEnd w:id="4"/>
    </w:p>
    <w:p w14:paraId="65DBB66B" w14:textId="4D391E40" w:rsidR="00D35302" w:rsidRPr="00B06288" w:rsidRDefault="00D35302" w:rsidP="001C3323">
      <w:pPr>
        <w:spacing w:line="276" w:lineRule="auto"/>
        <w:rPr>
          <w:rFonts w:ascii="Corbel" w:hAnsi="Corbel"/>
          <w:b/>
          <w:bCs/>
          <w:sz w:val="24"/>
          <w:szCs w:val="24"/>
          <w:lang w:eastAsia="en-GB"/>
        </w:rPr>
      </w:pPr>
      <w:r w:rsidRPr="00B06288">
        <w:rPr>
          <w:rFonts w:ascii="Corbel" w:hAnsi="Corbel"/>
          <w:b/>
          <w:bCs/>
          <w:sz w:val="24"/>
          <w:szCs w:val="24"/>
          <w:lang w:eastAsia="en-GB"/>
        </w:rPr>
        <w:t>Acknowledgment of Receipt and Review</w:t>
      </w:r>
    </w:p>
    <w:p w14:paraId="6D722DA3" w14:textId="10C053AA" w:rsidR="00D35302" w:rsidRPr="00B06288" w:rsidRDefault="004A27F7" w:rsidP="001C3323">
      <w:pPr>
        <w:spacing w:line="276" w:lineRule="auto"/>
        <w:rPr>
          <w:rFonts w:ascii="Corbel" w:hAnsi="Corbel"/>
          <w:sz w:val="24"/>
          <w:szCs w:val="24"/>
          <w:lang w:eastAsia="en-GB"/>
        </w:rPr>
      </w:pPr>
      <w:r w:rsidRPr="00B06288">
        <w:rPr>
          <w:rFonts w:ascii="Corbel" w:hAnsi="Corbel"/>
          <w:sz w:val="24"/>
          <w:szCs w:val="24"/>
          <w:lang w:eastAsia="en-GB"/>
        </w:rPr>
        <w:fldChar w:fldCharType="begin">
          <w:ffData>
            <w:name w:val="Text6"/>
            <w:enabled/>
            <w:calcOnExit w:val="0"/>
            <w:textInput>
              <w:default w:val="[Employees must acknowledge receipt and understanding of the policy by signing the acknowledgment form. The form has been modified to be clear and concise.]"/>
            </w:textInput>
          </w:ffData>
        </w:fldChar>
      </w:r>
      <w:bookmarkStart w:id="5" w:name="Text6"/>
      <w:r w:rsidRPr="00B06288">
        <w:rPr>
          <w:rFonts w:ascii="Corbel" w:hAnsi="Corbel"/>
          <w:sz w:val="24"/>
          <w:szCs w:val="24"/>
          <w:lang w:eastAsia="en-GB"/>
        </w:rPr>
        <w:instrText xml:space="preserve"> FORMTEXT </w:instrText>
      </w:r>
      <w:r w:rsidRPr="00B06288">
        <w:rPr>
          <w:rFonts w:ascii="Corbel" w:hAnsi="Corbel"/>
          <w:sz w:val="24"/>
          <w:szCs w:val="24"/>
          <w:lang w:eastAsia="en-GB"/>
        </w:rPr>
      </w:r>
      <w:r w:rsidRPr="00B06288">
        <w:rPr>
          <w:rFonts w:ascii="Corbel" w:hAnsi="Corbel"/>
          <w:sz w:val="24"/>
          <w:szCs w:val="24"/>
          <w:lang w:eastAsia="en-GB"/>
        </w:rPr>
        <w:fldChar w:fldCharType="separate"/>
      </w:r>
      <w:r w:rsidRPr="00B06288">
        <w:rPr>
          <w:rFonts w:ascii="Corbel" w:hAnsi="Corbel"/>
          <w:noProof/>
          <w:sz w:val="24"/>
          <w:szCs w:val="24"/>
          <w:lang w:eastAsia="en-GB"/>
        </w:rPr>
        <w:t>[Employees must acknowledge receipt and understanding of the policy by signing the acknowledgment form. The form has been modified to be clear and concise.]</w:t>
      </w:r>
      <w:r w:rsidRPr="00B06288">
        <w:rPr>
          <w:rFonts w:ascii="Corbel" w:hAnsi="Corbel"/>
          <w:sz w:val="24"/>
          <w:szCs w:val="24"/>
          <w:lang w:eastAsia="en-GB"/>
        </w:rPr>
        <w:fldChar w:fldCharType="end"/>
      </w:r>
      <w:bookmarkEnd w:id="5"/>
    </w:p>
    <w:tbl>
      <w:tblPr>
        <w:tblW w:w="0" w:type="auto"/>
        <w:tblInd w:w="30" w:type="dxa"/>
        <w:tblLayout w:type="fixed"/>
        <w:tblCellMar>
          <w:left w:w="0" w:type="dxa"/>
          <w:right w:w="0" w:type="dxa"/>
        </w:tblCellMar>
        <w:tblLook w:val="0000" w:firstRow="0" w:lastRow="0" w:firstColumn="0" w:lastColumn="0" w:noHBand="0" w:noVBand="0"/>
      </w:tblPr>
      <w:tblGrid>
        <w:gridCol w:w="5040"/>
        <w:gridCol w:w="5040"/>
      </w:tblGrid>
      <w:tr w:rsidR="00D35302" w:rsidRPr="00B5531C" w14:paraId="64026437" w14:textId="77777777" w:rsidTr="00B5531C">
        <w:trPr>
          <w:trHeight w:val="567"/>
        </w:trPr>
        <w:tc>
          <w:tcPr>
            <w:tcW w:w="5040" w:type="dxa"/>
            <w:tcBorders>
              <w:bottom w:val="single" w:sz="12" w:space="0" w:color="61481C"/>
              <w:right w:val="single" w:sz="8" w:space="0" w:color="61481C"/>
            </w:tcBorders>
            <w:shd w:val="clear" w:color="auto" w:fill="A47E3B"/>
            <w:tcMar>
              <w:left w:w="30" w:type="dxa"/>
              <w:right w:w="30" w:type="dxa"/>
            </w:tcMar>
            <w:vAlign w:val="center"/>
          </w:tcPr>
          <w:p w14:paraId="1641D311" w14:textId="3219A922" w:rsidR="00D35302" w:rsidRPr="00B5531C"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5531C">
              <w:rPr>
                <w:rFonts w:ascii="Corbel" w:hAnsi="Corbel" w:cs="Times New Roman"/>
                <w:b/>
                <w:bCs/>
                <w:color w:val="000000"/>
                <w:sz w:val="24"/>
                <w:szCs w:val="24"/>
              </w:rPr>
              <w:t>RECORD</w:t>
            </w:r>
          </w:p>
        </w:tc>
        <w:tc>
          <w:tcPr>
            <w:tcW w:w="5040" w:type="dxa"/>
            <w:tcBorders>
              <w:left w:val="single" w:sz="8" w:space="0" w:color="61481C"/>
              <w:bottom w:val="single" w:sz="12" w:space="0" w:color="61481C"/>
            </w:tcBorders>
            <w:shd w:val="clear" w:color="auto" w:fill="A47E3B"/>
            <w:tcMar>
              <w:left w:w="30" w:type="dxa"/>
              <w:right w:w="30" w:type="dxa"/>
            </w:tcMar>
            <w:vAlign w:val="center"/>
          </w:tcPr>
          <w:p w14:paraId="34D82B50" w14:textId="1D7A57DE" w:rsidR="00D35302" w:rsidRPr="00B5531C"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5531C">
              <w:rPr>
                <w:rFonts w:ascii="Corbel" w:hAnsi="Corbel" w:cs="Times New Roman"/>
                <w:b/>
                <w:bCs/>
                <w:color w:val="000000"/>
                <w:sz w:val="24"/>
                <w:szCs w:val="24"/>
              </w:rPr>
              <w:t>RETENTION PERIOD</w:t>
            </w:r>
          </w:p>
        </w:tc>
      </w:tr>
      <w:tr w:rsidR="00D35302" w:rsidRPr="00B06288" w14:paraId="2D611143" w14:textId="77777777" w:rsidTr="007E60F4">
        <w:trPr>
          <w:trHeight w:val="567"/>
        </w:trPr>
        <w:tc>
          <w:tcPr>
            <w:tcW w:w="10080" w:type="dxa"/>
            <w:gridSpan w:val="2"/>
            <w:tcBorders>
              <w:top w:val="single" w:sz="12" w:space="0" w:color="61481C"/>
              <w:bottom w:val="single" w:sz="12" w:space="0" w:color="61481C"/>
            </w:tcBorders>
            <w:shd w:val="clear" w:color="auto" w:fill="E6B325"/>
            <w:tcMar>
              <w:left w:w="30" w:type="dxa"/>
              <w:right w:w="30" w:type="dxa"/>
            </w:tcMar>
            <w:vAlign w:val="center"/>
          </w:tcPr>
          <w:p w14:paraId="7E3E0C0C" w14:textId="7E5F4FBC" w:rsidR="00D35302" w:rsidRPr="00B06288"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06288">
              <w:rPr>
                <w:rFonts w:ascii="Corbel" w:hAnsi="Corbel" w:cs="Times New Roman"/>
                <w:b/>
                <w:bCs/>
                <w:color w:val="000000"/>
                <w:sz w:val="24"/>
                <w:szCs w:val="24"/>
              </w:rPr>
              <w:t>Personnel Records</w:t>
            </w:r>
          </w:p>
        </w:tc>
      </w:tr>
      <w:tr w:rsidR="00D35302" w:rsidRPr="00B06288" w14:paraId="4449CE32" w14:textId="77777777" w:rsidTr="007E60F4">
        <w:trPr>
          <w:trHeight w:val="369"/>
        </w:trPr>
        <w:tc>
          <w:tcPr>
            <w:tcW w:w="5040" w:type="dxa"/>
            <w:tcBorders>
              <w:top w:val="single" w:sz="12" w:space="0" w:color="61481C"/>
              <w:bottom w:val="single" w:sz="8" w:space="0" w:color="CCCCCC"/>
              <w:right w:val="single" w:sz="8" w:space="0" w:color="CCCCCC"/>
            </w:tcBorders>
            <w:tcMar>
              <w:left w:w="30" w:type="dxa"/>
              <w:right w:w="30" w:type="dxa"/>
            </w:tcMar>
            <w:vAlign w:val="center"/>
          </w:tcPr>
          <w:p w14:paraId="4DF511F1" w14:textId="6DB2D8B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Benefits descriptions per employee</w:t>
            </w:r>
          </w:p>
        </w:tc>
        <w:tc>
          <w:tcPr>
            <w:tcW w:w="5040" w:type="dxa"/>
            <w:tcBorders>
              <w:top w:val="single" w:sz="12" w:space="0" w:color="61481C"/>
              <w:left w:val="nil"/>
              <w:bottom w:val="single" w:sz="8" w:space="0" w:color="CCCCCC"/>
            </w:tcBorders>
            <w:tcMar>
              <w:left w:w="30" w:type="dxa"/>
              <w:right w:w="30" w:type="dxa"/>
            </w:tcMar>
            <w:vAlign w:val="center"/>
          </w:tcPr>
          <w:p w14:paraId="1098783F" w14:textId="149F6D1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[Permanent/4 years]</w:t>
            </w:r>
          </w:p>
        </w:tc>
      </w:tr>
      <w:tr w:rsidR="00D35302" w:rsidRPr="00B06288" w14:paraId="2F3BD6E9"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43A38CDF" w14:textId="202FE1A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Collective bargaining agreements</w:t>
            </w:r>
          </w:p>
        </w:tc>
        <w:tc>
          <w:tcPr>
            <w:tcW w:w="5040" w:type="dxa"/>
            <w:tcBorders>
              <w:top w:val="single" w:sz="8" w:space="0" w:color="CCCCCC"/>
              <w:left w:val="nil"/>
              <w:bottom w:val="single" w:sz="8" w:space="0" w:color="CCCCCC"/>
            </w:tcBorders>
            <w:tcMar>
              <w:left w:w="30" w:type="dxa"/>
              <w:right w:w="30" w:type="dxa"/>
            </w:tcMar>
            <w:vAlign w:val="center"/>
          </w:tcPr>
          <w:p w14:paraId="26F8BB72" w14:textId="67EF984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w:t>
            </w:r>
          </w:p>
        </w:tc>
      </w:tr>
      <w:tr w:rsidR="00D35302" w:rsidRPr="00B06288" w14:paraId="690E9617"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7F76819F" w14:textId="34CB4F2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Donor records and acknowledgement letters</w:t>
            </w:r>
          </w:p>
        </w:tc>
        <w:tc>
          <w:tcPr>
            <w:tcW w:w="5040" w:type="dxa"/>
            <w:tcBorders>
              <w:top w:val="single" w:sz="8" w:space="0" w:color="CCCCCC"/>
              <w:left w:val="nil"/>
              <w:bottom w:val="single" w:sz="8" w:space="0" w:color="CCCCCC"/>
            </w:tcBorders>
            <w:tcMar>
              <w:left w:w="30" w:type="dxa"/>
              <w:right w:w="30" w:type="dxa"/>
            </w:tcMar>
            <w:vAlign w:val="center"/>
          </w:tcPr>
          <w:p w14:paraId="3DAE76C1" w14:textId="76A7D8A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6AE41B0C"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09AFCCDA" w14:textId="4CDC26D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EEO-1 Reports (Employer Information Report)</w:t>
            </w:r>
          </w:p>
        </w:tc>
        <w:tc>
          <w:tcPr>
            <w:tcW w:w="5040" w:type="dxa"/>
            <w:tcBorders>
              <w:top w:val="single" w:sz="8" w:space="0" w:color="CCCCCC"/>
              <w:left w:val="nil"/>
              <w:bottom w:val="single" w:sz="8" w:space="0" w:color="CCCCCC"/>
            </w:tcBorders>
            <w:tcMar>
              <w:left w:w="30" w:type="dxa"/>
              <w:right w:w="30" w:type="dxa"/>
            </w:tcMar>
            <w:vAlign w:val="center"/>
          </w:tcPr>
          <w:p w14:paraId="50BFD891" w14:textId="1DD9F015"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Filed annually with the EEOC and the Department of Labor, Office of Federal Contract Compliance Programs, most recent kept on file</w:t>
            </w:r>
          </w:p>
        </w:tc>
      </w:tr>
      <w:tr w:rsidR="00D35302" w:rsidRPr="00B06288" w14:paraId="2EE32F0F"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1BF8134E" w14:textId="74C6E99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Employee applications and resumes</w:t>
            </w:r>
          </w:p>
        </w:tc>
        <w:tc>
          <w:tcPr>
            <w:tcW w:w="5040" w:type="dxa"/>
            <w:tcBorders>
              <w:top w:val="single" w:sz="8" w:space="0" w:color="CCCCCC"/>
              <w:left w:val="nil"/>
              <w:bottom w:val="single" w:sz="8" w:space="0" w:color="CCCCCC"/>
            </w:tcBorders>
            <w:tcMar>
              <w:left w:w="30" w:type="dxa"/>
              <w:right w:w="30" w:type="dxa"/>
            </w:tcMar>
            <w:vAlign w:val="center"/>
          </w:tcPr>
          <w:p w14:paraId="5DEED80C" w14:textId="0DFC29B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[4 years/1 year]</w:t>
            </w:r>
          </w:p>
        </w:tc>
      </w:tr>
      <w:tr w:rsidR="00D35302" w:rsidRPr="00B06288" w14:paraId="2B572C2C"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4662FB51" w14:textId="4BED970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 xml:space="preserve">Employee benefit plans subject to ERISA (includes plans regarding health and dental insurance, 401K, long-term </w:t>
            </w:r>
            <w:r w:rsidR="00577AF1" w:rsidRPr="00B06288">
              <w:rPr>
                <w:rFonts w:ascii="Corbel" w:hAnsi="Corbel" w:cs="Times New Roman"/>
                <w:color w:val="000000"/>
                <w:sz w:val="24"/>
                <w:szCs w:val="24"/>
              </w:rPr>
              <w:t>disability,</w:t>
            </w:r>
            <w:r w:rsidRPr="00B06288">
              <w:rPr>
                <w:rFonts w:ascii="Corbel" w:hAnsi="Corbel" w:cs="Times New Roman"/>
                <w:color w:val="000000"/>
                <w:sz w:val="24"/>
                <w:szCs w:val="24"/>
              </w:rPr>
              <w:t xml:space="preserve"> and Form 5500</w:t>
            </w:r>
            <w:r w:rsidR="00577AF1" w:rsidRPr="00B06288">
              <w:rPr>
                <w:rFonts w:ascii="Corbel" w:hAnsi="Corbel" w:cs="Times New Roman"/>
                <w:color w:val="000000"/>
                <w:sz w:val="24"/>
                <w:szCs w:val="24"/>
              </w:rPr>
              <w:t>)</w:t>
            </w:r>
          </w:p>
        </w:tc>
        <w:tc>
          <w:tcPr>
            <w:tcW w:w="5040" w:type="dxa"/>
            <w:tcBorders>
              <w:top w:val="single" w:sz="8" w:space="0" w:color="CCCCCC"/>
              <w:left w:val="nil"/>
              <w:bottom w:val="single" w:sz="8" w:space="0" w:color="CCCCCC"/>
            </w:tcBorders>
            <w:tcMar>
              <w:left w:w="30" w:type="dxa"/>
              <w:right w:w="30" w:type="dxa"/>
            </w:tcMar>
            <w:vAlign w:val="center"/>
          </w:tcPr>
          <w:p w14:paraId="4423C55C" w14:textId="37A3DD8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6 years from when the record was required to be disclosed</w:t>
            </w:r>
          </w:p>
        </w:tc>
      </w:tr>
      <w:tr w:rsidR="00D35302" w:rsidRPr="00B06288" w14:paraId="04DE5124"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062A604B" w14:textId="27196C1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Employee offer letters (and other documentation regarding hiring, promotion, demotion, transfer, lay-off, termination or selection for training)</w:t>
            </w:r>
          </w:p>
        </w:tc>
        <w:tc>
          <w:tcPr>
            <w:tcW w:w="5040" w:type="dxa"/>
            <w:tcBorders>
              <w:top w:val="single" w:sz="8" w:space="0" w:color="CCCCCC"/>
              <w:left w:val="nil"/>
              <w:bottom w:val="single" w:sz="8" w:space="0" w:color="CCCCCC"/>
            </w:tcBorders>
            <w:tcMar>
              <w:left w:w="30" w:type="dxa"/>
              <w:right w:w="30" w:type="dxa"/>
            </w:tcMar>
            <w:vAlign w:val="center"/>
          </w:tcPr>
          <w:p w14:paraId="3E92128C" w14:textId="15538A9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1 year from date of making record or action involved, whichever is later, or 1 year from date of involuntary termination</w:t>
            </w:r>
          </w:p>
        </w:tc>
      </w:tr>
      <w:tr w:rsidR="00D35302" w:rsidRPr="00B06288" w14:paraId="4D21DDA8"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031B3036" w14:textId="1C381F0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Records relating to background checks on employees</w:t>
            </w:r>
          </w:p>
        </w:tc>
        <w:tc>
          <w:tcPr>
            <w:tcW w:w="5040" w:type="dxa"/>
            <w:tcBorders>
              <w:top w:val="single" w:sz="8" w:space="0" w:color="CCCCCC"/>
              <w:left w:val="nil"/>
              <w:bottom w:val="single" w:sz="8" w:space="0" w:color="CCCCCC"/>
            </w:tcBorders>
            <w:tcMar>
              <w:left w:w="30" w:type="dxa"/>
              <w:right w:w="30" w:type="dxa"/>
            </w:tcMar>
            <w:vAlign w:val="center"/>
          </w:tcPr>
          <w:p w14:paraId="5A215E0C" w14:textId="300AF41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5 years from when the background check is conducted</w:t>
            </w:r>
          </w:p>
        </w:tc>
      </w:tr>
      <w:tr w:rsidR="00D35302" w:rsidRPr="00B06288" w14:paraId="3A58596C"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1042E872" w14:textId="27B314F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Employment contracts; employment and termination agreements</w:t>
            </w:r>
          </w:p>
        </w:tc>
        <w:tc>
          <w:tcPr>
            <w:tcW w:w="5040" w:type="dxa"/>
            <w:tcBorders>
              <w:top w:val="single" w:sz="8" w:space="0" w:color="CCCCCC"/>
              <w:left w:val="nil"/>
              <w:bottom w:val="single" w:sz="8" w:space="0" w:color="CCCCCC"/>
            </w:tcBorders>
            <w:tcMar>
              <w:left w:w="30" w:type="dxa"/>
              <w:right w:w="30" w:type="dxa"/>
            </w:tcMar>
            <w:vAlign w:val="center"/>
          </w:tcPr>
          <w:p w14:paraId="71DC0FD7"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 from their last effective date</w:t>
            </w:r>
          </w:p>
          <w:p w14:paraId="22588E50" w14:textId="77777777" w:rsidR="00D35302" w:rsidRPr="00B06288" w:rsidRDefault="00D35302" w:rsidP="00577AF1">
            <w:pPr>
              <w:widowControl w:val="0"/>
              <w:autoSpaceDE w:val="0"/>
              <w:autoSpaceDN w:val="0"/>
              <w:adjustRightInd w:val="0"/>
              <w:spacing w:after="0" w:line="276" w:lineRule="auto"/>
              <w:ind w:right="50"/>
              <w:rPr>
                <w:rFonts w:ascii="Corbel" w:hAnsi="Corbel" w:cs="Times New Roman"/>
                <w:color w:val="000000"/>
                <w:sz w:val="24"/>
                <w:szCs w:val="24"/>
              </w:rPr>
            </w:pPr>
          </w:p>
        </w:tc>
      </w:tr>
      <w:tr w:rsidR="00D35302" w:rsidRPr="00B06288" w14:paraId="7558772F"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317E0DAC" w14:textId="408ACBA3"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Employee records with information on pay rate or weekly compensation</w:t>
            </w:r>
          </w:p>
        </w:tc>
        <w:tc>
          <w:tcPr>
            <w:tcW w:w="5040" w:type="dxa"/>
            <w:tcBorders>
              <w:top w:val="single" w:sz="8" w:space="0" w:color="CCCCCC"/>
              <w:left w:val="nil"/>
              <w:bottom w:val="single" w:sz="8" w:space="0" w:color="CCCCCC"/>
            </w:tcBorders>
            <w:tcMar>
              <w:left w:w="30" w:type="dxa"/>
              <w:right w:w="30" w:type="dxa"/>
            </w:tcMar>
            <w:vAlign w:val="center"/>
          </w:tcPr>
          <w:p w14:paraId="4BDF5F64"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w:t>
            </w:r>
          </w:p>
          <w:p w14:paraId="535B6C59"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r>
      <w:tr w:rsidR="00D35302" w:rsidRPr="00B06288" w14:paraId="37952530"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2360C56D" w14:textId="120763C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Hazardous material exposures</w:t>
            </w:r>
          </w:p>
        </w:tc>
        <w:tc>
          <w:tcPr>
            <w:tcW w:w="5040" w:type="dxa"/>
            <w:tcBorders>
              <w:top w:val="single" w:sz="8" w:space="0" w:color="CCCCCC"/>
              <w:left w:val="nil"/>
              <w:bottom w:val="single" w:sz="8" w:space="0" w:color="CCCCCC"/>
            </w:tcBorders>
            <w:tcMar>
              <w:left w:w="30" w:type="dxa"/>
              <w:right w:w="30" w:type="dxa"/>
            </w:tcMar>
            <w:vAlign w:val="center"/>
          </w:tcPr>
          <w:p w14:paraId="792C67C0" w14:textId="7D4D1AB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Duration of employment + 30 years</w:t>
            </w:r>
          </w:p>
        </w:tc>
      </w:tr>
      <w:tr w:rsidR="00D35302" w:rsidRPr="00B06288" w14:paraId="1F5CF11B"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47FEEF5C" w14:textId="119A35F3"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I-9 Forms</w:t>
            </w:r>
          </w:p>
        </w:tc>
        <w:tc>
          <w:tcPr>
            <w:tcW w:w="5040" w:type="dxa"/>
            <w:tcBorders>
              <w:top w:val="single" w:sz="8" w:space="0" w:color="CCCCCC"/>
              <w:left w:val="nil"/>
              <w:bottom w:val="single" w:sz="8" w:space="0" w:color="CCCCCC"/>
            </w:tcBorders>
            <w:tcMar>
              <w:left w:w="30" w:type="dxa"/>
              <w:right w:w="30" w:type="dxa"/>
            </w:tcMar>
            <w:vAlign w:val="center"/>
          </w:tcPr>
          <w:p w14:paraId="764DBD1D" w14:textId="641463F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 after date of hire or 1 year after employment is terminated, whichever is later/3 years after date of hire]</w:t>
            </w:r>
          </w:p>
        </w:tc>
      </w:tr>
      <w:tr w:rsidR="00D35302" w:rsidRPr="00B06288" w14:paraId="1D290F11"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7C197F69" w14:textId="119CD66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 xml:space="preserve">Injury and Illness Incident Reports (OSHA Form 301) and related Annual Summaries (OSHA Form </w:t>
            </w:r>
            <w:r w:rsidRPr="00B06288">
              <w:rPr>
                <w:rFonts w:ascii="Corbel" w:hAnsi="Corbel" w:cs="Times New Roman"/>
                <w:color w:val="000000"/>
                <w:sz w:val="24"/>
                <w:szCs w:val="24"/>
              </w:rPr>
              <w:lastRenderedPageBreak/>
              <w:t>300A); Logs of work-related injuries and illnesses (OSHA Form 300)</w:t>
            </w:r>
          </w:p>
        </w:tc>
        <w:tc>
          <w:tcPr>
            <w:tcW w:w="5040" w:type="dxa"/>
            <w:tcBorders>
              <w:top w:val="single" w:sz="8" w:space="0" w:color="CCCCCC"/>
              <w:left w:val="nil"/>
              <w:bottom w:val="single" w:sz="8" w:space="0" w:color="CCCCCC"/>
            </w:tcBorders>
            <w:tcMar>
              <w:left w:w="30" w:type="dxa"/>
              <w:right w:w="30" w:type="dxa"/>
            </w:tcMar>
            <w:vAlign w:val="center"/>
          </w:tcPr>
          <w:p w14:paraId="38E7515C" w14:textId="48DAEBF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lastRenderedPageBreak/>
              <w:t>5 years following the end of the calendar year that these records cover</w:t>
            </w:r>
          </w:p>
        </w:tc>
      </w:tr>
      <w:tr w:rsidR="00D35302" w:rsidRPr="00B06288" w14:paraId="0E770888"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18AA2A3B" w14:textId="554A58F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Supplemental record for each occupational injury or illness (OSHA Form 101); Log and Summary of Occupational Injuries and Illnesses (OSHA Form 200)</w:t>
            </w:r>
          </w:p>
        </w:tc>
        <w:tc>
          <w:tcPr>
            <w:tcW w:w="5040" w:type="dxa"/>
            <w:tcBorders>
              <w:top w:val="single" w:sz="8" w:space="0" w:color="CCCCCC"/>
              <w:left w:val="nil"/>
              <w:bottom w:val="single" w:sz="8" w:space="0" w:color="CCCCCC"/>
            </w:tcBorders>
            <w:tcMar>
              <w:left w:w="30" w:type="dxa"/>
              <w:right w:w="30" w:type="dxa"/>
            </w:tcMar>
            <w:vAlign w:val="center"/>
          </w:tcPr>
          <w:p w14:paraId="7C38147D" w14:textId="2044FCA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5 years following the year to which they relate</w:t>
            </w:r>
          </w:p>
        </w:tc>
      </w:tr>
      <w:tr w:rsidR="00D35302" w:rsidRPr="00B06288" w14:paraId="73BEADF4"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15DE20E0" w14:textId="61D5664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Job descriptions, performance goals and reviews; garnishment records</w:t>
            </w:r>
          </w:p>
        </w:tc>
        <w:tc>
          <w:tcPr>
            <w:tcW w:w="5040" w:type="dxa"/>
            <w:tcBorders>
              <w:top w:val="single" w:sz="8" w:space="0" w:color="CCCCCC"/>
              <w:left w:val="nil"/>
              <w:bottom w:val="single" w:sz="8" w:space="0" w:color="CCCCCC"/>
            </w:tcBorders>
            <w:tcMar>
              <w:left w:w="30" w:type="dxa"/>
              <w:right w:w="30" w:type="dxa"/>
            </w:tcMar>
            <w:vAlign w:val="center"/>
          </w:tcPr>
          <w:p w14:paraId="65CFE630" w14:textId="52C11B8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[Termination + 7 years/2 years]</w:t>
            </w:r>
          </w:p>
        </w:tc>
      </w:tr>
      <w:tr w:rsidR="00D35302" w:rsidRPr="00B06288" w14:paraId="35C12C36"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10877A99" w14:textId="02F1663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Employee polygraph test records</w:t>
            </w:r>
          </w:p>
        </w:tc>
        <w:tc>
          <w:tcPr>
            <w:tcW w:w="5040" w:type="dxa"/>
            <w:tcBorders>
              <w:top w:val="single" w:sz="8" w:space="0" w:color="CCCCCC"/>
              <w:left w:val="nil"/>
              <w:bottom w:val="single" w:sz="8" w:space="0" w:color="CCCCCC"/>
            </w:tcBorders>
            <w:tcMar>
              <w:left w:w="30" w:type="dxa"/>
              <w:right w:w="30" w:type="dxa"/>
            </w:tcMar>
            <w:vAlign w:val="center"/>
          </w:tcPr>
          <w:p w14:paraId="44F2E828" w14:textId="01EBF08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w:t>
            </w:r>
          </w:p>
        </w:tc>
      </w:tr>
      <w:tr w:rsidR="00D35302" w:rsidRPr="00B06288" w14:paraId="439BFC3F"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30B37531" w14:textId="385103A3"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Employee tax records</w:t>
            </w:r>
          </w:p>
        </w:tc>
        <w:tc>
          <w:tcPr>
            <w:tcW w:w="5040" w:type="dxa"/>
            <w:tcBorders>
              <w:top w:val="single" w:sz="8" w:space="0" w:color="CCCCCC"/>
              <w:left w:val="nil"/>
              <w:bottom w:val="single" w:sz="8" w:space="0" w:color="CCCCCC"/>
            </w:tcBorders>
            <w:tcMar>
              <w:left w:w="30" w:type="dxa"/>
              <w:right w:w="30" w:type="dxa"/>
            </w:tcMar>
            <w:vAlign w:val="center"/>
          </w:tcPr>
          <w:p w14:paraId="71AAE18E" w14:textId="026358C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4 years from the date tax is due or paid</w:t>
            </w:r>
          </w:p>
        </w:tc>
      </w:tr>
      <w:tr w:rsidR="00D35302" w:rsidRPr="00B06288" w14:paraId="5CB3C832"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043B29D0" w14:textId="1705530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Medical exams required by law</w:t>
            </w:r>
          </w:p>
        </w:tc>
        <w:tc>
          <w:tcPr>
            <w:tcW w:w="5040" w:type="dxa"/>
            <w:tcBorders>
              <w:top w:val="single" w:sz="8" w:space="0" w:color="CCCCCC"/>
              <w:left w:val="nil"/>
              <w:bottom w:val="single" w:sz="8" w:space="0" w:color="CCCCCC"/>
            </w:tcBorders>
            <w:tcMar>
              <w:left w:w="30" w:type="dxa"/>
              <w:right w:w="30" w:type="dxa"/>
            </w:tcMar>
            <w:vAlign w:val="center"/>
          </w:tcPr>
          <w:p w14:paraId="168DE5C1" w14:textId="424F9AC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Duration of employment + 30 years</w:t>
            </w:r>
          </w:p>
        </w:tc>
      </w:tr>
      <w:tr w:rsidR="00D35302" w:rsidRPr="00B06288" w14:paraId="1C2E192B"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34DD7AAE" w14:textId="11B9C95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Personnel or employment records [made or kept by a contractor or subcontractor with at least 150 employees or at least $150,000 in federal government contracts]</w:t>
            </w:r>
          </w:p>
        </w:tc>
        <w:tc>
          <w:tcPr>
            <w:tcW w:w="5040" w:type="dxa"/>
            <w:tcBorders>
              <w:top w:val="single" w:sz="8" w:space="0" w:color="CCCCCC"/>
              <w:left w:val="nil"/>
              <w:bottom w:val="single" w:sz="8" w:space="0" w:color="CCCCCC"/>
            </w:tcBorders>
            <w:tcMar>
              <w:left w:w="30" w:type="dxa"/>
              <w:right w:w="30" w:type="dxa"/>
            </w:tcMar>
            <w:vAlign w:val="center"/>
          </w:tcPr>
          <w:p w14:paraId="48130185" w14:textId="323A51D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 xml:space="preserve">2 years from the date the record was </w:t>
            </w:r>
            <w:r w:rsidR="00577AF1" w:rsidRPr="00B06288">
              <w:rPr>
                <w:rFonts w:ascii="Corbel" w:hAnsi="Corbel" w:cs="Times New Roman"/>
                <w:color w:val="000000"/>
                <w:sz w:val="24"/>
                <w:szCs w:val="24"/>
              </w:rPr>
              <w:t>made,</w:t>
            </w:r>
            <w:r w:rsidRPr="00B06288">
              <w:rPr>
                <w:rFonts w:ascii="Corbel" w:hAnsi="Corbel" w:cs="Times New Roman"/>
                <w:color w:val="000000"/>
                <w:sz w:val="24"/>
                <w:szCs w:val="24"/>
              </w:rPr>
              <w:t xml:space="preserve"> or personnel action was taken, whichever is later</w:t>
            </w:r>
          </w:p>
        </w:tc>
      </w:tr>
      <w:tr w:rsidR="00D35302" w:rsidRPr="00B06288" w14:paraId="00A3EA02"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1C5412C7" w14:textId="7407FE09"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Personnel or employment records [made or kept by a contractor or subcontractor with less than 150 employees or less than $150,000 in federal government contracts]</w:t>
            </w:r>
          </w:p>
        </w:tc>
        <w:tc>
          <w:tcPr>
            <w:tcW w:w="5040" w:type="dxa"/>
            <w:tcBorders>
              <w:top w:val="single" w:sz="8" w:space="0" w:color="CCCCCC"/>
              <w:left w:val="nil"/>
              <w:bottom w:val="single" w:sz="8" w:space="0" w:color="CCCCCC"/>
            </w:tcBorders>
            <w:tcMar>
              <w:left w:w="30" w:type="dxa"/>
              <w:right w:w="30" w:type="dxa"/>
            </w:tcMar>
            <w:vAlign w:val="center"/>
          </w:tcPr>
          <w:p w14:paraId="076D2152" w14:textId="1626F91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 xml:space="preserve">1 year from the date the record was </w:t>
            </w:r>
            <w:r w:rsidR="00577AF1" w:rsidRPr="00B06288">
              <w:rPr>
                <w:rFonts w:ascii="Corbel" w:hAnsi="Corbel" w:cs="Times New Roman"/>
                <w:color w:val="000000"/>
                <w:sz w:val="24"/>
                <w:szCs w:val="24"/>
              </w:rPr>
              <w:t>made,</w:t>
            </w:r>
            <w:r w:rsidRPr="00B06288">
              <w:rPr>
                <w:rFonts w:ascii="Corbel" w:hAnsi="Corbel" w:cs="Times New Roman"/>
                <w:color w:val="000000"/>
                <w:sz w:val="24"/>
                <w:szCs w:val="24"/>
              </w:rPr>
              <w:t xml:space="preserve"> or personnel action was taken, whichever is later</w:t>
            </w:r>
          </w:p>
        </w:tc>
      </w:tr>
      <w:tr w:rsidR="00D35302" w:rsidRPr="00B06288" w14:paraId="7FBAAD48"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79647DFD" w14:textId="0020A2C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Pension plan and retirement records</w:t>
            </w:r>
          </w:p>
        </w:tc>
        <w:tc>
          <w:tcPr>
            <w:tcW w:w="5040" w:type="dxa"/>
            <w:tcBorders>
              <w:top w:val="single" w:sz="8" w:space="0" w:color="CCCCCC"/>
              <w:left w:val="nil"/>
              <w:bottom w:val="single" w:sz="8" w:space="0" w:color="CCCCCC"/>
            </w:tcBorders>
            <w:tcMar>
              <w:left w:w="30" w:type="dxa"/>
              <w:right w:w="30" w:type="dxa"/>
            </w:tcMar>
            <w:vAlign w:val="center"/>
          </w:tcPr>
          <w:p w14:paraId="4DC7A967" w14:textId="7F1216F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3E1EAA87"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37968D55"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Pre-employment tests and test results</w:t>
            </w:r>
          </w:p>
          <w:p w14:paraId="25B8B831"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c>
          <w:tcPr>
            <w:tcW w:w="5040" w:type="dxa"/>
            <w:tcBorders>
              <w:top w:val="single" w:sz="8" w:space="0" w:color="CCCCCC"/>
              <w:left w:val="nil"/>
              <w:bottom w:val="single" w:sz="8" w:space="0" w:color="CCCCCC"/>
            </w:tcBorders>
            <w:tcMar>
              <w:left w:w="30" w:type="dxa"/>
              <w:right w:w="30" w:type="dxa"/>
            </w:tcMar>
            <w:vAlign w:val="center"/>
          </w:tcPr>
          <w:p w14:paraId="3A7F0020"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1 year from date of personnel action</w:t>
            </w:r>
          </w:p>
          <w:p w14:paraId="35349AAD"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r>
      <w:tr w:rsidR="00D35302" w:rsidRPr="00B06288" w14:paraId="338ECAA0"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1BA151BB" w14:textId="37E24FE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Salary schedules; ranges for each job description</w:t>
            </w:r>
          </w:p>
        </w:tc>
        <w:tc>
          <w:tcPr>
            <w:tcW w:w="5040" w:type="dxa"/>
            <w:tcBorders>
              <w:top w:val="single" w:sz="8" w:space="0" w:color="CCCCCC"/>
              <w:left w:val="nil"/>
              <w:bottom w:val="single" w:sz="8" w:space="0" w:color="CCCCCC"/>
            </w:tcBorders>
            <w:tcMar>
              <w:left w:w="30" w:type="dxa"/>
              <w:right w:w="30" w:type="dxa"/>
            </w:tcMar>
            <w:vAlign w:val="center"/>
          </w:tcPr>
          <w:p w14:paraId="3CF8E5A5" w14:textId="58971A8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2 years</w:t>
            </w:r>
          </w:p>
        </w:tc>
      </w:tr>
      <w:tr w:rsidR="00D35302" w:rsidRPr="00B06288" w14:paraId="082364F1"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0AE0F961" w14:textId="3C2324B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Time reports</w:t>
            </w:r>
          </w:p>
        </w:tc>
        <w:tc>
          <w:tcPr>
            <w:tcW w:w="5040" w:type="dxa"/>
            <w:tcBorders>
              <w:top w:val="single" w:sz="8" w:space="0" w:color="CCCCCC"/>
              <w:left w:val="nil"/>
              <w:bottom w:val="single" w:sz="8" w:space="0" w:color="CCCCCC"/>
            </w:tcBorders>
            <w:tcMar>
              <w:left w:w="30" w:type="dxa"/>
              <w:right w:w="30" w:type="dxa"/>
            </w:tcMar>
            <w:vAlign w:val="center"/>
          </w:tcPr>
          <w:p w14:paraId="6B110CC2" w14:textId="2B4386C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Termination + 3 years</w:t>
            </w:r>
          </w:p>
        </w:tc>
      </w:tr>
      <w:tr w:rsidR="00D35302" w:rsidRPr="00B06288" w14:paraId="166811A0"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5C700393" w14:textId="41824C7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Training agreements, summaries of applicants’ qualifications, job criteria, interview records and identification of minority and female applicants</w:t>
            </w:r>
          </w:p>
        </w:tc>
        <w:tc>
          <w:tcPr>
            <w:tcW w:w="5040" w:type="dxa"/>
            <w:tcBorders>
              <w:top w:val="single" w:sz="8" w:space="0" w:color="CCCCCC"/>
              <w:left w:val="nil"/>
              <w:bottom w:val="single" w:sz="8" w:space="0" w:color="CCCCCC"/>
            </w:tcBorders>
            <w:tcMar>
              <w:left w:w="30" w:type="dxa"/>
              <w:right w:w="30" w:type="dxa"/>
            </w:tcMar>
            <w:vAlign w:val="center"/>
          </w:tcPr>
          <w:p w14:paraId="29289EFD" w14:textId="3EBD670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Duration of training + 4 years</w:t>
            </w:r>
          </w:p>
        </w:tc>
      </w:tr>
      <w:tr w:rsidR="00D35302" w:rsidRPr="00B06288" w14:paraId="2A5373E2" w14:textId="77777777" w:rsidTr="00577AF1">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061EE3D6" w14:textId="3E33B569"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Workers’ compensation records</w:t>
            </w:r>
          </w:p>
        </w:tc>
        <w:tc>
          <w:tcPr>
            <w:tcW w:w="5040" w:type="dxa"/>
            <w:tcBorders>
              <w:top w:val="single" w:sz="8" w:space="0" w:color="CCCCCC"/>
              <w:left w:val="nil"/>
              <w:bottom w:val="single" w:sz="8" w:space="0" w:color="CCCCCC"/>
            </w:tcBorders>
            <w:tcMar>
              <w:left w:w="30" w:type="dxa"/>
              <w:right w:w="30" w:type="dxa"/>
            </w:tcMar>
            <w:vAlign w:val="center"/>
          </w:tcPr>
          <w:p w14:paraId="15DBBFA2" w14:textId="60C35AE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Duration of employment + 30 years</w:t>
            </w:r>
          </w:p>
        </w:tc>
      </w:tr>
      <w:tr w:rsidR="00D35302" w:rsidRPr="00B06288" w14:paraId="2867B69C" w14:textId="77777777" w:rsidTr="007E60F4">
        <w:trPr>
          <w:trHeight w:val="369"/>
        </w:trPr>
        <w:tc>
          <w:tcPr>
            <w:tcW w:w="5040" w:type="dxa"/>
            <w:tcBorders>
              <w:top w:val="single" w:sz="8" w:space="0" w:color="CCCCCC"/>
              <w:bottom w:val="single" w:sz="12" w:space="0" w:color="61481C"/>
              <w:right w:val="single" w:sz="8" w:space="0" w:color="CCCCCC"/>
            </w:tcBorders>
            <w:tcMar>
              <w:left w:w="30" w:type="dxa"/>
              <w:right w:w="30" w:type="dxa"/>
            </w:tcMar>
            <w:vAlign w:val="center"/>
          </w:tcPr>
          <w:p w14:paraId="0BA658EC" w14:textId="63C1D75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Written affirmative action program (AAP) and supporting documents</w:t>
            </w:r>
          </w:p>
        </w:tc>
        <w:tc>
          <w:tcPr>
            <w:tcW w:w="5040" w:type="dxa"/>
            <w:tcBorders>
              <w:top w:val="single" w:sz="8" w:space="0" w:color="CCCCCC"/>
              <w:left w:val="nil"/>
              <w:bottom w:val="single" w:sz="12" w:space="0" w:color="61481C"/>
            </w:tcBorders>
            <w:tcMar>
              <w:left w:w="30" w:type="dxa"/>
              <w:right w:w="30" w:type="dxa"/>
            </w:tcMar>
            <w:vAlign w:val="center"/>
          </w:tcPr>
          <w:p w14:paraId="388D8658" w14:textId="1E6FB30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For immediately preceding AAP year, unless it was not then covered by the AAP year</w:t>
            </w:r>
          </w:p>
        </w:tc>
      </w:tr>
      <w:tr w:rsidR="00D35302" w:rsidRPr="00B06288" w14:paraId="26A58767" w14:textId="77777777" w:rsidTr="007E60F4">
        <w:trPr>
          <w:trHeight w:val="567"/>
        </w:trPr>
        <w:tc>
          <w:tcPr>
            <w:tcW w:w="10080" w:type="dxa"/>
            <w:gridSpan w:val="2"/>
            <w:tcBorders>
              <w:top w:val="single" w:sz="12" w:space="0" w:color="61481C"/>
              <w:bottom w:val="single" w:sz="12" w:space="0" w:color="61481C"/>
            </w:tcBorders>
            <w:shd w:val="clear" w:color="auto" w:fill="E6B325"/>
            <w:tcMar>
              <w:left w:w="30" w:type="dxa"/>
              <w:right w:w="30" w:type="dxa"/>
            </w:tcMar>
            <w:vAlign w:val="center"/>
          </w:tcPr>
          <w:p w14:paraId="6C021326" w14:textId="2982D77C" w:rsidR="00D35302" w:rsidRPr="00B06288"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06288">
              <w:rPr>
                <w:rFonts w:ascii="Corbel" w:hAnsi="Corbel" w:cs="Times New Roman"/>
                <w:b/>
                <w:bCs/>
                <w:color w:val="000000"/>
                <w:sz w:val="24"/>
                <w:szCs w:val="24"/>
              </w:rPr>
              <w:t>Payroll Records</w:t>
            </w:r>
          </w:p>
        </w:tc>
      </w:tr>
      <w:tr w:rsidR="00D35302" w:rsidRPr="00B06288" w14:paraId="4C84A8D8" w14:textId="77777777" w:rsidTr="007E60F4">
        <w:trPr>
          <w:trHeight w:val="369"/>
        </w:trPr>
        <w:tc>
          <w:tcPr>
            <w:tcW w:w="5040" w:type="dxa"/>
            <w:tcBorders>
              <w:top w:val="single" w:sz="12" w:space="0" w:color="61481C"/>
              <w:bottom w:val="single" w:sz="8" w:space="0" w:color="CCCCCC"/>
              <w:right w:val="single" w:sz="8" w:space="0" w:color="CCCCCC"/>
            </w:tcBorders>
            <w:tcMar>
              <w:left w:w="30" w:type="dxa"/>
              <w:right w:w="30" w:type="dxa"/>
            </w:tcMar>
            <w:vAlign w:val="center"/>
          </w:tcPr>
          <w:p w14:paraId="67AAF523" w14:textId="1CDC23F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Payroll registers (gross and net)</w:t>
            </w:r>
          </w:p>
        </w:tc>
        <w:tc>
          <w:tcPr>
            <w:tcW w:w="5040" w:type="dxa"/>
            <w:tcBorders>
              <w:top w:val="single" w:sz="12" w:space="0" w:color="61481C"/>
              <w:left w:val="nil"/>
              <w:bottom w:val="single" w:sz="8" w:space="0" w:color="CCCCCC"/>
            </w:tcBorders>
            <w:tcMar>
              <w:left w:w="30" w:type="dxa"/>
              <w:right w:w="30" w:type="dxa"/>
            </w:tcMar>
            <w:vAlign w:val="center"/>
          </w:tcPr>
          <w:p w14:paraId="09B0539F" w14:textId="233FDB03"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[Permanent/3 years from the last date of entry]</w:t>
            </w:r>
          </w:p>
        </w:tc>
      </w:tr>
      <w:tr w:rsidR="00D35302" w:rsidRPr="00B06288" w14:paraId="31D93E37" w14:textId="77777777" w:rsidTr="007E60F4">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0B599BA5" w14:textId="28C15B6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Federal procurement contract and related weekly payroll documents</w:t>
            </w:r>
          </w:p>
        </w:tc>
        <w:tc>
          <w:tcPr>
            <w:tcW w:w="5040" w:type="dxa"/>
            <w:tcBorders>
              <w:top w:val="single" w:sz="8" w:space="0" w:color="CCCCCC"/>
              <w:left w:val="nil"/>
              <w:bottom w:val="single" w:sz="8" w:space="0" w:color="CCCCCC"/>
            </w:tcBorders>
            <w:tcMar>
              <w:left w:w="30" w:type="dxa"/>
              <w:right w:w="30" w:type="dxa"/>
            </w:tcMar>
            <w:vAlign w:val="center"/>
          </w:tcPr>
          <w:p w14:paraId="3BA486EE" w14:textId="445C47E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4 years from completion of contract</w:t>
            </w:r>
          </w:p>
        </w:tc>
      </w:tr>
      <w:tr w:rsidR="00D35302" w:rsidRPr="00B06288" w14:paraId="3939A06A" w14:textId="77777777" w:rsidTr="007E60F4">
        <w:trPr>
          <w:trHeight w:val="369"/>
        </w:trPr>
        <w:tc>
          <w:tcPr>
            <w:tcW w:w="5040" w:type="dxa"/>
            <w:tcBorders>
              <w:top w:val="single" w:sz="8" w:space="0" w:color="CCCCCC"/>
              <w:bottom w:val="single" w:sz="8" w:space="0" w:color="CCCCCC"/>
              <w:right w:val="single" w:sz="8" w:space="0" w:color="CCCCCC"/>
            </w:tcBorders>
            <w:tcMar>
              <w:left w:w="30" w:type="dxa"/>
              <w:right w:w="30" w:type="dxa"/>
            </w:tcMar>
            <w:vAlign w:val="center"/>
          </w:tcPr>
          <w:p w14:paraId="59AEA8F2" w14:textId="7680080A" w:rsidR="00D35302" w:rsidRPr="00B06288" w:rsidRDefault="00577AF1"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Timecards</w:t>
            </w:r>
            <w:r w:rsidR="00D35302" w:rsidRPr="00B06288">
              <w:rPr>
                <w:rFonts w:ascii="Corbel" w:hAnsi="Corbel" w:cs="Times New Roman"/>
                <w:color w:val="000000"/>
                <w:sz w:val="24"/>
                <w:szCs w:val="24"/>
              </w:rPr>
              <w:t xml:space="preserve">; piece work tickets; wage rate tables; pay rates; work and time schedules; earnings records; records of additions to or deductions from wages; records on which wage </w:t>
            </w:r>
            <w:r w:rsidR="00D35302" w:rsidRPr="00B06288">
              <w:rPr>
                <w:rFonts w:ascii="Corbel" w:hAnsi="Corbel" w:cs="Times New Roman"/>
                <w:color w:val="000000"/>
                <w:sz w:val="24"/>
                <w:szCs w:val="24"/>
              </w:rPr>
              <w:lastRenderedPageBreak/>
              <w:t>computations are based</w:t>
            </w:r>
          </w:p>
        </w:tc>
        <w:tc>
          <w:tcPr>
            <w:tcW w:w="5040" w:type="dxa"/>
            <w:tcBorders>
              <w:top w:val="single" w:sz="8" w:space="0" w:color="CCCCCC"/>
              <w:left w:val="nil"/>
              <w:bottom w:val="single" w:sz="8" w:space="0" w:color="CCCCCC"/>
            </w:tcBorders>
            <w:tcMar>
              <w:left w:w="30" w:type="dxa"/>
              <w:right w:w="30" w:type="dxa"/>
            </w:tcMar>
            <w:vAlign w:val="center"/>
          </w:tcPr>
          <w:p w14:paraId="7BE91E3A" w14:textId="69AFC73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lastRenderedPageBreak/>
              <w:t>2 years</w:t>
            </w:r>
          </w:p>
        </w:tc>
      </w:tr>
      <w:tr w:rsidR="00D35302" w:rsidRPr="00B06288" w14:paraId="41B522C4" w14:textId="77777777" w:rsidTr="007E60F4">
        <w:trPr>
          <w:trHeight w:val="369"/>
        </w:trPr>
        <w:tc>
          <w:tcPr>
            <w:tcW w:w="5040" w:type="dxa"/>
            <w:tcBorders>
              <w:top w:val="single" w:sz="8" w:space="0" w:color="CCCCCC"/>
              <w:bottom w:val="single" w:sz="12" w:space="0" w:color="61481C"/>
              <w:right w:val="single" w:sz="8" w:space="0" w:color="CCCCCC"/>
            </w:tcBorders>
            <w:tcMar>
              <w:left w:w="30" w:type="dxa"/>
              <w:right w:w="30" w:type="dxa"/>
            </w:tcMar>
            <w:vAlign w:val="center"/>
          </w:tcPr>
          <w:p w14:paraId="1186575F" w14:textId="2D55BC9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W-2 and W-4 Forms and Statements</w:t>
            </w:r>
          </w:p>
        </w:tc>
        <w:tc>
          <w:tcPr>
            <w:tcW w:w="5040" w:type="dxa"/>
            <w:tcBorders>
              <w:top w:val="single" w:sz="8" w:space="0" w:color="CCCCCC"/>
              <w:left w:val="nil"/>
              <w:bottom w:val="single" w:sz="12" w:space="0" w:color="61481C"/>
            </w:tcBorders>
            <w:tcMar>
              <w:left w:w="30" w:type="dxa"/>
              <w:right w:w="30" w:type="dxa"/>
            </w:tcMar>
            <w:vAlign w:val="center"/>
          </w:tcPr>
          <w:p w14:paraId="4BE8EC11" w14:textId="4D3163E5"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As long as the document is in effect + 4 years</w:t>
            </w:r>
          </w:p>
        </w:tc>
      </w:tr>
      <w:tr w:rsidR="00D35302" w:rsidRPr="00B06288" w14:paraId="7B9127B4" w14:textId="77777777" w:rsidTr="007E60F4">
        <w:trPr>
          <w:trHeight w:val="567"/>
        </w:trPr>
        <w:tc>
          <w:tcPr>
            <w:tcW w:w="10080" w:type="dxa"/>
            <w:gridSpan w:val="2"/>
            <w:tcBorders>
              <w:top w:val="single" w:sz="12" w:space="0" w:color="61481C"/>
              <w:bottom w:val="single" w:sz="12" w:space="0" w:color="61481C"/>
            </w:tcBorders>
            <w:shd w:val="clear" w:color="auto" w:fill="E6B325"/>
            <w:tcMar>
              <w:left w:w="30" w:type="dxa"/>
              <w:right w:w="30" w:type="dxa"/>
            </w:tcMar>
            <w:vAlign w:val="center"/>
          </w:tcPr>
          <w:p w14:paraId="6AE558EB" w14:textId="1B917103" w:rsidR="00D35302" w:rsidRPr="00B06288"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06288">
              <w:rPr>
                <w:rFonts w:ascii="Corbel" w:hAnsi="Corbel" w:cs="Times New Roman"/>
                <w:b/>
                <w:bCs/>
                <w:color w:val="000000"/>
                <w:sz w:val="24"/>
                <w:szCs w:val="24"/>
              </w:rPr>
              <w:t>Corporate Records</w:t>
            </w:r>
          </w:p>
        </w:tc>
      </w:tr>
      <w:tr w:rsidR="00D35302" w:rsidRPr="00B06288" w14:paraId="693B81DB" w14:textId="77777777" w:rsidTr="007E60F4">
        <w:trPr>
          <w:trHeight w:val="369"/>
        </w:trPr>
        <w:tc>
          <w:tcPr>
            <w:tcW w:w="5040" w:type="dxa"/>
            <w:tcBorders>
              <w:top w:val="single" w:sz="12" w:space="0" w:color="61481C"/>
              <w:bottom w:val="single" w:sz="8" w:space="0" w:color="CCCCCC"/>
              <w:right w:val="single" w:sz="8" w:space="0" w:color="CCCCCC"/>
            </w:tcBorders>
            <w:tcMar>
              <w:left w:w="30" w:type="dxa"/>
              <w:right w:w="30" w:type="dxa"/>
            </w:tcMar>
            <w:vAlign w:val="center"/>
          </w:tcPr>
          <w:p w14:paraId="2DC3BF97" w14:textId="31C63B1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Articles of Incorporation, Bylaws, Corporate Seal</w:t>
            </w:r>
          </w:p>
        </w:tc>
        <w:tc>
          <w:tcPr>
            <w:tcW w:w="5040" w:type="dxa"/>
            <w:tcBorders>
              <w:top w:val="single" w:sz="12" w:space="0" w:color="61481C"/>
              <w:left w:val="nil"/>
              <w:bottom w:val="single" w:sz="8" w:space="0" w:color="CCCCCC"/>
            </w:tcBorders>
            <w:tcMar>
              <w:left w:w="30" w:type="dxa"/>
              <w:right w:w="30" w:type="dxa"/>
            </w:tcMar>
            <w:vAlign w:val="center"/>
          </w:tcPr>
          <w:p w14:paraId="2CC6FF43" w14:textId="1CD4DE0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7BA5543B"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142947C2" w14:textId="3CBB772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Annual corporate filings and reports to secretary of state and attorney general</w:t>
            </w:r>
          </w:p>
        </w:tc>
        <w:tc>
          <w:tcPr>
            <w:tcW w:w="5040" w:type="dxa"/>
            <w:tcBorders>
              <w:top w:val="nil"/>
              <w:left w:val="nil"/>
              <w:bottom w:val="single" w:sz="8" w:space="0" w:color="CCCCCC"/>
            </w:tcBorders>
            <w:tcMar>
              <w:left w:w="30" w:type="dxa"/>
              <w:right w:w="30" w:type="dxa"/>
            </w:tcMar>
            <w:vAlign w:val="center"/>
          </w:tcPr>
          <w:p w14:paraId="7375720D" w14:textId="7ED7A44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57639E94"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7E336095" w14:textId="3268E86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Board policies, resolutions, meeting minutes and committee meeting minutes</w:t>
            </w:r>
          </w:p>
        </w:tc>
        <w:tc>
          <w:tcPr>
            <w:tcW w:w="5040" w:type="dxa"/>
            <w:tcBorders>
              <w:top w:val="nil"/>
              <w:left w:val="nil"/>
              <w:bottom w:val="single" w:sz="8" w:space="0" w:color="CCCCCC"/>
            </w:tcBorders>
            <w:tcMar>
              <w:left w:w="30" w:type="dxa"/>
              <w:right w:w="30" w:type="dxa"/>
            </w:tcMar>
            <w:vAlign w:val="center"/>
          </w:tcPr>
          <w:p w14:paraId="5789AAA0" w14:textId="7DA84DB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tc>
      </w:tr>
      <w:tr w:rsidR="00D35302" w:rsidRPr="00B06288" w14:paraId="11813CEB"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8A7383C" w14:textId="6AC79A6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Contracts</w:t>
            </w:r>
          </w:p>
        </w:tc>
        <w:tc>
          <w:tcPr>
            <w:tcW w:w="5040" w:type="dxa"/>
            <w:tcBorders>
              <w:top w:val="nil"/>
              <w:left w:val="nil"/>
              <w:bottom w:val="single" w:sz="8" w:space="0" w:color="CCCCCC"/>
            </w:tcBorders>
            <w:tcMar>
              <w:left w:w="30" w:type="dxa"/>
              <w:right w:w="30" w:type="dxa"/>
            </w:tcMar>
            <w:vAlign w:val="center"/>
          </w:tcPr>
          <w:p w14:paraId="6698DDC8" w14:textId="067ADC7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 if current (7 years if expired)</w:t>
            </w:r>
          </w:p>
        </w:tc>
      </w:tr>
      <w:tr w:rsidR="00D35302" w:rsidRPr="00B06288" w14:paraId="66708422"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065FDA20" w14:textId="4327D97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rPr>
              <w:t>Construction documents</w:t>
            </w:r>
          </w:p>
        </w:tc>
        <w:tc>
          <w:tcPr>
            <w:tcW w:w="5040" w:type="dxa"/>
            <w:tcBorders>
              <w:top w:val="nil"/>
              <w:left w:val="nil"/>
              <w:bottom w:val="single" w:sz="8" w:space="0" w:color="CCCCCC"/>
            </w:tcBorders>
            <w:tcMar>
              <w:left w:w="30" w:type="dxa"/>
              <w:right w:w="30" w:type="dxa"/>
            </w:tcMar>
            <w:vAlign w:val="center"/>
          </w:tcPr>
          <w:p w14:paraId="74E73F33" w14:textId="6ACEEEE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tc>
      </w:tr>
      <w:tr w:rsidR="00D35302" w:rsidRPr="00B06288" w14:paraId="06C53CFD"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16B832D2" w14:textId="08687A25"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E-mails (business related)</w:t>
            </w:r>
          </w:p>
        </w:tc>
        <w:tc>
          <w:tcPr>
            <w:tcW w:w="5040" w:type="dxa"/>
            <w:tcBorders>
              <w:top w:val="nil"/>
              <w:left w:val="nil"/>
              <w:bottom w:val="single" w:sz="8" w:space="0" w:color="CCCCCC"/>
            </w:tcBorders>
            <w:tcMar>
              <w:left w:w="30" w:type="dxa"/>
              <w:right w:w="30" w:type="dxa"/>
            </w:tcMar>
            <w:vAlign w:val="center"/>
          </w:tcPr>
          <w:p w14:paraId="2AD349DC" w14:textId="2B22A2A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w:t>
            </w:r>
          </w:p>
        </w:tc>
      </w:tr>
      <w:tr w:rsidR="00D35302" w:rsidRPr="00B06288" w14:paraId="3FE493B7"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3B25898" w14:textId="13FE723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Fixed Asset Records</w:t>
            </w:r>
          </w:p>
        </w:tc>
        <w:tc>
          <w:tcPr>
            <w:tcW w:w="5040" w:type="dxa"/>
            <w:tcBorders>
              <w:top w:val="nil"/>
              <w:left w:val="nil"/>
              <w:bottom w:val="single" w:sz="8" w:space="0" w:color="CCCCCC"/>
            </w:tcBorders>
            <w:tcMar>
              <w:left w:w="30" w:type="dxa"/>
              <w:right w:w="30" w:type="dxa"/>
            </w:tcMar>
            <w:vAlign w:val="center"/>
          </w:tcPr>
          <w:p w14:paraId="271731F7" w14:textId="236F85B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30B75FB5"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0D561ADC" w14:textId="7999DC9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IRS Form 1023 (Application for charitable and/or tax-exempt status)</w:t>
            </w:r>
          </w:p>
        </w:tc>
        <w:tc>
          <w:tcPr>
            <w:tcW w:w="5040" w:type="dxa"/>
            <w:tcBorders>
              <w:top w:val="nil"/>
              <w:left w:val="nil"/>
              <w:bottom w:val="single" w:sz="8" w:space="0" w:color="CCCCCC"/>
            </w:tcBorders>
            <w:tcMar>
              <w:left w:w="30" w:type="dxa"/>
              <w:right w:w="30" w:type="dxa"/>
            </w:tcMar>
            <w:vAlign w:val="center"/>
          </w:tcPr>
          <w:p w14:paraId="3043B65A" w14:textId="1EB1545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0FD8CBDA"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65A833D5" w14:textId="6C7257A9"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IRS Determination Letter</w:t>
            </w:r>
          </w:p>
        </w:tc>
        <w:tc>
          <w:tcPr>
            <w:tcW w:w="5040" w:type="dxa"/>
            <w:tcBorders>
              <w:top w:val="nil"/>
              <w:left w:val="nil"/>
              <w:bottom w:val="single" w:sz="8" w:space="0" w:color="CCCCCC"/>
            </w:tcBorders>
            <w:tcMar>
              <w:left w:w="30" w:type="dxa"/>
              <w:right w:w="30" w:type="dxa"/>
            </w:tcMar>
            <w:vAlign w:val="center"/>
          </w:tcPr>
          <w:p w14:paraId="30F3B0F7" w14:textId="04BD47A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03869D77"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2A26772C" w14:textId="2CFD193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Sales and purchase records</w:t>
            </w:r>
          </w:p>
        </w:tc>
        <w:tc>
          <w:tcPr>
            <w:tcW w:w="5040" w:type="dxa"/>
            <w:tcBorders>
              <w:top w:val="nil"/>
              <w:left w:val="nil"/>
              <w:bottom w:val="single" w:sz="8" w:space="0" w:color="CCCCCC"/>
            </w:tcBorders>
            <w:tcMar>
              <w:left w:w="30" w:type="dxa"/>
              <w:right w:w="30" w:type="dxa"/>
            </w:tcMar>
            <w:vAlign w:val="center"/>
          </w:tcPr>
          <w:p w14:paraId="18189E89" w14:textId="0A850AD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w:t>
            </w:r>
          </w:p>
        </w:tc>
      </w:tr>
      <w:tr w:rsidR="00D35302" w:rsidRPr="00B06288" w14:paraId="06328281"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47B1C6DC" w14:textId="70DFCD9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rPr>
              <w:t>State sales tax exemption documents</w:t>
            </w:r>
          </w:p>
        </w:tc>
        <w:tc>
          <w:tcPr>
            <w:tcW w:w="5040" w:type="dxa"/>
            <w:tcBorders>
              <w:top w:val="nil"/>
              <w:left w:val="nil"/>
              <w:bottom w:val="single" w:sz="8" w:space="0" w:color="CCCCCC"/>
            </w:tcBorders>
            <w:tcMar>
              <w:left w:w="30" w:type="dxa"/>
              <w:right w:w="30" w:type="dxa"/>
            </w:tcMar>
            <w:vAlign w:val="center"/>
          </w:tcPr>
          <w:p w14:paraId="0CC53FF0" w14:textId="54DF030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tc>
      </w:tr>
      <w:tr w:rsidR="00D35302" w:rsidRPr="00B06288" w14:paraId="0A390255"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5AF6A7A4" w14:textId="5C818BD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Records and reports on investigational drugs [for sponsors of clinical trials, usually pharmaceutical companies]</w:t>
            </w:r>
          </w:p>
        </w:tc>
        <w:tc>
          <w:tcPr>
            <w:tcW w:w="5040" w:type="dxa"/>
            <w:tcBorders>
              <w:top w:val="nil"/>
              <w:left w:val="nil"/>
              <w:bottom w:val="single" w:sz="8" w:space="0" w:color="CCCCCC"/>
            </w:tcBorders>
            <w:tcMar>
              <w:left w:w="30" w:type="dxa"/>
              <w:right w:w="30" w:type="dxa"/>
            </w:tcMar>
            <w:vAlign w:val="center"/>
          </w:tcPr>
          <w:p w14:paraId="253C0282" w14:textId="478F38C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2 years from when marketing application is approved for the drug. If marketing application is not approved for the drug, retain until 2 years after shipment and delivery of the drug for investigational use is discontinued and FDA has been so notified</w:t>
            </w:r>
          </w:p>
        </w:tc>
      </w:tr>
      <w:tr w:rsidR="00D35302" w:rsidRPr="00B06288" w14:paraId="35E4F5A6" w14:textId="77777777" w:rsidTr="007E60F4">
        <w:trPr>
          <w:trHeight w:val="369"/>
        </w:trPr>
        <w:tc>
          <w:tcPr>
            <w:tcW w:w="5040" w:type="dxa"/>
            <w:tcBorders>
              <w:top w:val="nil"/>
              <w:bottom w:val="single" w:sz="12" w:space="0" w:color="61481C"/>
              <w:right w:val="single" w:sz="8" w:space="0" w:color="CCCCCC"/>
            </w:tcBorders>
            <w:tcMar>
              <w:left w:w="30" w:type="dxa"/>
              <w:right w:w="30" w:type="dxa"/>
            </w:tcMar>
            <w:vAlign w:val="center"/>
          </w:tcPr>
          <w:p w14:paraId="54AD9CCF" w14:textId="73F7129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Resolutions</w:t>
            </w:r>
          </w:p>
        </w:tc>
        <w:tc>
          <w:tcPr>
            <w:tcW w:w="5040" w:type="dxa"/>
            <w:tcBorders>
              <w:top w:val="nil"/>
              <w:left w:val="nil"/>
              <w:bottom w:val="single" w:sz="12" w:space="0" w:color="61481C"/>
            </w:tcBorders>
            <w:tcMar>
              <w:left w:w="30" w:type="dxa"/>
              <w:right w:w="30" w:type="dxa"/>
            </w:tcMar>
            <w:vAlign w:val="center"/>
          </w:tcPr>
          <w:p w14:paraId="09CA6DDA" w14:textId="6892172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1EDBFC7D" w14:textId="77777777" w:rsidTr="007E60F4">
        <w:trPr>
          <w:trHeight w:val="567"/>
        </w:trPr>
        <w:tc>
          <w:tcPr>
            <w:tcW w:w="10080" w:type="dxa"/>
            <w:gridSpan w:val="2"/>
            <w:tcBorders>
              <w:top w:val="single" w:sz="12" w:space="0" w:color="61481C"/>
              <w:bottom w:val="single" w:sz="12" w:space="0" w:color="61481C"/>
            </w:tcBorders>
            <w:shd w:val="clear" w:color="auto" w:fill="E6B325"/>
            <w:tcMar>
              <w:left w:w="30" w:type="dxa"/>
              <w:right w:w="30" w:type="dxa"/>
            </w:tcMar>
            <w:vAlign w:val="center"/>
          </w:tcPr>
          <w:p w14:paraId="355BD3E0" w14:textId="35A94613" w:rsidR="00D35302" w:rsidRPr="00B06288"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06288">
              <w:rPr>
                <w:rFonts w:ascii="Corbel" w:hAnsi="Corbel" w:cs="Times New Roman"/>
                <w:b/>
                <w:bCs/>
                <w:color w:val="000000"/>
                <w:sz w:val="24"/>
                <w:szCs w:val="24"/>
              </w:rPr>
              <w:t>Securities Records</w:t>
            </w:r>
          </w:p>
        </w:tc>
      </w:tr>
      <w:tr w:rsidR="00D35302" w:rsidRPr="00B06288" w14:paraId="4F49D4F2" w14:textId="77777777" w:rsidTr="007E60F4">
        <w:trPr>
          <w:trHeight w:val="369"/>
        </w:trPr>
        <w:tc>
          <w:tcPr>
            <w:tcW w:w="5040" w:type="dxa"/>
            <w:tcBorders>
              <w:top w:val="single" w:sz="12" w:space="0" w:color="61481C"/>
              <w:bottom w:val="single" w:sz="8" w:space="0" w:color="CCCCCC"/>
              <w:right w:val="single" w:sz="8" w:space="0" w:color="CCCCCC"/>
            </w:tcBorders>
            <w:tcMar>
              <w:left w:w="30" w:type="dxa"/>
              <w:right w:w="30" w:type="dxa"/>
            </w:tcMar>
            <w:vAlign w:val="center"/>
          </w:tcPr>
          <w:p w14:paraId="485680C4" w14:textId="23E7ACE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Audit and review workpapers</w:t>
            </w:r>
          </w:p>
        </w:tc>
        <w:tc>
          <w:tcPr>
            <w:tcW w:w="5040" w:type="dxa"/>
            <w:tcBorders>
              <w:top w:val="single" w:sz="12" w:space="0" w:color="61481C"/>
              <w:left w:val="nil"/>
              <w:bottom w:val="single" w:sz="8" w:space="0" w:color="CCCCCC"/>
            </w:tcBorders>
            <w:tcMar>
              <w:left w:w="30" w:type="dxa"/>
              <w:right w:w="30" w:type="dxa"/>
            </w:tcMar>
            <w:vAlign w:val="center"/>
          </w:tcPr>
          <w:p w14:paraId="65823576" w14:textId="09E010F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5 years from the end of the fiscal period in which the audit or review was concluded</w:t>
            </w:r>
          </w:p>
        </w:tc>
      </w:tr>
      <w:tr w:rsidR="00D35302" w:rsidRPr="00B06288" w14:paraId="6EBDD189"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4FB9896" w14:textId="42A08A55"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Blotters or other records of original entry containing the itemized daily record of all purchases and sales of securities [applicable to broker-dealers]</w:t>
            </w:r>
          </w:p>
        </w:tc>
        <w:tc>
          <w:tcPr>
            <w:tcW w:w="5040" w:type="dxa"/>
            <w:tcBorders>
              <w:top w:val="nil"/>
              <w:left w:val="nil"/>
              <w:bottom w:val="single" w:sz="8" w:space="0" w:color="CCCCCC"/>
            </w:tcBorders>
            <w:tcMar>
              <w:left w:w="30" w:type="dxa"/>
              <w:right w:w="30" w:type="dxa"/>
            </w:tcMar>
            <w:vAlign w:val="center"/>
          </w:tcPr>
          <w:p w14:paraId="3319928D"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6 years (for first 2 years, records must be kept in an easily accessible place)</w:t>
            </w:r>
          </w:p>
          <w:p w14:paraId="7717FFD0"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r>
      <w:tr w:rsidR="00D35302" w:rsidRPr="00B06288" w14:paraId="11ADA45F"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72EBE6CB" w14:textId="1D6B90D9"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Documents supporting management’s assessment of internal controls over financial reporting</w:t>
            </w:r>
          </w:p>
        </w:tc>
        <w:tc>
          <w:tcPr>
            <w:tcW w:w="5040" w:type="dxa"/>
            <w:tcBorders>
              <w:top w:val="nil"/>
              <w:left w:val="nil"/>
              <w:bottom w:val="single" w:sz="8" w:space="0" w:color="CCCCCC"/>
            </w:tcBorders>
            <w:tcMar>
              <w:left w:w="30" w:type="dxa"/>
              <w:right w:w="30" w:type="dxa"/>
            </w:tcMar>
            <w:vAlign w:val="center"/>
          </w:tcPr>
          <w:p w14:paraId="5F01DCCD"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p w14:paraId="65809A55"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p>
        </w:tc>
      </w:tr>
      <w:tr w:rsidR="00D35302" w:rsidRPr="00B06288" w14:paraId="2BE117D4"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61CB5EFF" w14:textId="5DB9011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List of clients that are covered associates and government entities</w:t>
            </w:r>
          </w:p>
        </w:tc>
        <w:tc>
          <w:tcPr>
            <w:tcW w:w="5040" w:type="dxa"/>
            <w:tcBorders>
              <w:top w:val="nil"/>
              <w:left w:val="nil"/>
              <w:bottom w:val="single" w:sz="8" w:space="0" w:color="CCCCCC"/>
            </w:tcBorders>
            <w:tcMar>
              <w:left w:w="30" w:type="dxa"/>
              <w:right w:w="30" w:type="dxa"/>
            </w:tcMar>
            <w:vAlign w:val="center"/>
          </w:tcPr>
          <w:p w14:paraId="52084204"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5 years (but not prior to September 13, 2010)</w:t>
            </w:r>
          </w:p>
          <w:p w14:paraId="21D96414"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r>
      <w:tr w:rsidR="00D35302" w:rsidRPr="00B06288" w14:paraId="7A20BB76"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5FF56D20" w14:textId="0080869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 xml:space="preserve">Order tickets for brokerage orders; customer </w:t>
            </w:r>
            <w:r w:rsidRPr="00B06288">
              <w:rPr>
                <w:rFonts w:ascii="Corbel" w:hAnsi="Corbel" w:cs="Times New Roman"/>
                <w:color w:val="000000"/>
                <w:sz w:val="24"/>
                <w:szCs w:val="24"/>
              </w:rPr>
              <w:lastRenderedPageBreak/>
              <w:t>complaints; compensation records</w:t>
            </w:r>
          </w:p>
        </w:tc>
        <w:tc>
          <w:tcPr>
            <w:tcW w:w="5040" w:type="dxa"/>
            <w:tcBorders>
              <w:top w:val="nil"/>
              <w:left w:val="nil"/>
              <w:bottom w:val="single" w:sz="8" w:space="0" w:color="CCCCCC"/>
            </w:tcBorders>
            <w:tcMar>
              <w:left w:w="30" w:type="dxa"/>
              <w:right w:w="30" w:type="dxa"/>
            </w:tcMar>
            <w:vAlign w:val="center"/>
          </w:tcPr>
          <w:p w14:paraId="65683B9D"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lastRenderedPageBreak/>
              <w:t xml:space="preserve">3 years (the first 2 years in an easily accessible </w:t>
            </w:r>
            <w:r w:rsidRPr="00B06288">
              <w:rPr>
                <w:rFonts w:ascii="Corbel" w:hAnsi="Corbel" w:cs="Times New Roman"/>
                <w:color w:val="000000"/>
                <w:sz w:val="24"/>
                <w:szCs w:val="24"/>
              </w:rPr>
              <w:lastRenderedPageBreak/>
              <w:t>place)</w:t>
            </w:r>
          </w:p>
          <w:p w14:paraId="6AC3F1D0"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r>
      <w:tr w:rsidR="00D35302" w:rsidRPr="00B06288" w14:paraId="0388FB80"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121136FB" w14:textId="3297B17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lastRenderedPageBreak/>
              <w:t>Original signature pages or other documents showing the signatures of certifying officers in SEC filings</w:t>
            </w:r>
          </w:p>
        </w:tc>
        <w:tc>
          <w:tcPr>
            <w:tcW w:w="5040" w:type="dxa"/>
            <w:tcBorders>
              <w:top w:val="nil"/>
              <w:left w:val="nil"/>
              <w:bottom w:val="single" w:sz="8" w:space="0" w:color="CCCCCC"/>
            </w:tcBorders>
            <w:tcMar>
              <w:left w:w="30" w:type="dxa"/>
              <w:right w:w="30" w:type="dxa"/>
            </w:tcMar>
            <w:vAlign w:val="center"/>
          </w:tcPr>
          <w:p w14:paraId="3976FE78"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5 years from date of filing</w:t>
            </w:r>
          </w:p>
          <w:p w14:paraId="250D1FC8"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p>
        </w:tc>
      </w:tr>
      <w:tr w:rsidR="00D35302" w:rsidRPr="00B06288" w14:paraId="07C36F0C"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5CA4A887" w14:textId="3A6E3FF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Records related to political contributions to officials and candidates and payments to state or local political parties and political action committees [applicable to investment advisers]</w:t>
            </w:r>
          </w:p>
        </w:tc>
        <w:tc>
          <w:tcPr>
            <w:tcW w:w="5040" w:type="dxa"/>
            <w:tcBorders>
              <w:top w:val="nil"/>
              <w:left w:val="nil"/>
              <w:bottom w:val="single" w:sz="8" w:space="0" w:color="CCCCCC"/>
            </w:tcBorders>
            <w:tcMar>
              <w:left w:w="30" w:type="dxa"/>
              <w:right w:w="30" w:type="dxa"/>
            </w:tcMar>
            <w:vAlign w:val="center"/>
          </w:tcPr>
          <w:p w14:paraId="33E228B9"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5 years (but not prior to September 13, 2010)</w:t>
            </w:r>
          </w:p>
          <w:p w14:paraId="06410758"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r>
      <w:tr w:rsidR="00D35302" w:rsidRPr="00B06288" w14:paraId="47596DB0" w14:textId="77777777" w:rsidTr="007E60F4">
        <w:trPr>
          <w:trHeight w:val="369"/>
        </w:trPr>
        <w:tc>
          <w:tcPr>
            <w:tcW w:w="5040" w:type="dxa"/>
            <w:tcBorders>
              <w:top w:val="nil"/>
              <w:bottom w:val="single" w:sz="12" w:space="0" w:color="61481C"/>
              <w:right w:val="single" w:sz="8" w:space="0" w:color="CCCCCC"/>
            </w:tcBorders>
            <w:tcMar>
              <w:left w:w="30" w:type="dxa"/>
              <w:right w:w="30" w:type="dxa"/>
            </w:tcMar>
            <w:vAlign w:val="center"/>
          </w:tcPr>
          <w:p w14:paraId="4A11BD82" w14:textId="419CE0F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 xml:space="preserve">Records relevant to an audit or review, including memoranda, </w:t>
            </w:r>
            <w:r w:rsidR="00577AF1" w:rsidRPr="00B06288">
              <w:rPr>
                <w:rFonts w:ascii="Corbel" w:hAnsi="Corbel" w:cs="Times New Roman"/>
                <w:color w:val="000000"/>
                <w:sz w:val="24"/>
                <w:szCs w:val="24"/>
              </w:rPr>
              <w:t>correspondence,</w:t>
            </w:r>
            <w:r w:rsidRPr="00B06288">
              <w:rPr>
                <w:rFonts w:ascii="Corbel" w:hAnsi="Corbel" w:cs="Times New Roman"/>
                <w:color w:val="000000"/>
                <w:sz w:val="24"/>
                <w:szCs w:val="24"/>
              </w:rPr>
              <w:t xml:space="preserve"> and other communications</w:t>
            </w:r>
          </w:p>
        </w:tc>
        <w:tc>
          <w:tcPr>
            <w:tcW w:w="5040" w:type="dxa"/>
            <w:tcBorders>
              <w:top w:val="nil"/>
              <w:left w:val="nil"/>
              <w:bottom w:val="single" w:sz="12" w:space="0" w:color="61481C"/>
            </w:tcBorders>
            <w:tcMar>
              <w:left w:w="30" w:type="dxa"/>
              <w:right w:w="30" w:type="dxa"/>
            </w:tcMar>
            <w:vAlign w:val="center"/>
          </w:tcPr>
          <w:p w14:paraId="049AF298" w14:textId="44CEF41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 after conclusion of audit or review</w:t>
            </w:r>
          </w:p>
        </w:tc>
      </w:tr>
      <w:tr w:rsidR="00D35302" w:rsidRPr="00B06288" w14:paraId="7412DB68" w14:textId="77777777" w:rsidTr="007E60F4">
        <w:trPr>
          <w:trHeight w:val="567"/>
        </w:trPr>
        <w:tc>
          <w:tcPr>
            <w:tcW w:w="10080" w:type="dxa"/>
            <w:gridSpan w:val="2"/>
            <w:tcBorders>
              <w:top w:val="single" w:sz="12" w:space="0" w:color="61481C"/>
              <w:bottom w:val="single" w:sz="12" w:space="0" w:color="61481C"/>
            </w:tcBorders>
            <w:shd w:val="clear" w:color="auto" w:fill="E6B325"/>
            <w:tcMar>
              <w:left w:w="30" w:type="dxa"/>
              <w:right w:w="30" w:type="dxa"/>
            </w:tcMar>
            <w:vAlign w:val="center"/>
          </w:tcPr>
          <w:p w14:paraId="262BA983" w14:textId="39F21368" w:rsidR="00D35302" w:rsidRPr="00B06288"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06288">
              <w:rPr>
                <w:rFonts w:ascii="Corbel" w:hAnsi="Corbel" w:cs="Times New Roman"/>
                <w:b/>
                <w:bCs/>
                <w:color w:val="000000"/>
                <w:sz w:val="24"/>
                <w:szCs w:val="24"/>
              </w:rPr>
              <w:t>Accounting and Finance</w:t>
            </w:r>
          </w:p>
        </w:tc>
      </w:tr>
      <w:tr w:rsidR="00D35302" w:rsidRPr="00B06288" w14:paraId="38F35050" w14:textId="77777777" w:rsidTr="007E60F4">
        <w:trPr>
          <w:trHeight w:val="369"/>
        </w:trPr>
        <w:tc>
          <w:tcPr>
            <w:tcW w:w="5040" w:type="dxa"/>
            <w:tcBorders>
              <w:top w:val="single" w:sz="12" w:space="0" w:color="61481C"/>
              <w:bottom w:val="single" w:sz="8" w:space="0" w:color="CCCCCC"/>
              <w:right w:val="single" w:sz="8" w:space="0" w:color="CCCCCC"/>
            </w:tcBorders>
            <w:tcMar>
              <w:left w:w="30" w:type="dxa"/>
              <w:right w:w="30" w:type="dxa"/>
            </w:tcMar>
            <w:vAlign w:val="center"/>
          </w:tcPr>
          <w:p w14:paraId="23FC42A5" w14:textId="4E15636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Accounts Payable and Receivables ledgers and schedules</w:t>
            </w:r>
          </w:p>
        </w:tc>
        <w:tc>
          <w:tcPr>
            <w:tcW w:w="5040" w:type="dxa"/>
            <w:tcBorders>
              <w:top w:val="single" w:sz="12" w:space="0" w:color="61481C"/>
              <w:left w:val="nil"/>
              <w:bottom w:val="single" w:sz="8" w:space="0" w:color="CCCCCC"/>
            </w:tcBorders>
            <w:tcMar>
              <w:left w:w="30" w:type="dxa"/>
              <w:right w:w="30" w:type="dxa"/>
            </w:tcMar>
            <w:vAlign w:val="center"/>
          </w:tcPr>
          <w:p w14:paraId="42F7D6AC" w14:textId="01B6D6B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w:t>
            </w:r>
            <w:r w:rsidR="00577AF1" w:rsidRPr="00B06288">
              <w:rPr>
                <w:rFonts w:ascii="Corbel" w:hAnsi="Corbel" w:cs="Times New Roman"/>
                <w:color w:val="000000"/>
                <w:sz w:val="24"/>
                <w:szCs w:val="24"/>
              </w:rPr>
              <w:t>s</w:t>
            </w:r>
          </w:p>
        </w:tc>
      </w:tr>
      <w:tr w:rsidR="00D35302" w:rsidRPr="00B06288" w14:paraId="1CA65C58"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2B0A897D" w14:textId="37D90A29"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Annual audit reports and financial statements</w:t>
            </w:r>
          </w:p>
        </w:tc>
        <w:tc>
          <w:tcPr>
            <w:tcW w:w="5040" w:type="dxa"/>
            <w:tcBorders>
              <w:top w:val="nil"/>
              <w:left w:val="nil"/>
              <w:bottom w:val="single" w:sz="8" w:space="0" w:color="CCCCCC"/>
            </w:tcBorders>
            <w:tcMar>
              <w:left w:w="30" w:type="dxa"/>
              <w:right w:w="30" w:type="dxa"/>
            </w:tcMar>
            <w:vAlign w:val="center"/>
          </w:tcPr>
          <w:p w14:paraId="6E5A6374" w14:textId="1C679D9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75649719"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40121677" w14:textId="786C764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Annual plans and budgets</w:t>
            </w:r>
          </w:p>
        </w:tc>
        <w:tc>
          <w:tcPr>
            <w:tcW w:w="5040" w:type="dxa"/>
            <w:tcBorders>
              <w:top w:val="nil"/>
              <w:left w:val="nil"/>
              <w:bottom w:val="single" w:sz="8" w:space="0" w:color="CCCCCC"/>
            </w:tcBorders>
            <w:tcMar>
              <w:left w:w="30" w:type="dxa"/>
              <w:right w:w="30" w:type="dxa"/>
            </w:tcMar>
            <w:vAlign w:val="center"/>
          </w:tcPr>
          <w:p w14:paraId="15839E82" w14:textId="7403261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2 years</w:t>
            </w:r>
          </w:p>
        </w:tc>
      </w:tr>
      <w:tr w:rsidR="00D35302" w:rsidRPr="00B06288" w14:paraId="4266E40F"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02AF6EDB" w14:textId="5974023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Bank statements, cancelled checks, deposit slips</w:t>
            </w:r>
          </w:p>
        </w:tc>
        <w:tc>
          <w:tcPr>
            <w:tcW w:w="5040" w:type="dxa"/>
            <w:tcBorders>
              <w:top w:val="nil"/>
              <w:left w:val="nil"/>
              <w:bottom w:val="single" w:sz="8" w:space="0" w:color="CCCCCC"/>
            </w:tcBorders>
            <w:tcMar>
              <w:left w:w="30" w:type="dxa"/>
              <w:right w:w="30" w:type="dxa"/>
            </w:tcMar>
            <w:vAlign w:val="center"/>
          </w:tcPr>
          <w:p w14:paraId="706DE13D" w14:textId="5285F74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657B0B46"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6449EBD3" w14:textId="29179BA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Business expense records</w:t>
            </w:r>
          </w:p>
        </w:tc>
        <w:tc>
          <w:tcPr>
            <w:tcW w:w="5040" w:type="dxa"/>
            <w:tcBorders>
              <w:top w:val="nil"/>
              <w:left w:val="nil"/>
              <w:bottom w:val="single" w:sz="8" w:space="0" w:color="CCCCCC"/>
            </w:tcBorders>
            <w:tcMar>
              <w:left w:w="30" w:type="dxa"/>
              <w:right w:w="30" w:type="dxa"/>
            </w:tcMar>
            <w:vAlign w:val="center"/>
          </w:tcPr>
          <w:p w14:paraId="3F095E7F" w14:textId="09BAAC63"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747FB59D"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25640DA7" w14:textId="50E182E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Cash receipts</w:t>
            </w:r>
          </w:p>
        </w:tc>
        <w:tc>
          <w:tcPr>
            <w:tcW w:w="5040" w:type="dxa"/>
            <w:tcBorders>
              <w:top w:val="nil"/>
              <w:left w:val="nil"/>
              <w:bottom w:val="single" w:sz="8" w:space="0" w:color="CCCCCC"/>
            </w:tcBorders>
            <w:tcMar>
              <w:left w:w="30" w:type="dxa"/>
              <w:right w:w="30" w:type="dxa"/>
            </w:tcMar>
            <w:vAlign w:val="center"/>
          </w:tcPr>
          <w:p w14:paraId="7E649A48" w14:textId="7668AF3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w:t>
            </w:r>
          </w:p>
        </w:tc>
      </w:tr>
      <w:tr w:rsidR="00D35302" w:rsidRPr="00B06288" w14:paraId="7E72882A"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2C1502E5" w14:textId="7653D86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Check registers</w:t>
            </w:r>
          </w:p>
        </w:tc>
        <w:tc>
          <w:tcPr>
            <w:tcW w:w="5040" w:type="dxa"/>
            <w:tcBorders>
              <w:top w:val="nil"/>
              <w:left w:val="nil"/>
              <w:bottom w:val="single" w:sz="8" w:space="0" w:color="CCCCCC"/>
            </w:tcBorders>
            <w:tcMar>
              <w:left w:w="30" w:type="dxa"/>
              <w:right w:w="30" w:type="dxa"/>
            </w:tcMar>
            <w:vAlign w:val="center"/>
          </w:tcPr>
          <w:p w14:paraId="17ED1CB2" w14:textId="09A3182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76EA987E"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1D833D03" w14:textId="71E4E16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rPr>
              <w:t>Electronic fund transfer documents</w:t>
            </w:r>
          </w:p>
        </w:tc>
        <w:tc>
          <w:tcPr>
            <w:tcW w:w="5040" w:type="dxa"/>
            <w:tcBorders>
              <w:top w:val="nil"/>
              <w:left w:val="nil"/>
              <w:bottom w:val="single" w:sz="8" w:space="0" w:color="CCCCCC"/>
            </w:tcBorders>
            <w:tcMar>
              <w:left w:w="30" w:type="dxa"/>
              <w:right w:w="30" w:type="dxa"/>
            </w:tcMar>
            <w:vAlign w:val="center"/>
          </w:tcPr>
          <w:p w14:paraId="77B5076B" w14:textId="74A8445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7 years</w:t>
            </w:r>
          </w:p>
        </w:tc>
      </w:tr>
      <w:tr w:rsidR="00D35302" w:rsidRPr="00B06288" w14:paraId="714E6916"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26C1FE29" w14:textId="49097E0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Employee expense reports</w:t>
            </w:r>
          </w:p>
        </w:tc>
        <w:tc>
          <w:tcPr>
            <w:tcW w:w="5040" w:type="dxa"/>
            <w:tcBorders>
              <w:top w:val="nil"/>
              <w:left w:val="nil"/>
              <w:bottom w:val="single" w:sz="8" w:space="0" w:color="CCCCCC"/>
            </w:tcBorders>
            <w:tcMar>
              <w:left w:w="30" w:type="dxa"/>
              <w:right w:w="30" w:type="dxa"/>
            </w:tcMar>
            <w:vAlign w:val="center"/>
          </w:tcPr>
          <w:p w14:paraId="673B8446" w14:textId="4883587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7F0054A5"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0CD33789" w14:textId="3526283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General ledgers</w:t>
            </w:r>
          </w:p>
        </w:tc>
        <w:tc>
          <w:tcPr>
            <w:tcW w:w="5040" w:type="dxa"/>
            <w:tcBorders>
              <w:top w:val="nil"/>
              <w:left w:val="nil"/>
              <w:bottom w:val="single" w:sz="8" w:space="0" w:color="CCCCCC"/>
            </w:tcBorders>
            <w:tcMar>
              <w:left w:w="30" w:type="dxa"/>
              <w:right w:w="30" w:type="dxa"/>
            </w:tcMar>
            <w:vAlign w:val="center"/>
          </w:tcPr>
          <w:p w14:paraId="72B759E3" w14:textId="13E1C9C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204B59C9"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0757C8A" w14:textId="5806C48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Journal entries</w:t>
            </w:r>
          </w:p>
        </w:tc>
        <w:tc>
          <w:tcPr>
            <w:tcW w:w="5040" w:type="dxa"/>
            <w:tcBorders>
              <w:top w:val="nil"/>
              <w:left w:val="nil"/>
              <w:bottom w:val="single" w:sz="8" w:space="0" w:color="CCCCCC"/>
            </w:tcBorders>
            <w:tcMar>
              <w:left w:w="30" w:type="dxa"/>
              <w:right w:w="30" w:type="dxa"/>
            </w:tcMar>
            <w:vAlign w:val="center"/>
          </w:tcPr>
          <w:p w14:paraId="38BF5C79" w14:textId="16AEB58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1959FD5D"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C6F4E7E" w14:textId="35EC65C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Invoices</w:t>
            </w:r>
          </w:p>
        </w:tc>
        <w:tc>
          <w:tcPr>
            <w:tcW w:w="5040" w:type="dxa"/>
            <w:tcBorders>
              <w:top w:val="nil"/>
              <w:left w:val="nil"/>
              <w:bottom w:val="single" w:sz="8" w:space="0" w:color="CCCCCC"/>
            </w:tcBorders>
            <w:tcMar>
              <w:left w:w="30" w:type="dxa"/>
              <w:right w:w="30" w:type="dxa"/>
            </w:tcMar>
            <w:vAlign w:val="center"/>
          </w:tcPr>
          <w:p w14:paraId="7CA9CE3D" w14:textId="4776DC4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08566BBC" w14:textId="77777777" w:rsidTr="007E60F4">
        <w:trPr>
          <w:trHeight w:val="369"/>
        </w:trPr>
        <w:tc>
          <w:tcPr>
            <w:tcW w:w="5040" w:type="dxa"/>
            <w:tcBorders>
              <w:top w:val="nil"/>
              <w:bottom w:val="single" w:sz="12" w:space="0" w:color="61481C"/>
              <w:right w:val="single" w:sz="8" w:space="0" w:color="CCCCCC"/>
            </w:tcBorders>
            <w:tcMar>
              <w:left w:w="30" w:type="dxa"/>
              <w:right w:w="30" w:type="dxa"/>
            </w:tcMar>
            <w:vAlign w:val="center"/>
          </w:tcPr>
          <w:p w14:paraId="02B73465" w14:textId="7387A08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Petty cash vouchers</w:t>
            </w:r>
          </w:p>
        </w:tc>
        <w:tc>
          <w:tcPr>
            <w:tcW w:w="5040" w:type="dxa"/>
            <w:tcBorders>
              <w:top w:val="nil"/>
              <w:left w:val="nil"/>
              <w:bottom w:val="single" w:sz="12" w:space="0" w:color="61481C"/>
            </w:tcBorders>
            <w:tcMar>
              <w:left w:w="30" w:type="dxa"/>
              <w:right w:w="30" w:type="dxa"/>
            </w:tcMar>
            <w:vAlign w:val="center"/>
          </w:tcPr>
          <w:p w14:paraId="45131697" w14:textId="1DE19E6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3 years</w:t>
            </w:r>
          </w:p>
        </w:tc>
      </w:tr>
      <w:tr w:rsidR="00D35302" w:rsidRPr="00B06288" w14:paraId="264C7400" w14:textId="77777777" w:rsidTr="007E60F4">
        <w:trPr>
          <w:trHeight w:val="567"/>
        </w:trPr>
        <w:tc>
          <w:tcPr>
            <w:tcW w:w="10080" w:type="dxa"/>
            <w:gridSpan w:val="2"/>
            <w:tcBorders>
              <w:top w:val="single" w:sz="12" w:space="0" w:color="61481C"/>
              <w:bottom w:val="single" w:sz="12" w:space="0" w:color="61481C"/>
            </w:tcBorders>
            <w:shd w:val="clear" w:color="auto" w:fill="E6B325"/>
            <w:tcMar>
              <w:left w:w="30" w:type="dxa"/>
              <w:right w:w="30" w:type="dxa"/>
            </w:tcMar>
            <w:vAlign w:val="center"/>
          </w:tcPr>
          <w:p w14:paraId="3A0D2B8C" w14:textId="16DF41B8" w:rsidR="00D35302" w:rsidRPr="00B06288"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06288">
              <w:rPr>
                <w:rFonts w:ascii="Corbel" w:hAnsi="Corbel" w:cs="Times New Roman"/>
                <w:b/>
                <w:bCs/>
                <w:color w:val="000000"/>
                <w:sz w:val="24"/>
                <w:szCs w:val="24"/>
              </w:rPr>
              <w:t>Tax Records</w:t>
            </w:r>
          </w:p>
        </w:tc>
      </w:tr>
      <w:tr w:rsidR="00D35302" w:rsidRPr="00B06288" w14:paraId="2F5D9159" w14:textId="77777777" w:rsidTr="007E60F4">
        <w:trPr>
          <w:trHeight w:val="369"/>
        </w:trPr>
        <w:tc>
          <w:tcPr>
            <w:tcW w:w="5040" w:type="dxa"/>
            <w:tcBorders>
              <w:top w:val="single" w:sz="12" w:space="0" w:color="61481C"/>
              <w:bottom w:val="single" w:sz="8" w:space="0" w:color="CCCCCC"/>
              <w:right w:val="single" w:sz="8" w:space="0" w:color="CCCCCC"/>
            </w:tcBorders>
            <w:tcMar>
              <w:left w:w="30" w:type="dxa"/>
              <w:right w:w="30" w:type="dxa"/>
            </w:tcMar>
            <w:vAlign w:val="center"/>
          </w:tcPr>
          <w:p w14:paraId="63ED32FA" w14:textId="6F0142C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Annual tax filing for the organization (IRS Form 990 in the US)</w:t>
            </w:r>
          </w:p>
        </w:tc>
        <w:tc>
          <w:tcPr>
            <w:tcW w:w="5040" w:type="dxa"/>
            <w:tcBorders>
              <w:top w:val="single" w:sz="12" w:space="0" w:color="61481C"/>
              <w:left w:val="nil"/>
              <w:bottom w:val="single" w:sz="8" w:space="0" w:color="CCCCCC"/>
            </w:tcBorders>
            <w:tcMar>
              <w:left w:w="30" w:type="dxa"/>
              <w:right w:w="30" w:type="dxa"/>
            </w:tcMar>
            <w:vAlign w:val="center"/>
          </w:tcPr>
          <w:p w14:paraId="59AF264F" w14:textId="771C908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[Permanent/7 years]</w:t>
            </w:r>
          </w:p>
        </w:tc>
      </w:tr>
      <w:tr w:rsidR="00D35302" w:rsidRPr="00B06288" w14:paraId="67E70C47"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46A89BC8" w14:textId="1E6AC3C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Filings of fees paid to professionals (IRS Form 1099 in the US)</w:t>
            </w:r>
          </w:p>
        </w:tc>
        <w:tc>
          <w:tcPr>
            <w:tcW w:w="5040" w:type="dxa"/>
            <w:tcBorders>
              <w:top w:val="nil"/>
              <w:left w:val="nil"/>
              <w:bottom w:val="single" w:sz="8" w:space="0" w:color="CCCCCC"/>
            </w:tcBorders>
            <w:tcMar>
              <w:left w:w="30" w:type="dxa"/>
              <w:right w:w="30" w:type="dxa"/>
            </w:tcMar>
            <w:vAlign w:val="center"/>
          </w:tcPr>
          <w:p w14:paraId="4D6D2730"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p w14:paraId="6F854CFA"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p>
        </w:tc>
      </w:tr>
      <w:tr w:rsidR="00D35302" w:rsidRPr="00B06288" w14:paraId="47024B59"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0E09904D" w14:textId="00E55ED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Payroll tax withholdings</w:t>
            </w:r>
          </w:p>
        </w:tc>
        <w:tc>
          <w:tcPr>
            <w:tcW w:w="5040" w:type="dxa"/>
            <w:tcBorders>
              <w:top w:val="nil"/>
              <w:left w:val="nil"/>
              <w:bottom w:val="single" w:sz="8" w:space="0" w:color="CCCCCC"/>
            </w:tcBorders>
            <w:tcMar>
              <w:left w:w="30" w:type="dxa"/>
              <w:right w:w="30" w:type="dxa"/>
            </w:tcMar>
            <w:vAlign w:val="center"/>
          </w:tcPr>
          <w:p w14:paraId="0F22D998" w14:textId="7A753F9D"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42D74C38"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F558BF9" w14:textId="19D9C4B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Earnings records</w:t>
            </w:r>
          </w:p>
        </w:tc>
        <w:tc>
          <w:tcPr>
            <w:tcW w:w="5040" w:type="dxa"/>
            <w:tcBorders>
              <w:top w:val="nil"/>
              <w:left w:val="nil"/>
              <w:bottom w:val="single" w:sz="8" w:space="0" w:color="CCCCCC"/>
            </w:tcBorders>
            <w:tcMar>
              <w:left w:w="30" w:type="dxa"/>
              <w:right w:w="30" w:type="dxa"/>
            </w:tcMar>
            <w:vAlign w:val="center"/>
          </w:tcPr>
          <w:p w14:paraId="0617319F" w14:textId="525D68E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5C49C67D"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D2B7778" w14:textId="7F16697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Payroll tax returns</w:t>
            </w:r>
          </w:p>
        </w:tc>
        <w:tc>
          <w:tcPr>
            <w:tcW w:w="5040" w:type="dxa"/>
            <w:tcBorders>
              <w:top w:val="nil"/>
              <w:left w:val="nil"/>
              <w:bottom w:val="single" w:sz="8" w:space="0" w:color="CCCCCC"/>
            </w:tcBorders>
            <w:tcMar>
              <w:left w:w="30" w:type="dxa"/>
              <w:right w:w="30" w:type="dxa"/>
            </w:tcMar>
            <w:vAlign w:val="center"/>
          </w:tcPr>
          <w:p w14:paraId="6DEA9B03" w14:textId="648DD1A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7 years</w:t>
            </w:r>
          </w:p>
        </w:tc>
      </w:tr>
      <w:tr w:rsidR="00D35302" w:rsidRPr="00B06288" w14:paraId="6F4D6291" w14:textId="77777777" w:rsidTr="007E60F4">
        <w:trPr>
          <w:trHeight w:val="369"/>
        </w:trPr>
        <w:tc>
          <w:tcPr>
            <w:tcW w:w="5040" w:type="dxa"/>
            <w:tcBorders>
              <w:top w:val="nil"/>
              <w:bottom w:val="single" w:sz="12" w:space="0" w:color="61481C"/>
              <w:right w:val="single" w:sz="8" w:space="0" w:color="CCCCCC"/>
            </w:tcBorders>
            <w:tcMar>
              <w:left w:w="30" w:type="dxa"/>
              <w:right w:w="30" w:type="dxa"/>
            </w:tcMar>
            <w:vAlign w:val="center"/>
          </w:tcPr>
          <w:p w14:paraId="4C8E8282" w14:textId="3D4CB73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State unemployment tax records</w:t>
            </w:r>
          </w:p>
        </w:tc>
        <w:tc>
          <w:tcPr>
            <w:tcW w:w="5040" w:type="dxa"/>
            <w:tcBorders>
              <w:top w:val="nil"/>
              <w:left w:val="nil"/>
              <w:bottom w:val="single" w:sz="12" w:space="0" w:color="61481C"/>
            </w:tcBorders>
            <w:tcMar>
              <w:left w:w="30" w:type="dxa"/>
              <w:right w:w="30" w:type="dxa"/>
            </w:tcMar>
            <w:vAlign w:val="center"/>
          </w:tcPr>
          <w:p w14:paraId="131387CC" w14:textId="431E2920"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74D7EEEF" w14:textId="77777777" w:rsidTr="007E60F4">
        <w:trPr>
          <w:trHeight w:val="567"/>
        </w:trPr>
        <w:tc>
          <w:tcPr>
            <w:tcW w:w="10080" w:type="dxa"/>
            <w:gridSpan w:val="2"/>
            <w:tcBorders>
              <w:top w:val="single" w:sz="12" w:space="0" w:color="61481C"/>
              <w:bottom w:val="single" w:sz="12" w:space="0" w:color="61481C"/>
            </w:tcBorders>
            <w:shd w:val="clear" w:color="auto" w:fill="E6B325"/>
            <w:tcMar>
              <w:left w:w="30" w:type="dxa"/>
              <w:right w:w="30" w:type="dxa"/>
            </w:tcMar>
            <w:vAlign w:val="center"/>
          </w:tcPr>
          <w:p w14:paraId="3DF4D68F" w14:textId="0DE8E785" w:rsidR="00D35302" w:rsidRPr="00B06288" w:rsidRDefault="00D35302" w:rsidP="00577AF1">
            <w:pPr>
              <w:widowControl w:val="0"/>
              <w:autoSpaceDE w:val="0"/>
              <w:autoSpaceDN w:val="0"/>
              <w:adjustRightInd w:val="0"/>
              <w:spacing w:after="0" w:line="276" w:lineRule="auto"/>
              <w:ind w:left="30" w:right="50"/>
              <w:jc w:val="center"/>
              <w:rPr>
                <w:rFonts w:ascii="Corbel" w:hAnsi="Corbel" w:cs="Times New Roman"/>
                <w:b/>
                <w:bCs/>
                <w:color w:val="000000"/>
                <w:sz w:val="24"/>
                <w:szCs w:val="24"/>
              </w:rPr>
            </w:pPr>
            <w:r w:rsidRPr="00B06288">
              <w:rPr>
                <w:rFonts w:ascii="Corbel" w:hAnsi="Corbel" w:cs="Times New Roman"/>
                <w:b/>
                <w:bCs/>
                <w:color w:val="000000"/>
                <w:sz w:val="24"/>
                <w:szCs w:val="24"/>
              </w:rPr>
              <w:lastRenderedPageBreak/>
              <w:t>Legal and Insurance Records</w:t>
            </w:r>
          </w:p>
        </w:tc>
      </w:tr>
      <w:tr w:rsidR="00D35302" w:rsidRPr="00B06288" w14:paraId="285C42C1" w14:textId="77777777" w:rsidTr="007E60F4">
        <w:trPr>
          <w:trHeight w:val="369"/>
        </w:trPr>
        <w:tc>
          <w:tcPr>
            <w:tcW w:w="5040" w:type="dxa"/>
            <w:tcBorders>
              <w:top w:val="single" w:sz="12" w:space="0" w:color="61481C"/>
              <w:bottom w:val="single" w:sz="8" w:space="0" w:color="CCCCCC"/>
              <w:right w:val="single" w:sz="8" w:space="0" w:color="CCCCCC"/>
            </w:tcBorders>
            <w:tcMar>
              <w:left w:w="30" w:type="dxa"/>
              <w:right w:w="30" w:type="dxa"/>
            </w:tcMar>
            <w:vAlign w:val="center"/>
          </w:tcPr>
          <w:p w14:paraId="718911E5" w14:textId="11410B9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Appraisals</w:t>
            </w:r>
          </w:p>
        </w:tc>
        <w:tc>
          <w:tcPr>
            <w:tcW w:w="5040" w:type="dxa"/>
            <w:tcBorders>
              <w:top w:val="single" w:sz="12" w:space="0" w:color="61481C"/>
              <w:left w:val="nil"/>
              <w:bottom w:val="single" w:sz="8" w:space="0" w:color="CCCCCC"/>
            </w:tcBorders>
            <w:tcMar>
              <w:left w:w="30" w:type="dxa"/>
              <w:right w:w="30" w:type="dxa"/>
            </w:tcMar>
            <w:vAlign w:val="center"/>
          </w:tcPr>
          <w:p w14:paraId="05EB20F6" w14:textId="0766224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10DC439E"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32B3A56" w14:textId="743CEA4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Copyright registrations</w:t>
            </w:r>
          </w:p>
        </w:tc>
        <w:tc>
          <w:tcPr>
            <w:tcW w:w="5040" w:type="dxa"/>
            <w:tcBorders>
              <w:top w:val="nil"/>
              <w:left w:val="nil"/>
              <w:bottom w:val="single" w:sz="8" w:space="0" w:color="CCCCCC"/>
            </w:tcBorders>
            <w:tcMar>
              <w:left w:w="30" w:type="dxa"/>
              <w:right w:w="30" w:type="dxa"/>
            </w:tcMar>
            <w:vAlign w:val="center"/>
          </w:tcPr>
          <w:p w14:paraId="2268283C" w14:textId="5FF3CD3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5C46DDF0"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43547BF" w14:textId="27150F9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Environmental studies</w:t>
            </w:r>
          </w:p>
        </w:tc>
        <w:tc>
          <w:tcPr>
            <w:tcW w:w="5040" w:type="dxa"/>
            <w:tcBorders>
              <w:top w:val="nil"/>
              <w:left w:val="nil"/>
              <w:bottom w:val="single" w:sz="8" w:space="0" w:color="CCCCCC"/>
            </w:tcBorders>
            <w:tcMar>
              <w:left w:w="30" w:type="dxa"/>
              <w:right w:w="30" w:type="dxa"/>
            </w:tcMar>
            <w:vAlign w:val="center"/>
          </w:tcPr>
          <w:p w14:paraId="6DA133A3" w14:textId="6E043F2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610F3F80"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64513C8E" w14:textId="33F72AC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Insurance claims/ applications</w:t>
            </w:r>
          </w:p>
        </w:tc>
        <w:tc>
          <w:tcPr>
            <w:tcW w:w="5040" w:type="dxa"/>
            <w:tcBorders>
              <w:top w:val="nil"/>
              <w:left w:val="nil"/>
              <w:bottom w:val="single" w:sz="8" w:space="0" w:color="CCCCCC"/>
            </w:tcBorders>
            <w:tcMar>
              <w:left w:w="30" w:type="dxa"/>
              <w:right w:w="30" w:type="dxa"/>
            </w:tcMar>
            <w:vAlign w:val="center"/>
          </w:tcPr>
          <w:p w14:paraId="0C48D490" w14:textId="2C3036D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5FF69A5B"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2E655A68" w14:textId="50B55C5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Insurance disbursements and denials</w:t>
            </w:r>
          </w:p>
        </w:tc>
        <w:tc>
          <w:tcPr>
            <w:tcW w:w="5040" w:type="dxa"/>
            <w:tcBorders>
              <w:top w:val="nil"/>
              <w:left w:val="nil"/>
              <w:bottom w:val="single" w:sz="8" w:space="0" w:color="CCCCCC"/>
            </w:tcBorders>
            <w:tcMar>
              <w:left w:w="30" w:type="dxa"/>
              <w:right w:w="30" w:type="dxa"/>
            </w:tcMar>
            <w:vAlign w:val="center"/>
          </w:tcPr>
          <w:p w14:paraId="14857C19" w14:textId="58A4DF02"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34FC64ED"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3432FC6" w14:textId="480C224C"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Insurance contracts and policies (Directors and Officers, General Liability, Property, Workers’ Compensation)</w:t>
            </w:r>
          </w:p>
        </w:tc>
        <w:tc>
          <w:tcPr>
            <w:tcW w:w="5040" w:type="dxa"/>
            <w:tcBorders>
              <w:top w:val="nil"/>
              <w:left w:val="nil"/>
              <w:bottom w:val="single" w:sz="8" w:space="0" w:color="CCCCCC"/>
            </w:tcBorders>
            <w:tcMar>
              <w:left w:w="30" w:type="dxa"/>
              <w:right w:w="30" w:type="dxa"/>
            </w:tcMar>
            <w:vAlign w:val="center"/>
          </w:tcPr>
          <w:p w14:paraId="335A946A" w14:textId="42029EE6"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tc>
      </w:tr>
      <w:tr w:rsidR="00D35302" w:rsidRPr="00B06288" w14:paraId="2CAA7BA5"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192A3C5" w14:textId="148C9DE5"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Leases</w:t>
            </w:r>
          </w:p>
        </w:tc>
        <w:tc>
          <w:tcPr>
            <w:tcW w:w="5040" w:type="dxa"/>
            <w:tcBorders>
              <w:top w:val="nil"/>
              <w:left w:val="nil"/>
              <w:bottom w:val="single" w:sz="8" w:space="0" w:color="CCCCCC"/>
            </w:tcBorders>
            <w:tcMar>
              <w:left w:w="30" w:type="dxa"/>
              <w:right w:w="30" w:type="dxa"/>
            </w:tcMar>
            <w:vAlign w:val="center"/>
          </w:tcPr>
          <w:p w14:paraId="0FC8FD4F" w14:textId="71921D53"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6 years after expiration</w:t>
            </w:r>
          </w:p>
        </w:tc>
      </w:tr>
      <w:tr w:rsidR="00D35302" w:rsidRPr="00B06288" w14:paraId="0E772A19"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3B58F1DA" w14:textId="655AFF4E"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rPr>
              <w:t xml:space="preserve">Patents, patent applications, supporting </w:t>
            </w:r>
            <w:r w:rsidR="004A27F7" w:rsidRPr="00B06288">
              <w:rPr>
                <w:rFonts w:ascii="Corbel" w:hAnsi="Corbel" w:cs="Times New Roman"/>
                <w:color w:val="000000"/>
                <w:sz w:val="24"/>
                <w:szCs w:val="24"/>
              </w:rPr>
              <w:t>documents.</w:t>
            </w:r>
          </w:p>
        </w:tc>
        <w:tc>
          <w:tcPr>
            <w:tcW w:w="5040" w:type="dxa"/>
            <w:tcBorders>
              <w:top w:val="nil"/>
              <w:left w:val="nil"/>
              <w:bottom w:val="single" w:sz="8" w:space="0" w:color="CCCCCC"/>
            </w:tcBorders>
            <w:tcMar>
              <w:left w:w="30" w:type="dxa"/>
              <w:right w:w="30" w:type="dxa"/>
            </w:tcMar>
            <w:vAlign w:val="center"/>
          </w:tcPr>
          <w:p w14:paraId="5E430A64"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p w14:paraId="4CF28222" w14:textId="7777777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p>
        </w:tc>
      </w:tr>
      <w:tr w:rsidR="00D35302" w:rsidRPr="00B06288" w14:paraId="554288FD"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0AE1D769" w14:textId="0D7BEFC4"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Real estate documents (including loan and mortgage contracts, deeds)</w:t>
            </w:r>
          </w:p>
        </w:tc>
        <w:tc>
          <w:tcPr>
            <w:tcW w:w="5040" w:type="dxa"/>
            <w:tcBorders>
              <w:top w:val="nil"/>
              <w:left w:val="nil"/>
              <w:bottom w:val="single" w:sz="8" w:space="0" w:color="CCCCCC"/>
            </w:tcBorders>
            <w:tcMar>
              <w:left w:w="30" w:type="dxa"/>
              <w:right w:w="30" w:type="dxa"/>
            </w:tcMar>
            <w:vAlign w:val="center"/>
          </w:tcPr>
          <w:p w14:paraId="5F6F8B5E" w14:textId="66A9FA5B"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tc>
      </w:tr>
      <w:tr w:rsidR="00D35302" w:rsidRPr="00B06288" w14:paraId="64F131C3"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0C230295" w14:textId="21F6723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Stock and bond records</w:t>
            </w:r>
          </w:p>
        </w:tc>
        <w:tc>
          <w:tcPr>
            <w:tcW w:w="5040" w:type="dxa"/>
            <w:tcBorders>
              <w:top w:val="nil"/>
              <w:left w:val="nil"/>
              <w:bottom w:val="single" w:sz="8" w:space="0" w:color="CCCCCC"/>
            </w:tcBorders>
            <w:tcMar>
              <w:left w:w="30" w:type="dxa"/>
              <w:right w:w="30" w:type="dxa"/>
            </w:tcMar>
            <w:vAlign w:val="center"/>
          </w:tcPr>
          <w:p w14:paraId="085CA34B" w14:textId="06878251"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Permanent</w:t>
            </w:r>
          </w:p>
        </w:tc>
      </w:tr>
      <w:tr w:rsidR="00D35302" w:rsidRPr="00B06288" w14:paraId="480E9CBD"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1A62BF7B" w14:textId="4E9A0598"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rPr>
              <w:t>Trademark registrations, evidence of use documents</w:t>
            </w:r>
          </w:p>
        </w:tc>
        <w:tc>
          <w:tcPr>
            <w:tcW w:w="5040" w:type="dxa"/>
            <w:tcBorders>
              <w:top w:val="nil"/>
              <w:left w:val="nil"/>
              <w:bottom w:val="single" w:sz="8" w:space="0" w:color="CCCCCC"/>
            </w:tcBorders>
            <w:tcMar>
              <w:left w:w="30" w:type="dxa"/>
              <w:right w:w="30" w:type="dxa"/>
            </w:tcMar>
            <w:vAlign w:val="center"/>
          </w:tcPr>
          <w:p w14:paraId="3401E72E" w14:textId="179F1FF7"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shd w:val="clear" w:color="auto" w:fill="FFFFFF"/>
              </w:rPr>
            </w:pPr>
            <w:r w:rsidRPr="00B06288">
              <w:rPr>
                <w:rFonts w:ascii="Corbel" w:hAnsi="Corbel" w:cs="Times New Roman"/>
                <w:color w:val="000000"/>
                <w:sz w:val="24"/>
                <w:szCs w:val="24"/>
                <w:shd w:val="clear" w:color="auto" w:fill="FFFFFF"/>
              </w:rPr>
              <w:t>Permanent</w:t>
            </w:r>
          </w:p>
        </w:tc>
      </w:tr>
      <w:tr w:rsidR="00D35302" w:rsidRPr="00B06288" w14:paraId="62869B51" w14:textId="77777777" w:rsidTr="007E60F4">
        <w:trPr>
          <w:trHeight w:val="369"/>
        </w:trPr>
        <w:tc>
          <w:tcPr>
            <w:tcW w:w="5040" w:type="dxa"/>
            <w:tcBorders>
              <w:top w:val="nil"/>
              <w:bottom w:val="single" w:sz="8" w:space="0" w:color="CCCCCC"/>
              <w:right w:val="single" w:sz="8" w:space="0" w:color="CCCCCC"/>
            </w:tcBorders>
            <w:tcMar>
              <w:left w:w="30" w:type="dxa"/>
              <w:right w:w="30" w:type="dxa"/>
            </w:tcMar>
            <w:vAlign w:val="center"/>
          </w:tcPr>
          <w:p w14:paraId="54AF0A47" w14:textId="0854C70F"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Warranties</w:t>
            </w:r>
          </w:p>
        </w:tc>
        <w:tc>
          <w:tcPr>
            <w:tcW w:w="5040" w:type="dxa"/>
            <w:tcBorders>
              <w:top w:val="nil"/>
              <w:left w:val="nil"/>
              <w:bottom w:val="single" w:sz="8" w:space="0" w:color="CCCCCC"/>
            </w:tcBorders>
            <w:tcMar>
              <w:left w:w="30" w:type="dxa"/>
              <w:right w:w="30" w:type="dxa"/>
            </w:tcMar>
            <w:vAlign w:val="center"/>
          </w:tcPr>
          <w:p w14:paraId="1D3A5975" w14:textId="37653DDA" w:rsidR="00D35302" w:rsidRPr="00B06288" w:rsidRDefault="00D35302" w:rsidP="00577AF1">
            <w:pPr>
              <w:widowControl w:val="0"/>
              <w:autoSpaceDE w:val="0"/>
              <w:autoSpaceDN w:val="0"/>
              <w:adjustRightInd w:val="0"/>
              <w:spacing w:after="0" w:line="276" w:lineRule="auto"/>
              <w:ind w:left="30" w:right="50"/>
              <w:rPr>
                <w:rFonts w:ascii="Corbel" w:hAnsi="Corbel" w:cs="Times New Roman"/>
                <w:color w:val="000000"/>
                <w:sz w:val="24"/>
                <w:szCs w:val="24"/>
              </w:rPr>
            </w:pPr>
            <w:r w:rsidRPr="00B06288">
              <w:rPr>
                <w:rFonts w:ascii="Corbel" w:hAnsi="Corbel" w:cs="Times New Roman"/>
                <w:color w:val="000000"/>
                <w:sz w:val="24"/>
                <w:szCs w:val="24"/>
              </w:rPr>
              <w:t>Duration of warranty + 7 years</w:t>
            </w:r>
          </w:p>
        </w:tc>
      </w:tr>
    </w:tbl>
    <w:p w14:paraId="1C0625F5" w14:textId="77777777" w:rsidR="00D35302" w:rsidRPr="00B06288" w:rsidRDefault="00D35302" w:rsidP="001C3323">
      <w:pPr>
        <w:spacing w:line="276" w:lineRule="auto"/>
        <w:rPr>
          <w:rFonts w:ascii="Corbel" w:hAnsi="Corbel"/>
          <w:sz w:val="24"/>
          <w:szCs w:val="24"/>
        </w:rPr>
      </w:pPr>
    </w:p>
    <w:sectPr w:rsidR="00D35302" w:rsidRPr="00B06288" w:rsidSect="00D3530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3C6A" w14:textId="77777777" w:rsidR="008C145B" w:rsidRDefault="008C145B" w:rsidP="000A62DB">
      <w:pPr>
        <w:spacing w:after="0" w:line="240" w:lineRule="auto"/>
      </w:pPr>
      <w:r>
        <w:separator/>
      </w:r>
    </w:p>
  </w:endnote>
  <w:endnote w:type="continuationSeparator" w:id="0">
    <w:p w14:paraId="1F0486A3" w14:textId="77777777" w:rsidR="008C145B" w:rsidRDefault="008C145B" w:rsidP="000A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4BFE" w14:textId="237F2023" w:rsidR="000A62DB" w:rsidRPr="000A62DB" w:rsidRDefault="000A62DB">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030A1C8D" wp14:editId="2B5C0DEA">
          <wp:simplePos x="0" y="0"/>
          <wp:positionH relativeFrom="column">
            <wp:posOffset>0</wp:posOffset>
          </wp:positionH>
          <wp:positionV relativeFrom="paragraph">
            <wp:posOffset>8255</wp:posOffset>
          </wp:positionV>
          <wp:extent cx="848995" cy="287655"/>
          <wp:effectExtent l="0" t="0" r="8255" b="0"/>
          <wp:wrapNone/>
          <wp:docPr id="14751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7087" name="Picture 147517087"/>
                  <pic:cNvPicPr/>
                </pic:nvPicPr>
                <pic:blipFill>
                  <a:blip r:embed="rId1">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0A62DB">
      <w:rPr>
        <w:rFonts w:ascii="Corbel" w:hAnsi="Corbel"/>
        <w:b/>
        <w:bCs/>
        <w:color w:val="000000" w:themeColor="text1"/>
        <w:sz w:val="20"/>
        <w:szCs w:val="20"/>
      </w:rPr>
      <w:t xml:space="preserve">pg. </w:t>
    </w:r>
    <w:r w:rsidRPr="000A62DB">
      <w:rPr>
        <w:rFonts w:ascii="Corbel" w:hAnsi="Corbel"/>
        <w:b/>
        <w:bCs/>
        <w:color w:val="000000" w:themeColor="text1"/>
        <w:sz w:val="20"/>
        <w:szCs w:val="20"/>
      </w:rPr>
      <w:fldChar w:fldCharType="begin"/>
    </w:r>
    <w:r w:rsidRPr="000A62DB">
      <w:rPr>
        <w:rFonts w:ascii="Corbel" w:hAnsi="Corbel"/>
        <w:b/>
        <w:bCs/>
        <w:color w:val="000000" w:themeColor="text1"/>
        <w:sz w:val="20"/>
        <w:szCs w:val="20"/>
      </w:rPr>
      <w:instrText xml:space="preserve"> PAGE  \* Arabic </w:instrText>
    </w:r>
    <w:r w:rsidRPr="000A62DB">
      <w:rPr>
        <w:rFonts w:ascii="Corbel" w:hAnsi="Corbel"/>
        <w:b/>
        <w:bCs/>
        <w:color w:val="000000" w:themeColor="text1"/>
        <w:sz w:val="20"/>
        <w:szCs w:val="20"/>
      </w:rPr>
      <w:fldChar w:fldCharType="separate"/>
    </w:r>
    <w:r w:rsidRPr="000A62DB">
      <w:rPr>
        <w:rFonts w:ascii="Corbel" w:hAnsi="Corbel"/>
        <w:b/>
        <w:bCs/>
        <w:noProof/>
        <w:color w:val="000000" w:themeColor="text1"/>
        <w:sz w:val="20"/>
        <w:szCs w:val="20"/>
      </w:rPr>
      <w:t>1</w:t>
    </w:r>
    <w:r w:rsidRPr="000A62DB">
      <w:rPr>
        <w:rFonts w:ascii="Corbel" w:hAnsi="Corbel"/>
        <w:b/>
        <w:bCs/>
        <w:color w:val="000000" w:themeColor="text1"/>
        <w:sz w:val="20"/>
        <w:szCs w:val="20"/>
      </w:rPr>
      <w:fldChar w:fldCharType="end"/>
    </w:r>
  </w:p>
  <w:p w14:paraId="343C60E8" w14:textId="27953E2E" w:rsidR="000A62DB" w:rsidRDefault="000A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B0E3" w14:textId="77777777" w:rsidR="008C145B" w:rsidRDefault="008C145B" w:rsidP="000A62DB">
      <w:pPr>
        <w:spacing w:after="0" w:line="240" w:lineRule="auto"/>
      </w:pPr>
      <w:r>
        <w:separator/>
      </w:r>
    </w:p>
  </w:footnote>
  <w:footnote w:type="continuationSeparator" w:id="0">
    <w:p w14:paraId="4F6422FD" w14:textId="77777777" w:rsidR="008C145B" w:rsidRDefault="008C145B" w:rsidP="000A6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973"/>
    </w:tblGrid>
    <w:tr w:rsidR="00B5531C" w14:paraId="4699B275" w14:textId="77777777" w:rsidTr="00B5531C">
      <w:tc>
        <w:tcPr>
          <w:tcW w:w="5035" w:type="dxa"/>
          <w:hideMark/>
        </w:tcPr>
        <w:p w14:paraId="0DF52912" w14:textId="77777777" w:rsidR="00B5531C" w:rsidRDefault="00B5531C" w:rsidP="00B5531C">
          <w:pPr>
            <w:pStyle w:val="Header"/>
            <w:rPr>
              <w:rFonts w:ascii="Corbel" w:hAnsi="Corbel"/>
              <w:b/>
              <w:bCs/>
              <w:sz w:val="20"/>
              <w:szCs w:val="20"/>
            </w:rPr>
          </w:pPr>
          <w:r>
            <w:rPr>
              <w:rFonts w:ascii="Corbel" w:hAnsi="Corbel"/>
              <w:b/>
              <w:bCs/>
              <w:sz w:val="20"/>
              <w:szCs w:val="20"/>
            </w:rPr>
            <w:t>[Company’s Logo]</w:t>
          </w:r>
        </w:p>
      </w:tc>
      <w:sdt>
        <w:sdtPr>
          <w:rPr>
            <w:rFonts w:ascii="Corbel" w:hAnsi="Corbel"/>
            <w:b/>
            <w:bCs/>
            <w:sz w:val="20"/>
            <w:szCs w:val="20"/>
          </w:rPr>
          <w:id w:val="-1505506631"/>
          <w:placeholder>
            <w:docPart w:val="BCD942814C094231B8C9069679AD6EA0"/>
          </w:placeholder>
          <w:date>
            <w:dateFormat w:val="dd/MM/yyyy"/>
            <w:lid w:val="en-GB"/>
            <w:storeMappedDataAs w:val="dateTime"/>
            <w:calendar w:val="gregorian"/>
          </w:date>
        </w:sdtPr>
        <w:sdtContent>
          <w:tc>
            <w:tcPr>
              <w:tcW w:w="5138" w:type="dxa"/>
              <w:hideMark/>
            </w:tcPr>
            <w:p w14:paraId="113558BB" w14:textId="77777777" w:rsidR="00B5531C" w:rsidRDefault="00B5531C" w:rsidP="00B5531C">
              <w:pPr>
                <w:pStyle w:val="Header"/>
                <w:jc w:val="right"/>
                <w:rPr>
                  <w:rFonts w:ascii="Corbel" w:hAnsi="Corbel"/>
                  <w:b/>
                  <w:bCs/>
                  <w:sz w:val="20"/>
                  <w:szCs w:val="20"/>
                </w:rPr>
              </w:pPr>
              <w:r>
                <w:rPr>
                  <w:rFonts w:ascii="Corbel" w:hAnsi="Corbel"/>
                  <w:b/>
                  <w:bCs/>
                  <w:sz w:val="20"/>
                  <w:szCs w:val="20"/>
                </w:rPr>
                <w:t>[Effective Date]</w:t>
              </w:r>
            </w:p>
          </w:tc>
        </w:sdtContent>
      </w:sdt>
    </w:tr>
  </w:tbl>
  <w:p w14:paraId="53838D37" w14:textId="77777777" w:rsidR="00B5531C" w:rsidRDefault="00B55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109"/>
    <w:multiLevelType w:val="multilevel"/>
    <w:tmpl w:val="7EA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2C54C0"/>
    <w:multiLevelType w:val="hybridMultilevel"/>
    <w:tmpl w:val="0752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593766">
    <w:abstractNumId w:val="0"/>
  </w:num>
  <w:num w:numId="2" w16cid:durableId="1832674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302"/>
    <w:rsid w:val="000A62DB"/>
    <w:rsid w:val="001C3323"/>
    <w:rsid w:val="002E545D"/>
    <w:rsid w:val="00324D00"/>
    <w:rsid w:val="004167A5"/>
    <w:rsid w:val="004A27F7"/>
    <w:rsid w:val="00577AF1"/>
    <w:rsid w:val="007E60F4"/>
    <w:rsid w:val="008C145B"/>
    <w:rsid w:val="009D0C5E"/>
    <w:rsid w:val="00B06288"/>
    <w:rsid w:val="00B5531C"/>
    <w:rsid w:val="00BA4503"/>
    <w:rsid w:val="00D35302"/>
    <w:rsid w:val="00DB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39C9A"/>
  <w15:chartTrackingRefBased/>
  <w15:docId w15:val="{9934A085-D920-4D1F-B0C6-7F8AD16C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30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35302"/>
    <w:rPr>
      <w:b/>
      <w:bCs/>
    </w:rPr>
  </w:style>
  <w:style w:type="paragraph" w:styleId="ListParagraph">
    <w:name w:val="List Paragraph"/>
    <w:basedOn w:val="Normal"/>
    <w:uiPriority w:val="34"/>
    <w:qFormat/>
    <w:rsid w:val="00D35302"/>
    <w:pPr>
      <w:ind w:left="720"/>
      <w:contextualSpacing/>
    </w:pPr>
  </w:style>
  <w:style w:type="paragraph" w:styleId="Header">
    <w:name w:val="header"/>
    <w:basedOn w:val="Normal"/>
    <w:link w:val="HeaderChar"/>
    <w:uiPriority w:val="99"/>
    <w:unhideWhenUsed/>
    <w:rsid w:val="000A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2DB"/>
  </w:style>
  <w:style w:type="paragraph" w:styleId="Footer">
    <w:name w:val="footer"/>
    <w:basedOn w:val="Normal"/>
    <w:link w:val="FooterChar"/>
    <w:uiPriority w:val="99"/>
    <w:unhideWhenUsed/>
    <w:rsid w:val="000A6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2DB"/>
  </w:style>
  <w:style w:type="table" w:styleId="TableGrid">
    <w:name w:val="Table Grid"/>
    <w:basedOn w:val="TableNormal"/>
    <w:uiPriority w:val="59"/>
    <w:rsid w:val="00B553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2721">
      <w:bodyDiv w:val="1"/>
      <w:marLeft w:val="0"/>
      <w:marRight w:val="0"/>
      <w:marTop w:val="0"/>
      <w:marBottom w:val="0"/>
      <w:divBdr>
        <w:top w:val="none" w:sz="0" w:space="0" w:color="auto"/>
        <w:left w:val="none" w:sz="0" w:space="0" w:color="auto"/>
        <w:bottom w:val="none" w:sz="0" w:space="0" w:color="auto"/>
        <w:right w:val="none" w:sz="0" w:space="0" w:color="auto"/>
      </w:divBdr>
    </w:div>
    <w:div w:id="19050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D942814C094231B8C9069679AD6EA0"/>
        <w:category>
          <w:name w:val="General"/>
          <w:gallery w:val="placeholder"/>
        </w:category>
        <w:types>
          <w:type w:val="bbPlcHdr"/>
        </w:types>
        <w:behaviors>
          <w:behavior w:val="content"/>
        </w:behaviors>
        <w:guid w:val="{1AB4E2CA-E9D8-4872-ABD9-C3041FC6D8BB}"/>
      </w:docPartPr>
      <w:docPartBody>
        <w:p w:rsidR="008E1EFE" w:rsidRDefault="00AA32A6" w:rsidP="00AA32A6">
          <w:pPr>
            <w:pStyle w:val="BCD942814C094231B8C9069679AD6EA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A6"/>
    <w:rsid w:val="00846E02"/>
    <w:rsid w:val="008E1EFE"/>
    <w:rsid w:val="00AA32A6"/>
    <w:rsid w:val="00AD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2A6"/>
  </w:style>
  <w:style w:type="paragraph" w:customStyle="1" w:styleId="BCD942814C094231B8C9069679AD6EA0">
    <w:name w:val="BCD942814C094231B8C9069679AD6EA0"/>
    <w:rsid w:val="00AA3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12</cp:revision>
  <dcterms:created xsi:type="dcterms:W3CDTF">2023-07-25T04:59:00Z</dcterms:created>
  <dcterms:modified xsi:type="dcterms:W3CDTF">2023-07-26T06:39:00Z</dcterms:modified>
</cp:coreProperties>
</file>