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</w:pPr>
      <w:r>
        <w:rPr>
          <w:b/>
          <w:color w:val="19594F"/>
          <w:sz w:val="18"/>
        </w:rPr>
        <w:t>WORD TEMPLATES ONLINE     /     WORKSHEET  01</w:t>
      </w:r>
    </w:p>
    <w:p>
      <w:pPr>
        <w:pStyle w:val="Title"/>
      </w:pPr>
      <w:r>
        <w:t>Smart contract pilot worksheet</w:t>
      </w:r>
    </w:p>
    <w:p>
      <w:r>
        <w:t>Use one sheet for one payment or transfer. Replace the bracketed prompts in Word. Ask the other party to complete a separate copy, then compare answers.</w:t>
      </w:r>
    </w:p>
    <w:p>
      <w:pPr>
        <w:pStyle w:val="Heading2"/>
        <w:spacing w:before="200" w:after="80"/>
      </w:pPr>
      <w:r>
        <w:rPr>
          <w:color w:val="19594F"/>
          <w:sz w:val="30"/>
        </w:rPr>
        <w:t>Write the rule in one sentence</w:t>
      </w:r>
    </w:p>
    <w:p>
      <w:r>
        <w:t>When [authorized source] confirms [event and order ID], release [amount or asset] to [recipient] once, provided [conditions].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insideH w:val="single" w:sz="4" w:color="CBD6D3"/>
          <w:insideV w:val="single" w:sz="4" w:color="CBD6D3"/>
          <w:top w:val="single" w:sz="4" w:color="CBD6D3"/>
          <w:bottom w:val="single" w:sz="4" w:color="CBD6D3"/>
          <w:left w:val="single" w:sz="4" w:color="CBD6D3"/>
          <w:right w:val="single" w:sz="4" w:color="CBD6D3"/>
        </w:tblBorders>
      </w:tblPr>
      <w:tblGrid>
        <w:gridCol w:w="3096"/>
        <w:gridCol w:w="6782"/>
      </w:tblGrid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Process and parties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[Process owner, payer and recipient]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Evidence and timing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[Record, unique ID, authorized signer and freshness limit]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What counts as complete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[Quantity, threshold or approval, including the exact boundary]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Hold and resolve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[When to hold, who investigates, by when and how to resume]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Control and cost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[Who can pause or change the rule? Who pays for checks and fees?]</w:t>
            </w:r>
          </w:p>
        </w:tc>
      </w:tr>
    </w:tbl>
    <w:p>
      <w:pPr>
        <w:pStyle w:val="Heading2"/>
        <w:spacing w:before="200" w:after="80"/>
      </w:pPr>
      <w:r>
        <w:rPr>
          <w:color w:val="19594F"/>
          <w:sz w:val="30"/>
        </w:rPr>
        <w:t>Try the rule against old records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insideH w:val="single" w:sz="4" w:color="CBD6D3"/>
          <w:insideV w:val="single" w:sz="4" w:color="CBD6D3"/>
          <w:top w:val="single" w:sz="4" w:color="CBD6D3"/>
          <w:bottom w:val="single" w:sz="4" w:color="CBD6D3"/>
          <w:left w:val="single" w:sz="4" w:color="CBD6D3"/>
          <w:right w:val="single" w:sz="4" w:color="CBD6D3"/>
        </w:tblBorders>
      </w:tblPr>
      <w:tblGrid>
        <w:gridCol w:w="2419"/>
        <w:gridCol w:w="3643"/>
        <w:gridCol w:w="3816"/>
      </w:tblGrid>
      <w:tr>
        <w:trPr>
          <w:tblHeader/>
        </w:trPr>
        <w:tc>
          <w:tcPr>
            <w:tcW w:type="dxa" w:w="2419"/>
            <w:vAlign w:val="center"/>
            <w:shd w:fill="196155"/>
          </w:tcPr>
          <w:p>
            <w:pPr>
              <w:spacing w:before="100" w:after="100"/>
            </w:pPr>
            <w:r>
              <w:rPr>
                <w:b/>
                <w:color w:val="FFFFFF"/>
                <w:sz w:val="21"/>
              </w:rPr>
              <w:t>Case</w:t>
            </w:r>
          </w:p>
        </w:tc>
        <w:tc>
          <w:tcPr>
            <w:tcW w:type="dxa" w:w="3643"/>
            <w:vAlign w:val="center"/>
            <w:shd w:fill="196155"/>
          </w:tcPr>
          <w:p>
            <w:pPr>
              <w:spacing w:before="100" w:after="100"/>
            </w:pPr>
            <w:r>
              <w:rPr>
                <w:b/>
                <w:color w:val="FFFFFF"/>
                <w:sz w:val="21"/>
              </w:rPr>
              <w:t>Expected action</w:t>
            </w:r>
          </w:p>
        </w:tc>
        <w:tc>
          <w:tcPr>
            <w:tcW w:type="dxa" w:w="3816"/>
            <w:vAlign w:val="center"/>
            <w:shd w:fill="196155"/>
          </w:tcPr>
          <w:p>
            <w:pPr>
              <w:spacing w:before="100" w:after="100"/>
            </w:pPr>
            <w:r>
              <w:rPr>
                <w:b/>
                <w:color w:val="FFFFFF"/>
                <w:sz w:val="21"/>
              </w:rPr>
              <w:t>Observed result or follow-up</w:t>
            </w:r>
          </w:p>
        </w:tc>
      </w:tr>
      <w:tr>
        <w:tc>
          <w:tcPr>
            <w:tcW w:type="dxa" w:w="2419"/>
            <w:vAlign w:val="center"/>
            <w:shd w:fill="EAF2EF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Complete record</w:t>
            </w:r>
          </w:p>
        </w:tc>
        <w:tc>
          <w:tcPr>
            <w:tcW w:type="dxa" w:w="3643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[Pay or release what?]</w:t>
            </w:r>
          </w:p>
        </w:tc>
        <w:tc>
          <w:tcPr>
            <w:tcW w:type="dxa" w:w="3816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[Actual outcome]</w:t>
            </w:r>
          </w:p>
        </w:tc>
      </w:tr>
      <w:tr>
        <w:tc>
          <w:tcPr>
            <w:tcW w:type="dxa" w:w="2419"/>
            <w:vAlign w:val="center"/>
            <w:shd w:fill="EAF2EF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Incomplete or stale</w:t>
            </w:r>
          </w:p>
        </w:tc>
        <w:tc>
          <w:tcPr>
            <w:tcW w:type="dxa" w:w="3643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[Who holds or reviews?]</w:t>
            </w:r>
          </w:p>
        </w:tc>
        <w:tc>
          <w:tcPr>
            <w:tcW w:type="dxa" w:w="3816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[Owner and deadline]</w:t>
            </w:r>
          </w:p>
        </w:tc>
      </w:tr>
      <w:tr>
        <w:tc>
          <w:tcPr>
            <w:tcW w:type="dxa" w:w="2419"/>
            <w:vAlign w:val="center"/>
            <w:shd w:fill="EAF2EF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Same event twice</w:t>
            </w:r>
          </w:p>
        </w:tc>
        <w:tc>
          <w:tcPr>
            <w:tcW w:type="dxa" w:w="3643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[How to prevent a second payment?]</w:t>
            </w:r>
          </w:p>
        </w:tc>
        <w:tc>
          <w:tcPr>
            <w:tcW w:type="dxa" w:w="3816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[Record used to check]</w:t>
            </w:r>
          </w:p>
        </w:tc>
      </w:tr>
    </w:tbl>
    <w:p>
      <w:pPr>
        <w:pStyle w:val="Heading2"/>
        <w:spacing w:before="200" w:after="80"/>
      </w:pPr>
      <w:r>
        <w:rPr>
          <w:color w:val="19594F"/>
          <w:sz w:val="30"/>
        </w:rPr>
        <w:t>Record the decision</w:t>
      </w:r>
    </w:p>
    <w:p>
      <w:r>
        <w:t>Approach   [Keep manual / use existing workflow / test a shared contract]</w:t>
      </w:r>
    </w:p>
    <w:p>
      <w:r>
        <w:t>Reason and unresolved question   [What would change this decision?]</w:t>
      </w:r>
    </w:p>
    <w:p>
      <w:r>
        <w:t>Decision owner and review date   [Name or role]     [Date]</w:t>
      </w:r>
    </w:p>
    <w:p>
      <w:r>
        <w:br w:type="page"/>
      </w:r>
    </w:p>
    <w:p>
      <w:pPr>
        <w:spacing w:before="0" w:after="120"/>
      </w:pPr>
      <w:r>
        <w:rPr>
          <w:b/>
          <w:color w:val="19594F"/>
          <w:sz w:val="18"/>
        </w:rPr>
        <w:t>WORD TEMPLATES ONLINE     /     WORKED EXAMPLE  02</w:t>
      </w:r>
    </w:p>
    <w:p>
      <w:pPr>
        <w:pStyle w:val="Title"/>
      </w:pPr>
      <w:r>
        <w:t>Payment on delivery</w:t>
      </w:r>
    </w:p>
    <w:p>
      <w:r>
        <w:t>Fictional example. A shop orders 20 cartons for $600. Both parties want to know when the invoice can be paid without a second approval email.</w:t>
      </w:r>
    </w:p>
    <w:p>
      <w:pPr>
        <w:pStyle w:val="Heading2"/>
        <w:spacing w:before="200" w:after="80"/>
      </w:pPr>
      <w:r>
        <w:rPr>
          <w:color w:val="19594F"/>
          <w:sz w:val="30"/>
        </w:rPr>
        <w:t>The receiving rule</w:t>
      </w:r>
    </w:p>
    <w:p>
      <w:r>
        <w:t>Pay the supplier $600 once when signed receipts for order PO-418 show 20 accepted cartons in total. Arrival at the loading bay does not count as acceptance.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insideH w:val="single" w:sz="4" w:color="CBD6D3"/>
          <w:insideV w:val="single" w:sz="4" w:color="CBD6D3"/>
          <w:top w:val="single" w:sz="4" w:color="CBD6D3"/>
          <w:bottom w:val="single" w:sz="4" w:color="CBD6D3"/>
          <w:left w:val="single" w:sz="4" w:color="CBD6D3"/>
          <w:right w:val="single" w:sz="4" w:color="CBD6D3"/>
        </w:tblBorders>
      </w:tblPr>
      <w:tblGrid>
        <w:gridCol w:w="3096"/>
        <w:gridCol w:w="6782"/>
      </w:tblGrid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Process and parties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Shop pays supplier. The receiving clerk signs and the purchasing lead handles shortages.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Evidence and timing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Warehouse receipt, order ID, unique receipt ID, signer and receipt time. A receipt over 24 hours old goes to review.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What counts as complete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Add accepted cartons from distinct valid receipts for PO-418. Release once at exactly 20. Hold a mismatch or overage.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Hold and resolve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Purchasing contacts the supplier by the next business day. Resume only after corrected evidence is checked.</w:t>
            </w:r>
          </w:p>
        </w:tc>
      </w:tr>
      <w:tr>
        <w:tc>
          <w:tcPr>
            <w:tcW w:type="dxa" w:w="3096"/>
            <w:vAlign w:val="center"/>
            <w:shd w:fill="EAF2EF"/>
          </w:tcPr>
          <w:p>
            <w:pPr>
              <w:spacing w:before="100" w:after="100"/>
            </w:pPr>
            <w:r>
              <w:rPr>
                <w:b/>
                <w:sz w:val="21"/>
              </w:rPr>
              <w:t>Control and cost</w:t>
            </w:r>
          </w:p>
        </w:tc>
        <w:tc>
          <w:tcPr>
            <w:tcW w:type="dxa" w:w="6782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Purchasing can request a pause. Both parties approve rule changes. Finance records test costs per receipt.</w:t>
            </w:r>
          </w:p>
        </w:tc>
      </w:tr>
    </w:tbl>
    <w:p>
      <w:pPr>
        <w:pStyle w:val="Heading2"/>
        <w:spacing w:before="200" w:after="80"/>
      </w:pPr>
      <w:r>
        <w:rPr>
          <w:color w:val="19594F"/>
          <w:sz w:val="30"/>
        </w:rPr>
        <w:t>Three receipts to try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insideH w:val="single" w:sz="4" w:color="CBD6D3"/>
          <w:insideV w:val="single" w:sz="4" w:color="CBD6D3"/>
          <w:top w:val="single" w:sz="4" w:color="CBD6D3"/>
          <w:bottom w:val="single" w:sz="4" w:color="CBD6D3"/>
          <w:left w:val="single" w:sz="4" w:color="CBD6D3"/>
          <w:right w:val="single" w:sz="4" w:color="CBD6D3"/>
        </w:tblBorders>
      </w:tblPr>
      <w:tblGrid>
        <w:gridCol w:w="2592"/>
        <w:gridCol w:w="3816"/>
        <w:gridCol w:w="3470"/>
      </w:tblGrid>
      <w:tr>
        <w:trPr>
          <w:tblHeader/>
        </w:trPr>
        <w:tc>
          <w:tcPr>
            <w:tcW w:type="dxa" w:w="2592"/>
            <w:vAlign w:val="center"/>
            <w:shd w:fill="196155"/>
          </w:tcPr>
          <w:p>
            <w:pPr>
              <w:spacing w:before="100" w:after="100"/>
            </w:pPr>
            <w:r>
              <w:rPr>
                <w:b/>
                <w:color w:val="FFFFFF"/>
                <w:sz w:val="21"/>
              </w:rPr>
              <w:t>Record</w:t>
            </w:r>
          </w:p>
        </w:tc>
        <w:tc>
          <w:tcPr>
            <w:tcW w:type="dxa" w:w="3816"/>
            <w:vAlign w:val="center"/>
            <w:shd w:fill="196155"/>
          </w:tcPr>
          <w:p>
            <w:pPr>
              <w:spacing w:before="100" w:after="100"/>
            </w:pPr>
            <w:r>
              <w:rPr>
                <w:b/>
                <w:color w:val="FFFFFF"/>
                <w:sz w:val="21"/>
              </w:rPr>
              <w:t>What should happen</w:t>
            </w:r>
          </w:p>
        </w:tc>
        <w:tc>
          <w:tcPr>
            <w:tcW w:type="dxa" w:w="3470"/>
            <w:vAlign w:val="center"/>
            <w:shd w:fill="196155"/>
          </w:tcPr>
          <w:p>
            <w:pPr>
              <w:spacing w:before="100" w:after="100"/>
            </w:pPr>
            <w:r>
              <w:rPr>
                <w:b/>
                <w:color w:val="FFFFFF"/>
                <w:sz w:val="21"/>
              </w:rPr>
              <w:t>What to verify</w:t>
            </w:r>
          </w:p>
        </w:tc>
      </w:tr>
      <w:tr>
        <w:tc>
          <w:tcPr>
            <w:tcW w:type="dxa" w:w="2592"/>
            <w:vAlign w:val="center"/>
            <w:shd w:fill="EAF2EF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R1 arrives with 18 cartons</w:t>
            </w:r>
          </w:p>
        </w:tc>
        <w:tc>
          <w:tcPr>
            <w:tcW w:type="dxa" w:w="3816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Hold $600. Purchasing contacts the supplier.</w:t>
            </w:r>
          </w:p>
        </w:tc>
        <w:tc>
          <w:tcPr>
            <w:tcW w:type="dxa" w:w="3470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Record shortage of two.</w:t>
            </w:r>
          </w:p>
        </w:tc>
      </w:tr>
      <w:tr>
        <w:tc>
          <w:tcPr>
            <w:tcW w:type="dxa" w:w="2592"/>
            <w:vAlign w:val="center"/>
            <w:shd w:fill="EAF2EF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R2 adds the missing two</w:t>
            </w:r>
          </w:p>
        </w:tc>
        <w:tc>
          <w:tcPr>
            <w:tcW w:type="dxa" w:w="3816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Release $600 once for PO-418.</w:t>
            </w:r>
          </w:p>
        </w:tc>
        <w:tc>
          <w:tcPr>
            <w:tcW w:type="dxa" w:w="3470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Match signer, order and total of 20.</w:t>
            </w:r>
          </w:p>
        </w:tc>
      </w:tr>
      <w:tr>
        <w:tc>
          <w:tcPr>
            <w:tcW w:type="dxa" w:w="2592"/>
            <w:vAlign w:val="center"/>
            <w:shd w:fill="EAF2EF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R2 arrives again</w:t>
            </w:r>
          </w:p>
        </w:tc>
        <w:tc>
          <w:tcPr>
            <w:tcW w:type="dxa" w:w="3816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Pay $0 more. Flag duplicate.</w:t>
            </w:r>
          </w:p>
        </w:tc>
        <w:tc>
          <w:tcPr>
            <w:tcW w:type="dxa" w:w="3470"/>
            <w:vAlign w:val="center"/>
            <w:shd w:fill="FAFCFB"/>
          </w:tcPr>
          <w:p>
            <w:pPr>
              <w:spacing w:before="100" w:after="100"/>
            </w:pPr>
            <w:r>
              <w:rPr>
                <w:b w:val="0"/>
                <w:sz w:val="21"/>
              </w:rPr>
              <w:t>Same receipt ID and order already paid.</w:t>
            </w:r>
          </w:p>
        </w:tc>
      </w:tr>
    </w:tbl>
    <w:p>
      <w:pPr>
        <w:pStyle w:val="Heading2"/>
        <w:spacing w:before="200" w:after="80"/>
      </w:pPr>
      <w:r>
        <w:rPr>
          <w:color w:val="19594F"/>
          <w:sz w:val="30"/>
        </w:rPr>
        <w:t>Example decision</w:t>
      </w:r>
    </w:p>
    <w:p>
      <w:r>
        <w:t>Run these cases in the existing payment workflow with no funds at risk. The purchasing lead and supplier review the results together before deciding whether a shared contract adds anything.</w:t>
      </w:r>
    </w:p>
    <w:sectPr w:rsidR="00FC693F" w:rsidRPr="0006063C" w:rsidSect="00034616">
      <w:pgSz w:w="12240" w:h="15840"/>
      <w:pgMar w:top="979" w:right="1181" w:bottom="893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Calibri" w:hAnsi="Calibri"/>
      <w:color w:val="202B3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202B32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202B3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Smart contract pilot worksheet</dc:title>
  <dc:subject>A blank payment rule worksheet and worked delivery example</dc:subject>
  <dc:creator>Word Templates Online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